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CARTAGENA DE INDIAS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CARTAGENA DE INDIAS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280,800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11,091,600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1,109,160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44,366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9,938,074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31,200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13,675,872</w:t>
            </w:r>
          </w:p>
        </w:tc>
        <w:tc>
          <w:tcPr>
            <w:tcW w:w="1068" w:type="pct"/>
            <w:tcBorders>
              <w:top w:val="nil"/>
              <w:left w:val="nil"/>
              <w:bottom w:val="single" w:sz="4" w:space="0" w:color="808080"/>
              <w:right w:val="single" w:sz="4" w:space="0" w:color="808080"/>
            </w:tcBorders>
            <w:shd w:val="clear" w:color="000000" w:fill="D9D9D9"/>
            <w:noWrap/>
            <w:vAlign w:val="center"/>
            <w:hideMark/>
          </w:tcPr>
          <w:p>
            <w:r>
              <w:t>280,800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CARTAGENA DE INDIAS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