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INTERCONTINENTAL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INTERCONTINENTAL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41,568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1,641,936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164,193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6,567</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1,471,176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10,392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10,392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41,568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INTERCONTINENTAL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