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GEC, EPM</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CLINICA PORTO AZUL</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GEC, EPM</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4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2021-09-21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etorres@julia-rd.com.co</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CLINICA PORTO AZUL</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54,336</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2,146,272</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214,627</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8,585</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1,923,060</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13,584</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13,584</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13,584</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13,584</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4 días</w:t>
            </w:r>
          </w:p>
        </w:tc>
        <w:tc>
          <w:tcPr>
            <w:tcW w:w="926" w:type="pct"/>
            <w:tcBorders>
              <w:top w:val="nil"/>
              <w:left w:val="nil"/>
              <w:bottom w:val="single" w:sz="4" w:space="0" w:color="808080"/>
              <w:right w:val="single" w:sz="4" w:space="0" w:color="808080"/>
            </w:tcBorders>
            <w:shd w:val="clear" w:color="000000" w:fill="D9D9D9"/>
            <w:noWrap/>
            <w:vAlign w:val="center"/>
            <w:hideMark/>
          </w:tcPr>
          <w:p>
            <w:r>
              <w:t>8,475,792</w:t>
            </w:r>
          </w:p>
        </w:tc>
        <w:tc>
          <w:tcPr>
            <w:tcW w:w="1068" w:type="pct"/>
            <w:tcBorders>
              <w:top w:val="nil"/>
              <w:left w:val="nil"/>
              <w:bottom w:val="single" w:sz="4" w:space="0" w:color="808080"/>
              <w:right w:val="single" w:sz="4" w:space="0" w:color="808080"/>
            </w:tcBorders>
            <w:shd w:val="clear" w:color="000000" w:fill="D9D9D9"/>
            <w:noWrap/>
            <w:vAlign w:val="center"/>
            <w:hideMark/>
          </w:tcPr>
          <w:p>
            <w:r>
              <w:t>54,336</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CLINICA PORTO AZUL</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