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COLOMBINA TULUA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11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2021-10-03</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COLOMBINA TULUA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9%</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433,224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17,112,348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1,540,111</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68,449</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15,503,788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39,384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443A0E5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2021-10-03</w:t>
            </w:r>
          </w:p>
        </w:tc>
        <w:tc>
          <w:tcPr>
            <w:tcW w:w="926" w:type="pct"/>
            <w:tcBorders>
              <w:top w:val="nil"/>
              <w:left w:val="nil"/>
              <w:bottom w:val="single" w:sz="4" w:space="0" w:color="808080"/>
              <w:right w:val="single" w:sz="4" w:space="0" w:color="808080"/>
            </w:tcBorders>
            <w:shd w:val="clear" w:color="auto" w:fill="auto"/>
            <w:noWrap/>
            <w:vAlign w:val="center"/>
          </w:tcPr>
          <w:p>
            <w:r>
              <w:t>66,000</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11 días</w:t>
            </w:r>
          </w:p>
        </w:tc>
        <w:tc>
          <w:tcPr>
            <w:tcW w:w="926" w:type="pct"/>
            <w:tcBorders>
              <w:top w:val="nil"/>
              <w:left w:val="nil"/>
              <w:bottom w:val="single" w:sz="4" w:space="0" w:color="808080"/>
              <w:right w:val="single" w:sz="4" w:space="0" w:color="808080"/>
            </w:tcBorders>
            <w:shd w:val="clear" w:color="000000" w:fill="D9D9D9"/>
            <w:noWrap/>
            <w:vAlign w:val="center"/>
            <w:hideMark/>
          </w:tcPr>
          <w:p>
            <w:r>
              <w:t>15,936,288</w:t>
            </w:r>
          </w:p>
        </w:tc>
        <w:tc>
          <w:tcPr>
            <w:tcW w:w="1068" w:type="pct"/>
            <w:tcBorders>
              <w:top w:val="nil"/>
              <w:left w:val="nil"/>
              <w:bottom w:val="single" w:sz="4" w:space="0" w:color="808080"/>
              <w:right w:val="single" w:sz="4" w:space="0" w:color="808080"/>
            </w:tcBorders>
            <w:shd w:val="clear" w:color="000000" w:fill="D9D9D9"/>
            <w:noWrap/>
            <w:vAlign w:val="center"/>
            <w:hideMark/>
          </w:tcPr>
          <w:p>
            <w:r>
              <w:t>433,224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COLOMBINA TULUA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