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FRONTERA ENERGY</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FRONTERA ENERGY</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8%</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3,553,248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140,353,296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11,228,263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561,413</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128,563,620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503,688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500,952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497,448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503,832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542,688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503,688</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500,952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3,553,248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FRONTERA ENERGY</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