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HILANDERIAS UNIVERSAL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HILANDERIAS UNIVERSAL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1,365,432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53,934,564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5,393,456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215,738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48,325,370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135,672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136,440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136,824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137,256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136,320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137,256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137,232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136,320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135,672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136,440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20,884,536</w:t>
            </w:r>
          </w:p>
        </w:tc>
        <w:tc>
          <w:tcPr>
            <w:tcW w:w="1068" w:type="pct"/>
            <w:tcBorders>
              <w:top w:val="nil"/>
              <w:left w:val="nil"/>
              <w:bottom w:val="single" w:sz="4" w:space="0" w:color="808080"/>
              <w:right w:val="single" w:sz="4" w:space="0" w:color="808080"/>
            </w:tcBorders>
            <w:shd w:val="clear" w:color="000000" w:fill="D9D9D9"/>
            <w:noWrap/>
            <w:vAlign w:val="center"/>
            <w:hideMark/>
          </w:tcPr>
          <w:p>
            <w:r>
              <w:t>1,365,432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HILANDERIAS UNIVERSAL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