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ACESCO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ACESCO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210,480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8,313,960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831,396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7,449,309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210,480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ACESCO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