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CARTAGENA HILTON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CARTAGENA HILTON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133,656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5,279,412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527,941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21,117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4,730,354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19,104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19,104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16,918,848</w:t>
            </w:r>
          </w:p>
        </w:tc>
        <w:tc>
          <w:tcPr>
            <w:tcW w:w="1068" w:type="pct"/>
            <w:tcBorders>
              <w:top w:val="nil"/>
              <w:left w:val="nil"/>
              <w:bottom w:val="single" w:sz="4" w:space="0" w:color="808080"/>
              <w:right w:val="single" w:sz="4" w:space="0" w:color="808080"/>
            </w:tcBorders>
            <w:shd w:val="clear" w:color="000000" w:fill="D9D9D9"/>
            <w:noWrap/>
            <w:vAlign w:val="center"/>
            <w:hideMark/>
          </w:tcPr>
          <w:p>
            <w:r>
              <w:t>133,656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CARTAGENA HILTON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