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CLINICA PORTO AZUL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CLINICA PORTO AZUL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54,336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2,146,272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214,627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8,585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1,923,060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13,584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13,584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13,584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13,584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8,475,792</w:t>
            </w:r>
          </w:p>
        </w:tc>
        <w:tc>
          <w:tcPr>
            <w:tcW w:w="1068" w:type="pct"/>
            <w:tcBorders>
              <w:top w:val="nil"/>
              <w:left w:val="nil"/>
              <w:bottom w:val="single" w:sz="4" w:space="0" w:color="808080"/>
              <w:right w:val="single" w:sz="4" w:space="0" w:color="808080"/>
            </w:tcBorders>
            <w:shd w:val="clear" w:color="000000" w:fill="D9D9D9"/>
            <w:noWrap/>
            <w:vAlign w:val="center"/>
            <w:hideMark/>
          </w:tcPr>
          <w:p>
            <w:r>
              <w:t>54,336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CLINICA PORTO AZUL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