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MANZANILLO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MANZANILLO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74,736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2,952,072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295,207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11,808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2,645,057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8,304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8,304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19,793,472</w:t>
            </w:r>
          </w:p>
        </w:tc>
        <w:tc>
          <w:tcPr>
            <w:tcW w:w="1068" w:type="pct"/>
            <w:tcBorders>
              <w:top w:val="nil"/>
              <w:left w:val="nil"/>
              <w:bottom w:val="single" w:sz="4" w:space="0" w:color="808080"/>
              <w:right w:val="single" w:sz="4" w:space="0" w:color="808080"/>
            </w:tcBorders>
            <w:shd w:val="clear" w:color="000000" w:fill="D9D9D9"/>
            <w:noWrap/>
            <w:vAlign w:val="center"/>
            <w:hideMark/>
          </w:tcPr>
          <w:p>
            <w:r>
              <w:t>74,736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MANZANILLO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