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GEC,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FAMILIA MEDELLIN</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GEC,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FAMILIA MEDELLIN</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1,018,416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40,227,432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4,022,743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160,909</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36,043,780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130,272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128,976</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126,504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116,568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130,272</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126,576</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130,272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128,976</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19,433,808</w:t>
            </w:r>
          </w:p>
        </w:tc>
        <w:tc>
          <w:tcPr>
            <w:tcW w:w="1068" w:type="pct"/>
            <w:tcBorders>
              <w:top w:val="nil"/>
              <w:left w:val="nil"/>
              <w:bottom w:val="single" w:sz="4" w:space="0" w:color="808080"/>
              <w:right w:val="single" w:sz="4" w:space="0" w:color="808080"/>
            </w:tcBorders>
            <w:shd w:val="clear" w:color="000000" w:fill="D9D9D9"/>
            <w:noWrap/>
            <w:vAlign w:val="center"/>
            <w:hideMark/>
          </w:tcPr>
          <w:p>
            <w:r>
              <w:t>1,018,416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FAMILIA MEDELLIN</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