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GELCO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3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2021-09-18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GELCO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81,000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3,199,500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319,950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12,798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2,866,752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29,064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24,072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27,864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3 días</w:t>
            </w:r>
          </w:p>
        </w:tc>
        <w:tc>
          <w:tcPr>
            <w:tcW w:w="926" w:type="pct"/>
            <w:tcBorders>
              <w:top w:val="nil"/>
              <w:left w:val="nil"/>
              <w:bottom w:val="single" w:sz="4" w:space="0" w:color="808080"/>
              <w:right w:val="single" w:sz="4" w:space="0" w:color="808080"/>
            </w:tcBorders>
            <w:shd w:val="clear" w:color="000000" w:fill="D9D9D9"/>
            <w:noWrap/>
            <w:vAlign w:val="center"/>
            <w:hideMark/>
          </w:tcPr>
          <w:p>
            <w:r>
              <w:t>7,641,312</w:t>
            </w:r>
          </w:p>
        </w:tc>
        <w:tc>
          <w:tcPr>
            <w:tcW w:w="1068" w:type="pct"/>
            <w:tcBorders>
              <w:top w:val="nil"/>
              <w:left w:val="nil"/>
              <w:bottom w:val="single" w:sz="4" w:space="0" w:color="808080"/>
              <w:right w:val="single" w:sz="4" w:space="0" w:color="808080"/>
            </w:tcBorders>
            <w:shd w:val="clear" w:color="000000" w:fill="D9D9D9"/>
            <w:noWrap/>
            <w:vAlign w:val="center"/>
            <w:hideMark/>
          </w:tcPr>
          <w:p>
            <w:r>
              <w:t>81,000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GELCO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