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Los GeneradoresLos GeneradoresLos GeneradoresLos Generadores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OLIMPICA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Los GeneradoresLos GeneradoresLos GeneradoresLos Generadores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2021-10-03</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OLIMPICA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1,462,944</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57,786,288</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5,778,628</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231,145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51,776,515</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br/>
        <w:br/>
        <w:br/>
        <w:br/>
        <w:br/>
        <w:br/>
        <w:br/>
        <w:br/>
        <w:br/>
        <w:br/>
        <w:br/>
        <w:br/>
        <w:br/>
        <w:br/>
        <w:br/>
        <w:br/>
        <w:br/>
        <w:br/>
        <w:br/>
        <w:br/>
        <w:br/>
        <w:br/>
        <w:br/>
        <w:b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209,376</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140,016</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90,768</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39,936</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22,560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60,504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59,592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167,808</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166,272</w:t>
            </w:r>
          </w:p>
        </w:tc>
      </w:tr>
      <w:tr w:rsidR="006A03DA" w:rsidRPr="00A3591A" w14:paraId="270F9AE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164,496</w:t>
            </w:r>
          </w:p>
        </w:tc>
      </w:tr>
      <w:tr w:rsidR="006A03DA" w:rsidRPr="00A3591A" w14:paraId="443A0E5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159,144</w:t>
            </w:r>
          </w:p>
        </w:tc>
      </w:tr>
      <w:tr w:rsidR="006A03DA" w:rsidRPr="00A3591A" w14:paraId="0BCA2C2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114,912</w:t>
            </w:r>
          </w:p>
        </w:tc>
      </w:tr>
      <w:tr w:rsidR="006A03DA" w:rsidRPr="00A3591A" w14:paraId="5ABE8E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52,344</w:t>
            </w:r>
          </w:p>
        </w:tc>
      </w:tr>
      <w:tr w:rsidR="006A03DA" w:rsidRPr="00A3591A" w14:paraId="0FA3782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2021-10-03</w:t>
            </w:r>
          </w:p>
        </w:tc>
        <w:tc>
          <w:tcPr>
            <w:tcW w:w="926" w:type="pct"/>
            <w:tcBorders>
              <w:top w:val="nil"/>
              <w:left w:val="nil"/>
              <w:bottom w:val="single" w:sz="4" w:space="0" w:color="808080"/>
              <w:right w:val="single" w:sz="4" w:space="0" w:color="808080"/>
            </w:tcBorders>
            <w:shd w:val="clear" w:color="auto" w:fill="auto"/>
            <w:noWrap/>
            <w:vAlign w:val="center"/>
          </w:tcPr>
          <w:p>
            <w:r>
              <w:t>66,000</w:t>
            </w:r>
          </w:p>
        </w:tc>
        <w:tc>
          <w:tcPr>
            <w:tcW w:w="1068" w:type="pct"/>
            <w:tcBorders>
              <w:top w:val="nil"/>
              <w:left w:val="nil"/>
              <w:bottom w:val="single" w:sz="4" w:space="0" w:color="808080"/>
              <w:right w:val="single" w:sz="4" w:space="0" w:color="808080"/>
            </w:tcBorders>
            <w:shd w:val="clear" w:color="auto" w:fill="auto"/>
            <w:noWrap/>
            <w:vAlign w:val="center"/>
          </w:tcPr>
          <w:p>
            <w:r>
              <w:t>15,216</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14 días</w:t>
            </w:r>
          </w:p>
        </w:tc>
        <w:tc>
          <w:tcPr>
            <w:tcW w:w="926" w:type="pct"/>
            <w:tcBorders>
              <w:top w:val="nil"/>
              <w:left w:val="nil"/>
              <w:bottom w:val="single" w:sz="4" w:space="0" w:color="808080"/>
              <w:right w:val="single" w:sz="4" w:space="0" w:color="808080"/>
            </w:tcBorders>
            <w:shd w:val="clear" w:color="000000" w:fill="D9D9D9"/>
            <w:noWrap/>
            <w:vAlign w:val="center"/>
            <w:hideMark/>
          </w:tcPr>
          <w:p>
            <w:r>
              <w:t>23,019,408</w:t>
            </w:r>
          </w:p>
        </w:tc>
        <w:tc>
          <w:tcPr>
            <w:tcW w:w="1068" w:type="pct"/>
            <w:tcBorders>
              <w:top w:val="nil"/>
              <w:left w:val="nil"/>
              <w:bottom w:val="single" w:sz="4" w:space="0" w:color="808080"/>
              <w:right w:val="single" w:sz="4" w:space="0" w:color="808080"/>
            </w:tcBorders>
            <w:shd w:val="clear" w:color="000000" w:fill="D9D9D9"/>
            <w:noWrap/>
            <w:vAlign w:val="center"/>
            <w:hideMark/>
          </w:tcPr>
          <w:p>
            <w:r>
              <w:t>1,462,944</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OLIMPICA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