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FIBERGLASS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FIBERGLASS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4,664,160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466,416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18,656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4,179,088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19,680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9,926,520</w:t>
            </w:r>
          </w:p>
        </w:tc>
        <w:tc>
          <w:tcPr>
            <w:tcW w:w="1068" w:type="pct"/>
            <w:tcBorders>
              <w:top w:val="nil"/>
              <w:left w:val="nil"/>
              <w:bottom w:val="single" w:sz="4" w:space="0" w:color="808080"/>
              <w:right w:val="single" w:sz="4" w:space="0" w:color="808080"/>
            </w:tcBorders>
            <w:shd w:val="clear" w:color="000000" w:fill="D9D9D9"/>
            <w:noWrap/>
            <w:vAlign w:val="center"/>
            <w:hideMark/>
          </w:tcPr>
          <w:p>
            <w:r>
              <w:t>118,080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FIBERGLASS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