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PUERTO BUENAVENTURA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PUERTO BUENAVENTURA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320,256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12,650,112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1,265,011</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50,600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11,334,501</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40,032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19,433,808</w:t>
            </w:r>
          </w:p>
        </w:tc>
        <w:tc>
          <w:tcPr>
            <w:tcW w:w="1068" w:type="pct"/>
            <w:tcBorders>
              <w:top w:val="nil"/>
              <w:left w:val="nil"/>
              <w:bottom w:val="single" w:sz="4" w:space="0" w:color="808080"/>
              <w:right w:val="single" w:sz="4" w:space="0" w:color="808080"/>
            </w:tcBorders>
            <w:shd w:val="clear" w:color="000000" w:fill="D9D9D9"/>
            <w:noWrap/>
            <w:vAlign w:val="center"/>
            <w:hideMark/>
          </w:tcPr>
          <w:p>
            <w:r>
              <w:t>320,256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PUERTO BUENAVENTURA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