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97,873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321,625,229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14,201,928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8.75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13.63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2.29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59.44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53.79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44.92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65.22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38.18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35.4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1,966,982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1,966,942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1,966,942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1,966,942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1,966,942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1,966,942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1,966,942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1,966,942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1,966,982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1,966,922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1,966,922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1,966,922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1,966,922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96,881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1,964,488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96,884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1,964,549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1,966,982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1,966,922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97,001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1,966,922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GASES INDUSTRIALES DE COLOMBIA S.A. - CRYOGAS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Frt00688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Frt34406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97,872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CRYOGAS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