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FRONTERA ENERGY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FRONTERA ENERGY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FRONTERA ENERGY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542,679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8%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FRONTERA ENERGY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13,246,870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1,369,338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313,578,085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FRONTERA ENERGY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FRONTERA ENERGY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542,679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FRONTERA ENERGY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$ 313,578,085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500,674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497,374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503,757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542,607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503,613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500,877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500,661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500,877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497,374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503,757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542,607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503,591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500,855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503,200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542,609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497,439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503,823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542,679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503,679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500,943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500,727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505,527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497,439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503,823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542,679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503,679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69,479,775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13,246,870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