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9,557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3,299,021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162,695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3.3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9,405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190,708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9,645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195,575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9,647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195,615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9,647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195,615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9,645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195,575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9,645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195,575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9,503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192,695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9,503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192,695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9,383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190,262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9,455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191,722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9,647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195,615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9,647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195,615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9,479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192,209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9,647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195,615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9,647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195,615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9,647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195,615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9,503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192,695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HOTEL ALMIRANTE CARTAGENA COLOMBIA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Frt00433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Frt43098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9,557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17.0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2022-02-20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HOTEL ALMIRANTE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