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49,262.142857142855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27,419,681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1,140,115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25,475,715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1,119,406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FAMILIA RIONEGRO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Thannia Huertas / Especialista Energía Eléctrica / thanniahc@grupofamilia.com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SANITARIOS SANCELA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Frt00607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49,262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