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Руководство пользователя Реактив CRM</w:t>
      </w:r>
    </w:p>
    <w:p>
      <w:pPr>
        <w:pStyle w:val="Subtitle"/>
      </w:pPr>
      <w:r>
        <w:t>Работа с клиентами, заявками, расчётами и поставками</w:t>
      </w:r>
    </w:p>
    <w:p>
      <w:pPr/>
      <w:r>
        <w:t>Редакция 2 · 2 октября 2026 года</w:t>
      </w:r>
    </w:p>
    <w:p>
      <w:pPr/>
      <w:r>
        <w:t>Руководство предназначено менеджерам продаж, закупщикам, владельцам расчётов, финансовым сотрудникам, логистам и руководителям. Оно описывает работу CRM с обновлениями от 1 и 2 октября 2026 года: от исходной потребности покупателя до предложения, оплаты и фактической поставки.</w:t>
      </w:r>
    </w:p>
    <w:p>
      <w:pPr/>
      <w:r>
        <w:t>CRM сохраняет исходный запрос, предложения поставщиков, финансовые версии, документы и историю исполнения. Расчёт строится по ценам выбранных квот и опубликованному финансовому профилю. Общие расходы распределяются по составу волны, а режим вычета НДС выбирается при расчёте.</w:t>
      </w:r>
    </w:p>
    <w:p>
      <w:pPr/>
      <w:r>
        <w:t>Для первой сделки пройдите главы 1–6, затем проверьте результат по главам 7–8. Документы, платежи и исполнение разобраны в главах 10–12. Финансовые ставки, курсы и правила перед регулярной работой согласуйте с ответственным за расчёты. Числа в учебном примере показывают работу модели и не задают ставки вашей компании.</w:t>
      </w:r>
    </w:p>
    <w:p>
      <w:pPr/>
      <w:r>
        <w:rPr>
          <w:b/>
        </w:rPr>
        <w:t>Что изменилось в этой редакции.</w:t>
      </w:r>
      <w:r>
        <w:t xml:space="preserve"> Разделены холодная и рабочая базы; добавлены контакты поставщиков и документы контрагентов. Запрос можно выгружать одним файлом для всех поставщиков. Шаблон квот содержит товарную группу. Волны планируются по неделям; их расходы пересчитываются по всему составу. Добавлены вычет НДС, общий срок поставки и выбор валюты платежа из списка.</w:t>
      </w:r>
    </w:p>
    <w:p>
      <w:pPr>
        <w:pStyle w:val="Heading2"/>
      </w:pPr>
      <w:r>
        <w:t>Содержание</w:t>
      </w:r>
    </w:p>
    <w:p>
      <w:pPr>
        <w:spacing w:after="40" w:line="240" w:lineRule="auto"/>
      </w:pPr>
      <w:hyperlink w:anchor="chapter_1">
        <w:r>
          <w:rPr>
            <w:color w:val="305E81"/>
          </w:rPr>
          <w:t>1 Общий маршрут и навигация</w:t>
        </w:r>
      </w:hyperlink>
    </w:p>
    <w:p>
      <w:pPr>
        <w:spacing w:after="40" w:line="240" w:lineRule="auto"/>
      </w:pPr>
      <w:hyperlink w:anchor="chapter_2">
        <w:r>
          <w:rPr>
            <w:color w:val="305E81"/>
          </w:rPr>
          <w:t>2 Компании, контакты и документы</w:t>
        </w:r>
      </w:hyperlink>
    </w:p>
    <w:p>
      <w:pPr>
        <w:spacing w:after="40" w:line="240" w:lineRule="auto"/>
      </w:pPr>
      <w:hyperlink w:anchor="chapter_3">
        <w:r>
          <w:rPr>
            <w:color w:val="305E81"/>
          </w:rPr>
          <w:t>3 Заявка и исходная таблица</w:t>
        </w:r>
      </w:hyperlink>
    </w:p>
    <w:p>
      <w:pPr>
        <w:spacing w:after="40" w:line="240" w:lineRule="auto"/>
      </w:pPr>
      <w:hyperlink w:anchor="chapter_4">
        <w:r>
          <w:rPr>
            <w:color w:val="305E81"/>
          </w:rPr>
          <w:t>4 Общий запрос поставщикам</w:t>
        </w:r>
      </w:hyperlink>
    </w:p>
    <w:p>
      <w:pPr>
        <w:spacing w:after="40" w:line="240" w:lineRule="auto"/>
      </w:pPr>
      <w:hyperlink w:anchor="chapter_5">
        <w:r>
          <w:rPr>
            <w:color w:val="305E81"/>
          </w:rPr>
          <w:t>5 Квоты, номенклатура и товарные группы</w:t>
        </w:r>
      </w:hyperlink>
    </w:p>
    <w:p>
      <w:pPr>
        <w:spacing w:after="40" w:line="240" w:lineRule="auto"/>
      </w:pPr>
      <w:hyperlink w:anchor="chapter_6">
        <w:r>
          <w:rPr>
            <w:color w:val="305E81"/>
          </w:rPr>
          <w:t>6 Подготовка и сохранение расчёта</w:t>
        </w:r>
      </w:hyperlink>
    </w:p>
    <w:p>
      <w:pPr>
        <w:spacing w:after="40" w:line="240" w:lineRule="auto"/>
      </w:pPr>
      <w:hyperlink w:anchor="chapter_7">
        <w:r>
          <w:rPr>
            <w:color w:val="305E81"/>
          </w:rPr>
          <w:t>7 Как рассчитываются цена и финансовые показатели</w:t>
        </w:r>
      </w:hyperlink>
    </w:p>
    <w:p>
      <w:pPr>
        <w:spacing w:after="40" w:line="240" w:lineRule="auto"/>
      </w:pPr>
      <w:hyperlink w:anchor="chapter_8">
        <w:r>
          <w:rPr>
            <w:color w:val="305E81"/>
          </w:rPr>
          <w:t>8 Учебный пример двух режимов НДС</w:t>
        </w:r>
      </w:hyperlink>
    </w:p>
    <w:p>
      <w:pPr>
        <w:spacing w:after="40" w:line="240" w:lineRule="auto"/>
      </w:pPr>
      <w:hyperlink w:anchor="chapter_9">
        <w:r>
          <w:rPr>
            <w:color w:val="305E81"/>
          </w:rPr>
          <w:t>9 Планирование волн и пересчёт расходов</w:t>
        </w:r>
      </w:hyperlink>
    </w:p>
    <w:p>
      <w:pPr>
        <w:spacing w:after="40" w:line="240" w:lineRule="auto"/>
      </w:pPr>
      <w:hyperlink w:anchor="chapter_10">
        <w:r>
          <w:rPr>
            <w:color w:val="305E81"/>
          </w:rPr>
          <w:t>10 Коммерческое предложение и счёт</w:t>
        </w:r>
      </w:hyperlink>
    </w:p>
    <w:p>
      <w:pPr>
        <w:spacing w:after="40" w:line="240" w:lineRule="auto"/>
      </w:pPr>
      <w:hyperlink w:anchor="chapter_11">
        <w:r>
          <w:rPr>
            <w:color w:val="305E81"/>
          </w:rPr>
          <w:t>11 Оплаты и задолженность</w:t>
        </w:r>
      </w:hyperlink>
    </w:p>
    <w:p>
      <w:pPr>
        <w:spacing w:after="40" w:line="240" w:lineRule="auto"/>
      </w:pPr>
      <w:hyperlink w:anchor="chapter_12">
        <w:r>
          <w:rPr>
            <w:color w:val="305E81"/>
          </w:rPr>
          <w:t>12 Согласование и фактическая поставка</w:t>
        </w:r>
      </w:hyperlink>
    </w:p>
    <w:p>
      <w:pPr>
        <w:spacing w:after="40" w:line="240" w:lineRule="auto"/>
      </w:pPr>
      <w:hyperlink w:anchor="chapter_13">
        <w:r>
          <w:rPr>
            <w:color w:val="305E81"/>
          </w:rPr>
          <w:t>13 Настройки, роли и ежедневная работа</w:t>
        </w:r>
      </w:hyperlink>
    </w:p>
    <w:p>
      <w:pPr>
        <w:spacing w:after="40" w:line="240" w:lineRule="auto"/>
      </w:pPr>
      <w:hyperlink w:anchor="chapter_14">
        <w:r>
          <w:rPr>
            <w:color w:val="305E81"/>
          </w:rPr>
          <w:t>14 Частые вопросы и контроль перед отправкой</w:t>
        </w:r>
      </w:hyperlink>
    </w:p>
    <w:p>
      <w:pPr>
        <w:spacing w:after="40" w:line="240" w:lineRule="auto"/>
      </w:pPr>
      <w:hyperlink w:anchor="chapter_15">
        <w:r>
          <w:rPr>
            <w:color w:val="305E81"/>
          </w:rPr>
          <w:t>Приложение. Термины</w:t>
        </w:r>
      </w:hyperlink>
    </w:p>
    <w:p>
      <w:r>
        <w:br w:type="page"/>
      </w:r>
    </w:p>
    <w:p>
      <w:bookmarkStart w:id="1" w:name="chapter_1"/>
      <w:pPr>
        <w:pStyle w:val="Heading1"/>
      </w:pPr>
      <w:r>
        <w:t>1 Общий маршрут и навигация</w:t>
      </w:r>
      <w:bookmarkEnd w:id="1"/>
    </w:p>
    <w:p>
      <w:pPr>
        <w:pStyle w:val="Heading2"/>
      </w:pPr>
      <w:r>
        <w:t>Маршрут одной сделки</w:t>
      </w:r>
    </w:p>
    <w:p>
      <w:pPr>
        <w:pStyle w:val="ListNumber"/>
        <w:numPr>
          <w:ilvl w:val="0"/>
          <w:numId w:val="10"/>
        </w:numPr>
      </w:pPr>
      <w:r>
        <w:t>Создайте покупателя в рабочей базе или перенесите его из базы обзвона. Назначьте ответственного и нужный контакт.</w:t>
      </w:r>
    </w:p>
    <w:p>
      <w:pPr>
        <w:pStyle w:val="ListNumber"/>
        <w:numPr>
          <w:ilvl w:val="0"/>
          <w:numId w:val="10"/>
        </w:numPr>
      </w:pPr>
      <w:r>
        <w:t>Создайте заявку и зафиксируйте исходную таблицу потребности клиента. На этом этапе точной номенклатуры может ещё не быть.</w:t>
      </w:r>
    </w:p>
    <w:p>
      <w:pPr>
        <w:pStyle w:val="ListNumber"/>
        <w:numPr>
          <w:ilvl w:val="0"/>
          <w:numId w:val="10"/>
        </w:numPr>
      </w:pPr>
      <w:r>
        <w:t>Выберите позиции и выгрузите общий запрос поставщикам. Передайте файл поставщикам и отметьте отправку.</w:t>
      </w:r>
    </w:p>
    <w:p>
      <w:pPr>
        <w:pStyle w:val="ListNumber"/>
        <w:numPr>
          <w:ilvl w:val="0"/>
          <w:numId w:val="10"/>
        </w:numPr>
      </w:pPr>
      <w:r>
        <w:t>Внесите ответы поставщиков как квоты. При массовой загрузке CRM находит номенклатуру по артикулу либо создаёт новую по проверенным данным.</w:t>
      </w:r>
    </w:p>
    <w:p>
      <w:pPr>
        <w:pStyle w:val="ListNumber"/>
        <w:numPr>
          <w:ilvl w:val="0"/>
          <w:numId w:val="10"/>
        </w:numPr>
      </w:pPr>
      <w:r>
        <w:t>Выберите квоты для расчёта. Назначьте плановую волну, выберите финансовый профиль, режим НДС, расходы, наценку и срок поставки.</w:t>
      </w:r>
    </w:p>
    <w:p>
      <w:pPr>
        <w:pStyle w:val="ListNumber"/>
        <w:numPr>
          <w:ilvl w:val="0"/>
          <w:numId w:val="10"/>
        </w:numPr>
      </w:pPr>
      <w:r>
        <w:t>Выполните предварительный расчёт, проверьте результат и нажмите «Записать версию».</w:t>
      </w:r>
    </w:p>
    <w:p>
      <w:pPr>
        <w:pStyle w:val="ListNumber"/>
        <w:numPr>
          <w:ilvl w:val="0"/>
          <w:numId w:val="10"/>
        </w:numPr>
      </w:pPr>
      <w:r>
        <w:t>Выпустите КП по записанной версии. Скачайте PDF или XLSX и передайте покупателю.</w:t>
      </w:r>
    </w:p>
    <w:p>
      <w:pPr>
        <w:pStyle w:val="ListNumber"/>
        <w:numPr>
          <w:ilvl w:val="0"/>
          <w:numId w:val="10"/>
        </w:numPr>
      </w:pPr>
      <w:r>
        <w:t>После ответа клиента примите согласованный состав и количество. На принятое количество выставьте счёт.</w:t>
      </w:r>
    </w:p>
    <w:p>
      <w:pPr>
        <w:pStyle w:val="ListNumber"/>
        <w:numPr>
          <w:ilvl w:val="0"/>
          <w:numId w:val="10"/>
        </w:numPr>
      </w:pPr>
      <w:r>
        <w:t>Передайте позиции исполнения на согласование и распределите согласованное количество в волну.</w:t>
      </w:r>
    </w:p>
    <w:p>
      <w:pPr>
        <w:pStyle w:val="ListNumber"/>
        <w:numPr>
          <w:ilvl w:val="0"/>
          <w:numId w:val="10"/>
        </w:numPr>
      </w:pPr>
      <w:r>
        <w:t>Независимо от запуска работы заявите платёж, подтвердите поступление и распределите сумму по счетам.</w:t>
      </w:r>
    </w:p>
    <w:p>
      <w:pPr>
        <w:pStyle w:val="ListNumber"/>
        <w:numPr>
          <w:ilvl w:val="0"/>
          <w:numId w:val="10"/>
        </w:numPr>
      </w:pPr>
      <w:r>
        <w:t>По фактическому движению товара записывайте события исполнения и проверяйте принятые, отправленные и доставленные количества.</w:t>
      </w:r>
    </w:p>
    <w:p>
      <w:pPr/>
      <w:r>
        <w:rPr>
          <w:b/>
        </w:rPr>
        <w:t>Начало работы и деньги учитываются раздельно.</w:t>
      </w:r>
      <w:r>
        <w:t xml:space="preserve"> В «Позициях запроса» можно отметить строки и нажать «В работу». Это статус работы с потребностью; он не заменяет принятие покупателем состава, согласование закупки, счёт или платёж. Согласование и распределение в волну доступны до оплаты. Требование к финансированию проверяется перед отправкой товара.</w:t>
      </w:r>
    </w:p>
    <w:p>
      <w:pPr>
        <w:pStyle w:val="Heading2"/>
      </w:pPr>
      <w:r>
        <w:t>Где искать действия</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10" w:type="dxa"/>
          <w:right w:w="110" w:type="dxa"/>
        </w:tblCellMar>
      </w:tblPr>
      <w:tblGrid>
        <w:gridCol w:w="3402"/>
        <w:gridCol w:w="6463"/>
      </w:tblGrid>
      <w:tr>
        <w:trPr>
          <w:cantSplit/>
          <w:tblHeader/>
        </w:trPr>
        <w:tc>
          <w:tcPr>
            <w:tcW w:type="dxa" w:w="3402"/>
            <w:vAlign w:val="center"/>
            <w:shd w:fill="DCE7F0"/>
          </w:tcPr>
          <w:p>
            <w:pPr>
              <w:keepNext/>
              <w:spacing w:after="0" w:before="0" w:line="254" w:lineRule="auto"/>
              <w:jc w:val="left"/>
            </w:pPr>
            <w:r>
              <w:rPr>
                <w:b/>
                <w:sz w:val="19"/>
              </w:rPr>
              <w:t>Раздел или вкладка</w:t>
            </w:r>
          </w:p>
        </w:tc>
        <w:tc>
          <w:tcPr>
            <w:tcW w:type="dxa" w:w="6463"/>
            <w:vAlign w:val="center"/>
            <w:shd w:fill="DCE7F0"/>
          </w:tcPr>
          <w:p>
            <w:pPr>
              <w:keepNext/>
              <w:spacing w:after="0" w:before="0" w:line="254" w:lineRule="auto"/>
              <w:jc w:val="left"/>
            </w:pPr>
            <w:r>
              <w:rPr>
                <w:b/>
                <w:sz w:val="19"/>
              </w:rPr>
              <w:t>Основные записи</w:t>
            </w:r>
          </w:p>
        </w:tc>
      </w:tr>
      <w:tr>
        <w:trPr>
          <w:cantSplit/>
        </w:trPr>
        <w:tc>
          <w:tcPr>
            <w:tcW w:type="dxa" w:w="3402"/>
            <w:vAlign w:val="center"/>
            <w:shd w:fill="FFFFFF"/>
          </w:tcPr>
          <w:p>
            <w:pPr>
              <w:keepNext w:val="0"/>
              <w:spacing w:after="0" w:before="0" w:line="254" w:lineRule="auto"/>
              <w:jc w:val="left"/>
            </w:pPr>
            <w:r>
              <w:rPr>
                <w:sz w:val="19"/>
              </w:rPr>
              <w:t>База обзвона</w:t>
            </w:r>
          </w:p>
        </w:tc>
        <w:tc>
          <w:tcPr>
            <w:tcW w:type="dxa" w:w="6463"/>
            <w:vAlign w:val="center"/>
            <w:shd w:fill="FFFFFF"/>
          </w:tcPr>
          <w:p>
            <w:pPr>
              <w:keepNext w:val="0"/>
              <w:spacing w:after="0" w:before="0" w:line="254" w:lineRule="auto"/>
              <w:jc w:val="left"/>
            </w:pPr>
            <w:r>
              <w:rPr>
                <w:sz w:val="19"/>
              </w:rPr>
              <w:t>Холодные клиенты, результаты звонков, назначение следующего действия</w:t>
            </w:r>
          </w:p>
        </w:tc>
      </w:tr>
      <w:tr>
        <w:trPr>
          <w:cantSplit/>
        </w:trPr>
        <w:tc>
          <w:tcPr>
            <w:tcW w:type="dxa" w:w="3402"/>
            <w:vAlign w:val="center"/>
            <w:shd w:fill="FFFFFF"/>
          </w:tcPr>
          <w:p>
            <w:pPr>
              <w:keepNext w:val="0"/>
              <w:spacing w:after="0" w:before="0" w:line="254" w:lineRule="auto"/>
              <w:jc w:val="left"/>
            </w:pPr>
            <w:r>
              <w:rPr>
                <w:sz w:val="19"/>
              </w:rPr>
              <w:t>Клиенты</w:t>
            </w:r>
          </w:p>
        </w:tc>
        <w:tc>
          <w:tcPr>
            <w:tcW w:type="dxa" w:w="6463"/>
            <w:vAlign w:val="center"/>
            <w:shd w:fill="FFFFFF"/>
          </w:tcPr>
          <w:p>
            <w:pPr>
              <w:keepNext w:val="0"/>
              <w:spacing w:after="0" w:before="0" w:line="254" w:lineRule="auto"/>
              <w:jc w:val="left"/>
            </w:pPr>
            <w:r>
              <w:rPr>
                <w:sz w:val="19"/>
              </w:rPr>
              <w:t>Рабочие покупатели и поставщики, ответственные, реквизиты, контакты и документы</w:t>
            </w:r>
          </w:p>
        </w:tc>
      </w:tr>
      <w:tr>
        <w:trPr>
          <w:cantSplit/>
        </w:trPr>
        <w:tc>
          <w:tcPr>
            <w:tcW w:type="dxa" w:w="3402"/>
            <w:vAlign w:val="center"/>
            <w:shd w:fill="FFFFFF"/>
          </w:tcPr>
          <w:p>
            <w:pPr>
              <w:keepNext w:val="0"/>
              <w:spacing w:after="0" w:before="0" w:line="254" w:lineRule="auto"/>
              <w:jc w:val="left"/>
            </w:pPr>
            <w:r>
              <w:rPr>
                <w:sz w:val="19"/>
              </w:rPr>
              <w:t>Контакты</w:t>
            </w:r>
          </w:p>
        </w:tc>
        <w:tc>
          <w:tcPr>
            <w:tcW w:type="dxa" w:w="6463"/>
            <w:vAlign w:val="center"/>
            <w:shd w:fill="FFFFFF"/>
          </w:tcPr>
          <w:p>
            <w:pPr>
              <w:keepNext w:val="0"/>
              <w:spacing w:after="0" w:before="0" w:line="254" w:lineRule="auto"/>
              <w:jc w:val="left"/>
            </w:pPr>
            <w:r>
              <w:rPr>
                <w:sz w:val="19"/>
              </w:rPr>
              <w:t>Контактные лица покупателей и поставщиков</w:t>
            </w:r>
          </w:p>
        </w:tc>
      </w:tr>
      <w:tr>
        <w:trPr>
          <w:cantSplit/>
        </w:trPr>
        <w:tc>
          <w:tcPr>
            <w:tcW w:type="dxa" w:w="3402"/>
            <w:vAlign w:val="center"/>
            <w:shd w:fill="FFFFFF"/>
          </w:tcPr>
          <w:p>
            <w:pPr>
              <w:keepNext w:val="0"/>
              <w:spacing w:after="0" w:before="0" w:line="254" w:lineRule="auto"/>
              <w:jc w:val="left"/>
            </w:pPr>
            <w:r>
              <w:rPr>
                <w:sz w:val="19"/>
              </w:rPr>
              <w:t>Заявки</w:t>
            </w:r>
          </w:p>
        </w:tc>
        <w:tc>
          <w:tcPr>
            <w:tcW w:type="dxa" w:w="6463"/>
            <w:vAlign w:val="center"/>
            <w:shd w:fill="FFFFFF"/>
          </w:tcPr>
          <w:p>
            <w:pPr>
              <w:keepNext w:val="0"/>
              <w:spacing w:after="0" w:before="0" w:line="254" w:lineRule="auto"/>
              <w:jc w:val="left"/>
            </w:pPr>
            <w:r>
              <w:rPr>
                <w:sz w:val="19"/>
              </w:rPr>
              <w:t>Сделки, исходные позиции и дальнейшие этапы</w:t>
            </w:r>
          </w:p>
        </w:tc>
      </w:tr>
      <w:tr>
        <w:trPr>
          <w:cantSplit/>
        </w:trPr>
        <w:tc>
          <w:tcPr>
            <w:tcW w:type="dxa" w:w="3402"/>
            <w:vAlign w:val="center"/>
            <w:shd w:fill="FFFFFF"/>
          </w:tcPr>
          <w:p>
            <w:pPr>
              <w:keepNext w:val="0"/>
              <w:spacing w:after="0" w:before="0" w:line="254" w:lineRule="auto"/>
              <w:jc w:val="left"/>
            </w:pPr>
            <w:r>
              <w:rPr>
                <w:sz w:val="19"/>
              </w:rPr>
              <w:t>Номенклатура</w:t>
            </w:r>
          </w:p>
        </w:tc>
        <w:tc>
          <w:tcPr>
            <w:tcW w:type="dxa" w:w="6463"/>
            <w:vAlign w:val="center"/>
            <w:shd w:fill="FFFFFF"/>
          </w:tcPr>
          <w:p>
            <w:pPr>
              <w:keepNext w:val="0"/>
              <w:spacing w:after="0" w:before="0" w:line="254" w:lineRule="auto"/>
              <w:jc w:val="left"/>
            </w:pPr>
            <w:r>
              <w:rPr>
                <w:sz w:val="19"/>
              </w:rPr>
              <w:t>Товары, артикулы, характеристики, группы и фасовки</w:t>
            </w:r>
          </w:p>
        </w:tc>
      </w:tr>
      <w:tr>
        <w:trPr>
          <w:cantSplit/>
        </w:trPr>
        <w:tc>
          <w:tcPr>
            <w:tcW w:type="dxa" w:w="3402"/>
            <w:vAlign w:val="center"/>
            <w:shd w:fill="FFFFFF"/>
          </w:tcPr>
          <w:p>
            <w:pPr>
              <w:keepNext w:val="0"/>
              <w:spacing w:after="0" w:before="0" w:line="254" w:lineRule="auto"/>
              <w:jc w:val="left"/>
            </w:pPr>
            <w:r>
              <w:rPr>
                <w:sz w:val="19"/>
              </w:rPr>
              <w:t>Волны поставок</w:t>
            </w:r>
          </w:p>
        </w:tc>
        <w:tc>
          <w:tcPr>
            <w:tcW w:type="dxa" w:w="6463"/>
            <w:vAlign w:val="center"/>
            <w:shd w:fill="FFFFFF"/>
          </w:tcPr>
          <w:p>
            <w:pPr>
              <w:keepNext w:val="0"/>
              <w:spacing w:after="0" w:before="0" w:line="254" w:lineRule="auto"/>
              <w:jc w:val="left"/>
            </w:pPr>
            <w:r>
              <w:rPr>
                <w:sz w:val="19"/>
              </w:rPr>
              <w:t>План по неделям, состав, текущие расходы и события движения</w:t>
            </w:r>
          </w:p>
        </w:tc>
      </w:tr>
      <w:tr>
        <w:trPr>
          <w:cantSplit/>
        </w:trPr>
        <w:tc>
          <w:tcPr>
            <w:tcW w:type="dxa" w:w="3402"/>
            <w:vAlign w:val="center"/>
            <w:shd w:fill="FFFFFF"/>
          </w:tcPr>
          <w:p>
            <w:pPr>
              <w:keepNext w:val="0"/>
              <w:spacing w:after="0" w:before="0" w:line="254" w:lineRule="auto"/>
              <w:jc w:val="left"/>
            </w:pPr>
            <w:r>
              <w:rPr>
                <w:sz w:val="19"/>
              </w:rPr>
              <w:t>Документы Оплаты Согласования</w:t>
            </w:r>
          </w:p>
        </w:tc>
        <w:tc>
          <w:tcPr>
            <w:tcW w:type="dxa" w:w="6463"/>
            <w:vAlign w:val="center"/>
            <w:shd w:fill="FFFFFF"/>
          </w:tcPr>
          <w:p>
            <w:pPr>
              <w:keepNext w:val="0"/>
              <w:spacing w:after="0" w:before="0" w:line="254" w:lineRule="auto"/>
              <w:jc w:val="left"/>
            </w:pPr>
            <w:r>
              <w:rPr>
                <w:sz w:val="19"/>
              </w:rPr>
              <w:t>Общие реестры по доступным заявкам</w:t>
            </w:r>
          </w:p>
        </w:tc>
      </w:tr>
      <w:tr>
        <w:trPr>
          <w:cantSplit/>
        </w:trPr>
        <w:tc>
          <w:tcPr>
            <w:tcW w:type="dxa" w:w="3402"/>
            <w:vAlign w:val="center"/>
            <w:shd w:fill="FFFFFF"/>
          </w:tcPr>
          <w:p>
            <w:pPr>
              <w:keepNext w:val="0"/>
              <w:spacing w:after="0" w:before="0" w:line="254" w:lineRule="auto"/>
              <w:jc w:val="left"/>
            </w:pPr>
            <w:r>
              <w:rPr>
                <w:sz w:val="19"/>
              </w:rPr>
              <w:t>Настройки</w:t>
            </w:r>
          </w:p>
        </w:tc>
        <w:tc>
          <w:tcPr>
            <w:tcW w:type="dxa" w:w="6463"/>
            <w:vAlign w:val="center"/>
            <w:shd w:fill="FFFFFF"/>
          </w:tcPr>
          <w:p>
            <w:pPr>
              <w:keepNext w:val="0"/>
              <w:spacing w:after="0" w:before="0" w:line="254" w:lineRule="auto"/>
              <w:jc w:val="left"/>
            </w:pPr>
            <w:r>
              <w:rPr>
                <w:sz w:val="19"/>
              </w:rPr>
              <w:t>Организация продавца, сотрудники, права, справочники и финансовые профили</w:t>
            </w:r>
          </w:p>
        </w:tc>
      </w:tr>
    </w:tbl>
    <w:p>
      <w:pPr>
        <w:spacing w:after="0" w:before="0" w:line="96" w:lineRule="auto"/>
      </w:pPr>
      <w:r>
        <w:rPr>
          <w:sz w:val="6"/>
        </w:rPr>
      </w:r>
    </w:p>
    <w:p>
      <w:pPr/>
      <w:r>
        <w:t>В заявке доступны вкладки «Обзор», «Позиции запроса», «Запросы поставщикам», «Квоты», «Расчёты», «КП и счета», «Оплаты», «Исполнение», «История и обсуждение». Нажатие на строку открывает её карточку и доступные действия. Набор кнопок и финансовых полей зависит от прав сотрудника.</w:t>
      </w:r>
    </w:p>
    <w:p>
      <w:bookmarkStart w:id="2" w:name="chapter_2"/>
      <w:pPr>
        <w:pStyle w:val="Heading1"/>
      </w:pPr>
      <w:r>
        <w:t>2 Компании, контакты и документы</w:t>
      </w:r>
      <w:bookmarkEnd w:id="2"/>
    </w:p>
    <w:p>
      <w:pPr>
        <w:pStyle w:val="Heading2"/>
      </w:pPr>
      <w:r>
        <w:t>Холодная и рабочая базы</w:t>
      </w:r>
    </w:p>
    <w:p>
      <w:pPr/>
      <w:r>
        <w:t>«База обзвона» предназначена для большой холодной базы. «Клиенты» содержит компании, с которыми ведётся рабочая деятельность. Для начала сделки откройте холодного клиента и нажмите «Перенести в рабочую базу». CRM переносит ту же компанию: её код, история звонков и ответственный сохраняются. Дубль организации не создаётся.</w:t>
      </w:r>
    </w:p>
    <w:p>
      <w:pPr/>
      <w:r>
        <w:t>У каждой компании есть внутренний числовой код. Он назначается автоматически и сохраняется при редактировании и переносе между базами. Код поставщика используйте в файле квот; код компании и её название можно использовать для поиска.</w:t>
      </w:r>
    </w:p>
    <w:p>
      <w:pPr>
        <w:pStyle w:val="ListNumber"/>
        <w:numPr>
          <w:ilvl w:val="0"/>
          <w:numId w:val="11"/>
        </w:numPr>
      </w:pPr>
      <w:r>
        <w:t>Откройте «Клиенты» и нажмите «Добавить контрагента».</w:t>
      </w:r>
    </w:p>
    <w:p>
      <w:pPr>
        <w:pStyle w:val="ListNumber"/>
        <w:numPr>
          <w:ilvl w:val="0"/>
          <w:numId w:val="11"/>
        </w:numPr>
      </w:pPr>
      <w:r>
        <w:t>Укажите название, тип «Клиент», «Поставщик» или оба типа, ИНН либо налоговый номер и контактные данные.</w:t>
      </w:r>
    </w:p>
    <w:p>
      <w:pPr>
        <w:pStyle w:val="ListNumber"/>
        <w:numPr>
          <w:ilvl w:val="0"/>
          <w:numId w:val="11"/>
        </w:numPr>
      </w:pPr>
      <w:r>
        <w:t>Заполните реквизиты и дополнительные сведения. Если доступно переназначение, выберите ответственного.</w:t>
      </w:r>
    </w:p>
    <w:p>
      <w:pPr>
        <w:pStyle w:val="ListNumber"/>
        <w:numPr>
          <w:ilvl w:val="0"/>
          <w:numId w:val="11"/>
        </w:numPr>
      </w:pPr>
      <w:r>
        <w:t>Сохраните карточку и проверьте присвоенный код. Перед загрузкой квот убедитесь, что поставщик уже есть в справочнике.</w:t>
      </w:r>
    </w:p>
    <w:p>
      <w:pPr/>
      <w:r>
        <w:t>Ответственный отображается в списке и карточке компании. Для смены откройте «Редактировать», выберите сотрудника и заполните «Причина изменения». Право видеть компанию и право переназначать её регулируются отдельно.</w:t>
      </w:r>
    </w:p>
    <w:p>
      <w:pPr>
        <w:pStyle w:val="Heading2"/>
      </w:pPr>
      <w:r>
        <w:t>Чьи банковские реквизиты вводить</w:t>
      </w:r>
    </w:p>
    <w:p>
      <w:pPr/>
      <w:r>
        <w:t xml:space="preserve">В карточке контрагента вводятся </w:t>
      </w:r>
      <w:r>
        <w:rPr>
          <w:b/>
        </w:rPr>
        <w:t>реквизиты самого контрагента</w:t>
      </w:r>
      <w:r>
        <w:t>. Для покупателя это данные покупателя, для поставщика — данные поставщика. Поля «Банк», «БИК», «Расчётный счёт» и «Корреспондентский счёт» относятся к организации, карточку которой вы открыли.</w:t>
      </w:r>
    </w:p>
    <w:p>
      <w:pPr/>
      <w:r>
        <w:rPr>
          <w:b/>
        </w:rPr>
        <w:t>Наши реквизиты для выставления счёта</w:t>
      </w:r>
      <w:r>
        <w:t xml:space="preserve"> заполняются в «Настройки → Организация», в карточке организации продавца. В заявке выбирается продавец, от имени которого выпускаются КП и счета. Перед первым документом проверьте его ИНН, КПП, адрес и банковские данные. Реквизиты покупателя не подставляйте вместо реквизитов продавца.</w:t>
      </w:r>
    </w:p>
    <w:p>
      <w:pPr>
        <w:pStyle w:val="Heading2"/>
      </w:pPr>
      <w:r>
        <w:t>Несколько контактов одной компании</w:t>
      </w:r>
    </w:p>
    <w:p>
      <w:pPr/>
      <w:r>
        <w:t>У компании может быть несколько закупщиков, отделов и контактных лиц. Для создания откройте компанию: справа находится блок «Контакты» с кнопкой «Добавить контакт». Заполните имя, должность, отдел, направление закупок, телефон, почту и комментарий. Нажатие на имя открывает полную карточку контакта.</w:t>
      </w:r>
    </w:p>
    <w:p>
      <w:pPr/>
      <w:r>
        <w:t>В отдельном разделе «Контакты» в поле «Контрагент» выбираются действующие компании рабочей базы, включая поставщиков. При создании заявки можно указать конкретный контакт покупателя, чтобы сохранить связь с закупщиком или отделом.</w:t>
      </w:r>
    </w:p>
    <w:p>
      <w:pPr>
        <w:pStyle w:val="Heading2"/>
      </w:pPr>
      <w:r>
        <w:t>Документы контрагента</w:t>
      </w:r>
    </w:p>
    <w:p>
      <w:pPr>
        <w:pStyle w:val="ListNumber"/>
        <w:numPr>
          <w:ilvl w:val="0"/>
          <w:numId w:val="12"/>
        </w:numPr>
      </w:pPr>
      <w:r>
        <w:t>Откройте карточку компании и раздел «Документы контрагента».</w:t>
      </w:r>
    </w:p>
    <w:p>
      <w:pPr>
        <w:pStyle w:val="ListNumber"/>
        <w:numPr>
          <w:ilvl w:val="0"/>
          <w:numId w:val="12"/>
        </w:numPr>
      </w:pPr>
      <w:r>
        <w:t>Выберите «Категория документа»: учредительные документы, договоры или прочие файлы.</w:t>
      </w:r>
    </w:p>
    <w:p>
      <w:pPr>
        <w:pStyle w:val="ListNumber"/>
        <w:numPr>
          <w:ilvl w:val="0"/>
          <w:numId w:val="12"/>
        </w:numPr>
      </w:pPr>
      <w:r>
        <w:t>Выберите «Файл документа» и нажмите «Загрузить документ».</w:t>
      </w:r>
    </w:p>
    <w:p>
      <w:pPr>
        <w:pStyle w:val="ListNumber"/>
        <w:numPr>
          <w:ilvl w:val="0"/>
          <w:numId w:val="12"/>
        </w:numPr>
      </w:pPr>
      <w:r>
        <w:t>Дождитесь успешной проверки файла. После неё доступно «Скачать».</w:t>
      </w:r>
    </w:p>
    <w:p>
      <w:pPr>
        <w:pStyle w:val="ListNumber"/>
        <w:numPr>
          <w:ilvl w:val="0"/>
          <w:numId w:val="12"/>
        </w:numPr>
      </w:pPr>
      <w:r>
        <w:t>Для устаревшего документа используйте «В архив». Он скрывается из действующего списка; файл и история сохраняются.</w:t>
      </w:r>
    </w:p>
    <w:p>
      <w:pPr/>
      <w:r>
        <w:t>Документы привязаны к конкретной компании и доступны сотрудникам с соответствующими правами. Храните здесь документы всей организации; материалы отдельной сделки удобнее прикладывать к заявке.</w:t>
      </w:r>
    </w:p>
    <w:p>
      <w:bookmarkStart w:id="3" w:name="chapter_3"/>
      <w:pPr>
        <w:pStyle w:val="Heading1"/>
      </w:pPr>
      <w:r>
        <w:t>3 Заявка и исходная таблица</w:t>
      </w:r>
      <w:bookmarkEnd w:id="3"/>
    </w:p>
    <w:p>
      <w:pPr>
        <w:pStyle w:val="Heading2"/>
      </w:pPr>
      <w:r>
        <w:t>Создание заявки</w:t>
      </w:r>
    </w:p>
    <w:p>
      <w:pPr/>
      <w:r>
        <w:t>В «Заявках» нажмите «Новая заявка», укажите тему, покупателя, организацию продавца, ответственного и контакт. Заявку также можно начать из записи звонка с результатом получения запроса. Для обучения предусмотрена отметка «Тестовая заявка»; такие заявки исключаются из рабочих отчётов.</w:t>
      </w:r>
    </w:p>
    <w:p>
      <w:pPr/>
      <w:r>
        <w:t>Номер новой заявки назначается автоматически: 1–1000, затем A1–A1000, B1–B1000 и далее; после Z1000 идёт AA1. Буквы английские. Номер не сбрасывается ежегодно и не используется повторно после удаления. Старые номера сохраняются. В существующей базе счётчик продолжает последовательность с учётом уже имеющихся заявок, поэтому первая новая запись не обязательно получает номер 1.</w:t>
      </w:r>
    </w:p>
    <w:p>
      <w:pPr>
        <w:pStyle w:val="Heading2"/>
      </w:pPr>
      <w:r>
        <w:t>Как быстро загрузить большую таблицу</w:t>
      </w:r>
    </w:p>
    <w:p>
      <w:pPr/>
      <w:r>
        <w:t xml:space="preserve">Основной формат — </w:t>
      </w:r>
      <w:r>
        <w:rPr>
          <w:b/>
        </w:rPr>
        <w:t>XLSX</w:t>
      </w:r>
      <w:r>
        <w:t xml:space="preserve">. Он подходит для исходных запросов с разными столбцами и сохраняет оформление таблицы. Если таблицу готовит нейросеть, удобно попросить </w:t>
      </w:r>
      <w:r>
        <w:rPr>
          <w:b/>
        </w:rPr>
        <w:t>TSV в UTF-8</w:t>
      </w:r>
      <w:r>
        <w:t>: первая строка содержит заголовки, столбцы разделяются табуляцией. Импорт также поддерживает CSV, TXT с табуляцией и простые Markdown-таблицы.</w:t>
      </w:r>
    </w:p>
    <w:p>
      <w:pPr>
        <w:pStyle w:val="ListNumber"/>
        <w:numPr>
          <w:ilvl w:val="0"/>
          <w:numId w:val="13"/>
        </w:numPr>
      </w:pPr>
      <w:r>
        <w:t>Откройте заявку → «Позиции запроса» → «Загрузить таблицу».</w:t>
      </w:r>
    </w:p>
    <w:p>
      <w:pPr>
        <w:pStyle w:val="ListNumber"/>
        <w:numPr>
          <w:ilvl w:val="0"/>
          <w:numId w:val="13"/>
        </w:numPr>
      </w:pPr>
      <w:r>
        <w:t>Выберите файл и нажмите «Проверить файл». Затем проверьте сопоставление исходных столбцов с полями CRM.</w:t>
      </w:r>
    </w:p>
    <w:p>
      <w:pPr>
        <w:pStyle w:val="ListNumber"/>
        <w:numPr>
          <w:ilvl w:val="0"/>
          <w:numId w:val="13"/>
        </w:numPr>
      </w:pPr>
      <w:r>
        <w:t>Просмотрите строки, количество и ошибки. Столбцы, для которых нет отдельного поля CRM, сохраняются как исходные данные.</w:t>
      </w:r>
    </w:p>
    <w:p>
      <w:pPr>
        <w:pStyle w:val="ListNumber"/>
        <w:numPr>
          <w:ilvl w:val="0"/>
          <w:numId w:val="13"/>
        </w:numPr>
      </w:pPr>
      <w:r>
        <w:t>Если изменили сопоставление, повторно нажмите «Проверить файл».</w:t>
      </w:r>
    </w:p>
    <w:p>
      <w:pPr>
        <w:pStyle w:val="ListNumber"/>
        <w:numPr>
          <w:ilvl w:val="0"/>
          <w:numId w:val="13"/>
        </w:numPr>
      </w:pPr>
      <w:r>
        <w:t>Нажмите «Записать позиции: N». Проверьте число созданных позиций и несколько контрольных строк.</w:t>
      </w:r>
    </w:p>
    <w:p>
      <w:pPr/>
      <w:r>
        <w:t>Для нейросети можно использовать такой запрос: «Сформируй TSV в UTF-8 с исходными заголовками в первой строке. Между столбцами используй табуляцию. Сохрани все строки и столбцы. Артикулы запиши как текст с ведущими нулями. Не добавляй пояснения и не выдумывай отсутствующие данные».</w:t>
      </w:r>
    </w:p>
    <w:p>
      <w:pPr/>
      <w:r>
        <w:t>Артикулы и коды храните как текст: Excel не должен превращать 0341 в 341. Формулы перед импортом замените значениями. Первая строка содержит непустые уникальные заголовки; допустимо до 10 000 строк данных и 100 столбцов. Предпросмотр показывает первые 100 строк, но проверяет весь файл; подробности доступны через «Скачать все ошибки». Для сложных ячеек и переносов строк используйте XLSX. После сохранения исходной таблицы можно обращаться к поставщикам, даже если точная номенклатура ещё не создана.</w:t>
      </w:r>
    </w:p>
    <w:p>
      <w:pPr>
        <w:pStyle w:val="Heading2"/>
      </w:pPr>
      <w:r>
        <w:t>Изменение и запуск позиций</w:t>
      </w:r>
    </w:p>
    <w:p>
      <w:pPr/>
      <w:r>
        <w:t>В редакторе доступны «Артикул клиента», «Единица количества», «Номенклатура», «Фасовка», «Количество фасовок», «Исходное наименование клиента» и «Допустим аналог». Исходные CAS, чистоту и другие характеристики можно сохранить импортом таблицы. При исправлении укажите причину; изменения сохраняются в истории редакций.</w:t>
      </w:r>
    </w:p>
    <w:p>
      <w:pPr/>
      <w:r>
        <w:t xml:space="preserve">Чтобы начать работу, в «Позициях запроса» отметьте нужные строки и нажмите </w:t>
      </w:r>
      <w:r>
        <w:rPr>
          <w:b/>
        </w:rPr>
        <w:t>«В работу»</w:t>
      </w:r>
      <w:r>
        <w:t>. Оплата для этого действия не требуется. Проверьте статус выбранных позиций. Зафиксировать платёж можно позже в отдельной вкладке «Оплаты».</w:t>
      </w:r>
    </w:p>
    <w:p>
      <w:bookmarkStart w:id="4" w:name="chapter_4"/>
      <w:pPr>
        <w:pStyle w:val="Heading1"/>
      </w:pPr>
      <w:r>
        <w:t>4 Общий запрос поставщикам</w:t>
      </w:r>
      <w:bookmarkEnd w:id="4"/>
    </w:p>
    <w:p>
      <w:pPr>
        <w:pStyle w:val="ListNumber"/>
        <w:numPr>
          <w:ilvl w:val="0"/>
          <w:numId w:val="14"/>
        </w:numPr>
      </w:pPr>
      <w:r>
        <w:t>В заявке откройте «Запросы поставщикам» и нажмите «Создать запрос».</w:t>
      </w:r>
    </w:p>
    <w:p>
      <w:pPr>
        <w:pStyle w:val="ListNumber"/>
        <w:numPr>
          <w:ilvl w:val="0"/>
          <w:numId w:val="14"/>
        </w:numPr>
      </w:pPr>
      <w:r>
        <w:t>Выберите позиции, срок «Ответ до» и при необходимости комментарий.</w:t>
      </w:r>
    </w:p>
    <w:p>
      <w:pPr>
        <w:pStyle w:val="ListNumber"/>
        <w:numPr>
          <w:ilvl w:val="0"/>
          <w:numId w:val="14"/>
        </w:numPr>
      </w:pPr>
      <w:r>
        <w:t>Для общего файла оставьте поставщика незаполненным. Для адресного запроса можно выбрать конкретного поставщика.</w:t>
      </w:r>
    </w:p>
    <w:p>
      <w:pPr>
        <w:pStyle w:val="ListNumber"/>
        <w:numPr>
          <w:ilvl w:val="0"/>
          <w:numId w:val="14"/>
        </w:numPr>
      </w:pPr>
      <w:r>
        <w:t>Сохраните запрос и скачайте XLSX.</w:t>
      </w:r>
    </w:p>
    <w:p>
      <w:pPr>
        <w:pStyle w:val="ListNumber"/>
        <w:numPr>
          <w:ilvl w:val="0"/>
          <w:numId w:val="14"/>
        </w:numPr>
      </w:pPr>
      <w:r>
        <w:t>Передайте файл поставщикам выбранным вами каналом. После фактической передачи используйте «Отметить отправку».</w:t>
      </w:r>
    </w:p>
    <w:p>
      <w:pPr/>
      <w:r>
        <w:t>Общий запрос можно отправить нескольким поставщикам; их квоты могут ссылаться на одну запись запроса. CRM формирует и хранит файл и отметку передачи. Для одного запроса сохраняется одна отметка отправки; отдельного журнала передачи каждому адресату нет. Саму отправку письма или сообщения выполняет сотрудник.</w:t>
      </w:r>
    </w:p>
    <w:p>
      <w:pPr/>
      <w:r>
        <w:t>В выгрузке сохраняются исходные столбцы и значения. Для XLSX, загруженных после обновления, переносятся границы, шрифты, заливки, выравнивание, ширина столбцов и высота выбранных строк. При объединении нескольких таблиц одинаковые заголовки не дублируются. Для текстовых таблиц и прежних импортов без привязки к оформлению CRM создаёт таблицу с границами и переносом текста.</w:t>
      </w:r>
    </w:p>
    <w:p>
      <w:pPr/>
      <w:r>
        <w:t>Изменение исходной позиции после запроса не переписывает ранее выпущенный файл. При изменении потребности сформируйте актуальный запрос и проверьте, к какой редакции относится ответ поставщика.</w:t>
      </w:r>
    </w:p>
    <w:p>
      <w:bookmarkStart w:id="5" w:name="chapter_5"/>
      <w:pPr>
        <w:pStyle w:val="Heading1"/>
      </w:pPr>
      <w:r>
        <w:t>5 Квоты, номенклатура и товарные группы</w:t>
      </w:r>
      <w:bookmarkEnd w:id="5"/>
    </w:p>
    <w:p>
      <w:pPr/>
      <w:r>
        <w:t>Квота фиксирует предложение конкретного поставщика: товар, фасовку, цену, валюту, количество и срок поставки. Точная номенклатура обычно появляется после получения ответа поставщика. Несколько предложений по одной потребности позволяют выбрать подходящую цену и срок.</w:t>
      </w:r>
    </w:p>
    <w:p>
      <w:pPr>
        <w:pStyle w:val="Heading2"/>
      </w:pPr>
      <w:r>
        <w:t>Массовая загрузка из Excel</w:t>
      </w:r>
    </w:p>
    <w:p>
      <w:pPr>
        <w:pStyle w:val="ListNumber"/>
        <w:numPr>
          <w:ilvl w:val="0"/>
          <w:numId w:val="15"/>
        </w:numPr>
      </w:pPr>
      <w:r>
        <w:t>В «Квотах» нажмите «Загрузить квоты XLSX» и скачайте «Шаблон квот с позициями заявки».</w:t>
      </w:r>
    </w:p>
    <w:p>
      <w:pPr>
        <w:pStyle w:val="ListNumber"/>
        <w:numPr>
          <w:ilvl w:val="0"/>
          <w:numId w:val="15"/>
        </w:numPr>
      </w:pPr>
      <w:r>
        <w:t>Заполните XLSX, выберите «Файл таблицы» и нажмите «Проверить файл».</w:t>
      </w:r>
    </w:p>
    <w:p>
      <w:pPr>
        <w:pStyle w:val="ListNumber"/>
        <w:numPr>
          <w:ilvl w:val="0"/>
          <w:numId w:val="15"/>
        </w:numPr>
      </w:pPr>
      <w:r>
        <w:t>Проверьте сопоставление столбцов, счётчики и результат каждой строки.</w:t>
      </w:r>
    </w:p>
    <w:p>
      <w:pPr>
        <w:pStyle w:val="ListNumber"/>
        <w:numPr>
          <w:ilvl w:val="0"/>
          <w:numId w:val="15"/>
        </w:numPr>
      </w:pPr>
      <w:r>
        <w:t>Исправьте ошибки в файле или сопоставлении и повторно выполните проверку.</w:t>
      </w:r>
    </w:p>
    <w:p>
      <w:pPr>
        <w:pStyle w:val="ListNumber"/>
        <w:numPr>
          <w:ilvl w:val="0"/>
          <w:numId w:val="15"/>
        </w:numPr>
      </w:pPr>
      <w:r>
        <w:t>Нажмите «Записать позиции: N». Сравните «Загружено» и «Записано»; проверьте «Номенклатур создано». Затем откройте несколько новых квот для контроля.</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10" w:type="dxa"/>
          <w:right w:w="110" w:type="dxa"/>
        </w:tblCellMar>
      </w:tblPr>
      <w:tblGrid>
        <w:gridCol w:w="3402"/>
        <w:gridCol w:w="6463"/>
      </w:tblGrid>
      <w:tr>
        <w:trPr>
          <w:cantSplit/>
          <w:tblHeader/>
        </w:trPr>
        <w:tc>
          <w:tcPr>
            <w:tcW w:type="dxa" w:w="3402"/>
            <w:vAlign w:val="center"/>
            <w:shd w:fill="DCE7F0"/>
          </w:tcPr>
          <w:p>
            <w:pPr>
              <w:keepNext/>
              <w:spacing w:after="0" w:before="0" w:line="254" w:lineRule="auto"/>
              <w:jc w:val="left"/>
            </w:pPr>
            <w:r>
              <w:rPr>
                <w:b/>
                <w:sz w:val="19"/>
              </w:rPr>
              <w:t>Столбец шаблона</w:t>
            </w:r>
          </w:p>
        </w:tc>
        <w:tc>
          <w:tcPr>
            <w:tcW w:type="dxa" w:w="6463"/>
            <w:vAlign w:val="center"/>
            <w:shd w:fill="DCE7F0"/>
          </w:tcPr>
          <w:p>
            <w:pPr>
              <w:keepNext/>
              <w:spacing w:after="0" w:before="0" w:line="254" w:lineRule="auto"/>
              <w:jc w:val="left"/>
            </w:pPr>
            <w:r>
              <w:rPr>
                <w:b/>
                <w:sz w:val="19"/>
              </w:rPr>
              <w:t>Что указывать</w:t>
            </w:r>
          </w:p>
        </w:tc>
      </w:tr>
      <w:tr>
        <w:trPr>
          <w:cantSplit/>
        </w:trPr>
        <w:tc>
          <w:tcPr>
            <w:tcW w:type="dxa" w:w="3402"/>
            <w:vAlign w:val="center"/>
            <w:shd w:fill="FFFFFF"/>
          </w:tcPr>
          <w:p>
            <w:pPr>
              <w:keepNext w:val="0"/>
              <w:spacing w:after="0" w:before="0" w:line="254" w:lineRule="auto"/>
              <w:jc w:val="left"/>
            </w:pPr>
            <w:r>
              <w:rPr>
                <w:sz w:val="19"/>
              </w:rPr>
              <w:t>Позиция заявки</w:t>
            </w:r>
          </w:p>
        </w:tc>
        <w:tc>
          <w:tcPr>
            <w:tcW w:type="dxa" w:w="6463"/>
            <w:vAlign w:val="center"/>
            <w:shd w:fill="FFFFFF"/>
          </w:tcPr>
          <w:p>
            <w:pPr>
              <w:keepNext w:val="0"/>
              <w:spacing w:after="0" w:before="0" w:line="254" w:lineRule="auto"/>
              <w:jc w:val="left"/>
            </w:pPr>
            <w:r>
              <w:rPr>
                <w:sz w:val="19"/>
              </w:rPr>
              <w:t>Номер строки исходной потребности, с которой связывается предложение</w:t>
            </w:r>
          </w:p>
        </w:tc>
      </w:tr>
      <w:tr>
        <w:trPr>
          <w:cantSplit/>
        </w:trPr>
        <w:tc>
          <w:tcPr>
            <w:tcW w:type="dxa" w:w="3402"/>
            <w:vAlign w:val="center"/>
            <w:shd w:fill="FFFFFF"/>
          </w:tcPr>
          <w:p>
            <w:pPr>
              <w:keepNext w:val="0"/>
              <w:spacing w:after="0" w:before="0" w:line="254" w:lineRule="auto"/>
              <w:jc w:val="left"/>
            </w:pPr>
            <w:r>
              <w:rPr>
                <w:sz w:val="19"/>
              </w:rPr>
              <w:t>Код поставщика</w:t>
            </w:r>
          </w:p>
        </w:tc>
        <w:tc>
          <w:tcPr>
            <w:tcW w:type="dxa" w:w="6463"/>
            <w:vAlign w:val="center"/>
            <w:shd w:fill="FFFFFF"/>
          </w:tcPr>
          <w:p>
            <w:pPr>
              <w:keepNext w:val="0"/>
              <w:spacing w:after="0" w:before="0" w:line="254" w:lineRule="auto"/>
              <w:jc w:val="left"/>
            </w:pPr>
            <w:r>
              <w:rPr>
                <w:sz w:val="19"/>
              </w:rPr>
              <w:t>Внутренний числовой код существующего поставщика</w:t>
            </w:r>
          </w:p>
        </w:tc>
      </w:tr>
      <w:tr>
        <w:trPr>
          <w:cantSplit/>
        </w:trPr>
        <w:tc>
          <w:tcPr>
            <w:tcW w:type="dxa" w:w="3402"/>
            <w:vAlign w:val="center"/>
            <w:shd w:fill="FFFFFF"/>
          </w:tcPr>
          <w:p>
            <w:pPr>
              <w:keepNext w:val="0"/>
              <w:spacing w:after="0" w:before="0" w:line="254" w:lineRule="auto"/>
              <w:jc w:val="left"/>
            </w:pPr>
            <w:r>
              <w:rPr>
                <w:sz w:val="19"/>
              </w:rPr>
              <w:t>Артикул</w:t>
            </w:r>
          </w:p>
        </w:tc>
        <w:tc>
          <w:tcPr>
            <w:tcW w:type="dxa" w:w="6463"/>
            <w:vAlign w:val="center"/>
            <w:shd w:fill="FFFFFF"/>
          </w:tcPr>
          <w:p>
            <w:pPr>
              <w:keepNext w:val="0"/>
              <w:spacing w:after="0" w:before="0" w:line="254" w:lineRule="auto"/>
              <w:jc w:val="left"/>
            </w:pPr>
            <w:r>
              <w:rPr>
                <w:sz w:val="19"/>
              </w:rPr>
              <w:t>Артикул производителя как текст; по нему ищется номенклатура</w:t>
            </w:r>
          </w:p>
        </w:tc>
      </w:tr>
      <w:tr>
        <w:trPr>
          <w:cantSplit/>
        </w:trPr>
        <w:tc>
          <w:tcPr>
            <w:tcW w:type="dxa" w:w="3402"/>
            <w:vAlign w:val="center"/>
            <w:shd w:fill="FFFFFF"/>
          </w:tcPr>
          <w:p>
            <w:pPr>
              <w:keepNext w:val="0"/>
              <w:spacing w:after="0" w:before="0" w:line="254" w:lineRule="auto"/>
              <w:jc w:val="left"/>
            </w:pPr>
            <w:r>
              <w:rPr>
                <w:sz w:val="19"/>
              </w:rPr>
              <w:t>Наименование; Производитель</w:t>
            </w:r>
          </w:p>
        </w:tc>
        <w:tc>
          <w:tcPr>
            <w:tcW w:type="dxa" w:w="6463"/>
            <w:vAlign w:val="center"/>
            <w:shd w:fill="FFFFFF"/>
          </w:tcPr>
          <w:p>
            <w:pPr>
              <w:keepNext w:val="0"/>
              <w:spacing w:after="0" w:before="0" w:line="254" w:lineRule="auto"/>
              <w:jc w:val="left"/>
            </w:pPr>
            <w:r>
              <w:rPr>
                <w:sz w:val="19"/>
              </w:rPr>
              <w:t>Точное название и производитель из предложения</w:t>
            </w:r>
          </w:p>
        </w:tc>
      </w:tr>
      <w:tr>
        <w:trPr>
          <w:cantSplit/>
        </w:trPr>
        <w:tc>
          <w:tcPr>
            <w:tcW w:type="dxa" w:w="3402"/>
            <w:vAlign w:val="center"/>
            <w:shd w:fill="FFFFFF"/>
          </w:tcPr>
          <w:p>
            <w:pPr>
              <w:keepNext w:val="0"/>
              <w:spacing w:after="0" w:before="0" w:line="254" w:lineRule="auto"/>
              <w:jc w:val="left"/>
            </w:pPr>
            <w:r>
              <w:rPr>
                <w:sz w:val="19"/>
              </w:rPr>
              <w:t>CAS; Линейная формула; Чистота</w:t>
            </w:r>
          </w:p>
        </w:tc>
        <w:tc>
          <w:tcPr>
            <w:tcW w:type="dxa" w:w="6463"/>
            <w:vAlign w:val="center"/>
            <w:shd w:fill="FFFFFF"/>
          </w:tcPr>
          <w:p>
            <w:pPr>
              <w:keepNext w:val="0"/>
              <w:spacing w:after="0" w:before="0" w:line="254" w:lineRule="auto"/>
              <w:jc w:val="left"/>
            </w:pPr>
            <w:r>
              <w:rPr>
                <w:sz w:val="19"/>
              </w:rPr>
              <w:t>Характеристики товара; необязательное значение 0 означает пустое поле</w:t>
            </w:r>
          </w:p>
        </w:tc>
      </w:tr>
      <w:tr>
        <w:trPr>
          <w:cantSplit/>
        </w:trPr>
        <w:tc>
          <w:tcPr>
            <w:tcW w:type="dxa" w:w="3402"/>
            <w:vAlign w:val="center"/>
            <w:shd w:fill="FFFFFF"/>
          </w:tcPr>
          <w:p>
            <w:pPr>
              <w:keepNext w:val="0"/>
              <w:spacing w:after="0" w:before="0" w:line="254" w:lineRule="auto"/>
              <w:jc w:val="left"/>
            </w:pPr>
            <w:r>
              <w:rPr>
                <w:sz w:val="19"/>
              </w:rPr>
              <w:t>Фасовка; Единица фасовки</w:t>
            </w:r>
          </w:p>
        </w:tc>
        <w:tc>
          <w:tcPr>
            <w:tcW w:type="dxa" w:w="6463"/>
            <w:vAlign w:val="center"/>
            <w:shd w:fill="FFFFFF"/>
          </w:tcPr>
          <w:p>
            <w:pPr>
              <w:keepNext w:val="0"/>
              <w:spacing w:after="0" w:before="0" w:line="254" w:lineRule="auto"/>
              <w:jc w:val="left"/>
            </w:pPr>
            <w:r>
              <w:rPr>
                <w:sz w:val="19"/>
              </w:rPr>
              <w:t>Число и единица одной упаковки, например 50 и mg</w:t>
            </w:r>
          </w:p>
        </w:tc>
      </w:tr>
      <w:tr>
        <w:trPr>
          <w:cantSplit/>
        </w:trPr>
        <w:tc>
          <w:tcPr>
            <w:tcW w:type="dxa" w:w="3402"/>
            <w:vAlign w:val="center"/>
            <w:shd w:fill="FFFFFF"/>
          </w:tcPr>
          <w:p>
            <w:pPr>
              <w:keepNext w:val="0"/>
              <w:spacing w:after="0" w:before="0" w:line="254" w:lineRule="auto"/>
              <w:jc w:val="left"/>
            </w:pPr>
            <w:r>
              <w:rPr>
                <w:sz w:val="19"/>
              </w:rPr>
              <w:t>Количество</w:t>
            </w:r>
          </w:p>
        </w:tc>
        <w:tc>
          <w:tcPr>
            <w:tcW w:type="dxa" w:w="6463"/>
            <w:vAlign w:val="center"/>
            <w:shd w:fill="FFFFFF"/>
          </w:tcPr>
          <w:p>
            <w:pPr>
              <w:keepNext w:val="0"/>
              <w:spacing w:after="0" w:before="0" w:line="254" w:lineRule="auto"/>
              <w:jc w:val="left"/>
            </w:pPr>
            <w:r>
              <w:rPr>
                <w:sz w:val="19"/>
              </w:rPr>
              <w:t>Количество предлагаемых упаковок</w:t>
            </w:r>
          </w:p>
        </w:tc>
      </w:tr>
      <w:tr>
        <w:trPr>
          <w:cantSplit/>
        </w:trPr>
        <w:tc>
          <w:tcPr>
            <w:tcW w:type="dxa" w:w="3402"/>
            <w:vAlign w:val="center"/>
            <w:shd w:fill="FFFFFF"/>
          </w:tcPr>
          <w:p>
            <w:pPr>
              <w:keepNext w:val="0"/>
              <w:spacing w:after="0" w:before="0" w:line="254" w:lineRule="auto"/>
              <w:jc w:val="left"/>
            </w:pPr>
            <w:r>
              <w:rPr>
                <w:sz w:val="19"/>
              </w:rPr>
              <w:t>Цена</w:t>
            </w:r>
          </w:p>
        </w:tc>
        <w:tc>
          <w:tcPr>
            <w:tcW w:type="dxa" w:w="6463"/>
            <w:vAlign w:val="center"/>
            <w:shd w:fill="FFFFFF"/>
          </w:tcPr>
          <w:p>
            <w:pPr>
              <w:keepNext w:val="0"/>
              <w:spacing w:after="0" w:before="0" w:line="254" w:lineRule="auto"/>
              <w:jc w:val="left"/>
            </w:pPr>
            <w:r>
              <w:rPr>
                <w:sz w:val="19"/>
              </w:rPr>
              <w:t>Закупочная цена одной указанной упаковки</w:t>
            </w:r>
          </w:p>
        </w:tc>
      </w:tr>
      <w:tr>
        <w:trPr>
          <w:cantSplit/>
        </w:trPr>
        <w:tc>
          <w:tcPr>
            <w:tcW w:type="dxa" w:w="3402"/>
            <w:vAlign w:val="center"/>
            <w:shd w:fill="FFFFFF"/>
          </w:tcPr>
          <w:p>
            <w:pPr>
              <w:keepNext w:val="0"/>
              <w:spacing w:after="0" w:before="0" w:line="254" w:lineRule="auto"/>
              <w:jc w:val="left"/>
            </w:pPr>
            <w:r>
              <w:rPr>
                <w:sz w:val="19"/>
              </w:rPr>
              <w:t>Валюта</w:t>
            </w:r>
          </w:p>
        </w:tc>
        <w:tc>
          <w:tcPr>
            <w:tcW w:type="dxa" w:w="6463"/>
            <w:vAlign w:val="center"/>
            <w:shd w:fill="FFFFFF"/>
          </w:tcPr>
          <w:p>
            <w:pPr>
              <w:keepNext w:val="0"/>
              <w:spacing w:after="0" w:before="0" w:line="254" w:lineRule="auto"/>
              <w:jc w:val="left"/>
            </w:pPr>
            <w:r>
              <w:rPr>
                <w:sz w:val="19"/>
              </w:rPr>
              <w:t>Код валюты цены, например RUB USD EUR</w:t>
            </w:r>
          </w:p>
        </w:tc>
      </w:tr>
      <w:tr>
        <w:trPr>
          <w:cantSplit/>
        </w:trPr>
        <w:tc>
          <w:tcPr>
            <w:tcW w:type="dxa" w:w="3402"/>
            <w:vAlign w:val="center"/>
            <w:shd w:fill="FFFFFF"/>
          </w:tcPr>
          <w:p>
            <w:pPr>
              <w:keepNext w:val="0"/>
              <w:spacing w:after="0" w:before="0" w:line="254" w:lineRule="auto"/>
              <w:jc w:val="left"/>
            </w:pPr>
            <w:r>
              <w:rPr>
                <w:sz w:val="19"/>
              </w:rPr>
              <w:t>Срок поставки дней</w:t>
            </w:r>
          </w:p>
        </w:tc>
        <w:tc>
          <w:tcPr>
            <w:tcW w:type="dxa" w:w="6463"/>
            <w:vAlign w:val="center"/>
            <w:shd w:fill="FFFFFF"/>
          </w:tcPr>
          <w:p>
            <w:pPr>
              <w:keepNext w:val="0"/>
              <w:spacing w:after="0" w:before="0" w:line="254" w:lineRule="auto"/>
              <w:jc w:val="left"/>
            </w:pPr>
            <w:r>
              <w:rPr>
                <w:sz w:val="19"/>
              </w:rPr>
              <w:t>Срок поставщика в днях</w:t>
            </w:r>
          </w:p>
        </w:tc>
      </w:tr>
      <w:tr>
        <w:trPr>
          <w:cantSplit/>
        </w:trPr>
        <w:tc>
          <w:tcPr>
            <w:tcW w:type="dxa" w:w="3402"/>
            <w:vAlign w:val="center"/>
            <w:shd w:fill="FFFFFF"/>
          </w:tcPr>
          <w:p>
            <w:pPr>
              <w:keepNext w:val="0"/>
              <w:spacing w:after="0" w:before="0" w:line="254" w:lineRule="auto"/>
              <w:jc w:val="left"/>
            </w:pPr>
            <w:r>
              <w:rPr>
                <w:sz w:val="19"/>
              </w:rPr>
              <w:t>Товарная группа</w:t>
            </w:r>
          </w:p>
        </w:tc>
        <w:tc>
          <w:tcPr>
            <w:tcW w:type="dxa" w:w="6463"/>
            <w:vAlign w:val="center"/>
            <w:shd w:fill="FFFFFF"/>
          </w:tcPr>
          <w:p>
            <w:pPr>
              <w:keepNext w:val="0"/>
              <w:spacing w:after="0" w:before="0" w:line="254" w:lineRule="auto"/>
              <w:jc w:val="left"/>
            </w:pPr>
            <w:r>
              <w:rPr>
                <w:sz w:val="19"/>
              </w:rPr>
              <w:t>Название или код действующей группы из справочника</w:t>
            </w:r>
          </w:p>
        </w:tc>
      </w:tr>
    </w:tbl>
    <w:p>
      <w:pPr>
        <w:spacing w:after="0" w:before="0" w:line="96" w:lineRule="auto"/>
      </w:pPr>
      <w:r>
        <w:rPr>
          <w:sz w:val="6"/>
        </w:rPr>
      </w:r>
    </w:p>
    <w:p>
      <w:pPr/>
      <w:r>
        <w:rPr>
          <w:b/>
        </w:rPr>
        <w:t>Поставщики из обработки не создаются.</w:t>
      </w:r>
      <w:r>
        <w:t xml:space="preserve"> Неизвестный код поставщика нужно исправить либо заранее создать поставщика в «Клиентах». Подтверждайте импорт после устранения всех блокирующих ошибок.</w:t>
      </w:r>
    </w:p>
    <w:p>
      <w:pPr>
        <w:pStyle w:val="Heading2"/>
      </w:pPr>
      <w:r>
        <w:t>Как определяется товар</w:t>
      </w:r>
    </w:p>
    <w:p>
      <w:pPr/>
      <w:r>
        <w:t>CRM сверяет артикул с существующей номенклатурой. Для найденного товара используется действующая запись, а цена, валюта, поставщик и срок фиксируются в квоте. Если товар не найден, проверяются данные для создания номенклатуры и фасовки. Ноль в необязательной характеристике превращается в пустое значение. Для цены, количества и срока действуют отдельные числовые проверки; количество должно быть положительным целым числом.</w:t>
      </w:r>
    </w:p>
    <w:p>
      <w:pPr/>
      <w:r>
        <w:t>Счётчик «Проверено» показывает строки с найденной номенклатурой, «Создать номенклатуру» — строки, для которых будет создан новый товар. Просматривайте не только количество, но и артикул, фасовку и фактическую группу каждой строки. Неоднозначное совпадение требует уточнения данных, а не автоматического выбора первого товара. При наличии ошибок частичная запись исправных строк не выполняется. Повторная загрузка того же файла с тем же сопоставлением в ту же заявку не создаёт второй набор строк.</w:t>
      </w:r>
    </w:p>
    <w:p>
      <w:pPr>
        <w:pStyle w:val="Heading2"/>
      </w:pPr>
      <w:r>
        <w:t>Где указывать группу</w:t>
      </w:r>
    </w:p>
    <w:p>
      <w:pPr/>
      <w:r>
        <w:t xml:space="preserve">В шаблоне используется последний столбец </w:t>
      </w:r>
      <w:r>
        <w:rPr>
          <w:b/>
        </w:rPr>
        <w:t>«Товарная группа»</w:t>
      </w:r>
      <w:r>
        <w:t xml:space="preserve"> — O, 15-й столбец. В нём есть выпадающий список; на листе «Товарные группы» приведены названия и коды групп. Для нового товара укажите нужную действующую группу. Если столбец пуст или содержит 0, используется группа исходной позиции, а при её отсутствии — «Прочее».</w:t>
      </w:r>
    </w:p>
    <w:p>
      <w:pPr/>
      <w:r>
        <w:t>У найденного по артикулу товара сохраняется его существующая группа. Загрузка квоты не переклассифицирует такой товар. Если группа неверна, исправьте номенклатуру в справочнике. Неизвестная или неактивная группа блокирует импорт. Группа влияет на правило пошлины, поэтому проверяйте её до расчёта.</w:t>
      </w:r>
    </w:p>
    <w:p>
      <w:pPr>
        <w:pStyle w:val="Heading2"/>
      </w:pPr>
      <w:r>
        <w:t>Ручная квота и фасовка</w:t>
      </w:r>
    </w:p>
    <w:p>
      <w:pPr/>
      <w:r>
        <w:t>Для единичного предложения нажмите «Новая квота», выберите поставщика и, если нужно, связанный общий либо адресный запрос. Затем заполните строки товара, фасовки, закупочной цены, валюты, количества и срока. Подсказка последней цены из истории помогает вводу, но цену и срок нужно сверить с текущим ответом поставщика.</w:t>
      </w:r>
    </w:p>
    <w:p>
      <w:pPr/>
      <w:r>
        <w:t>Цена в расчёте относится к выбранной фасовке. Например, 100 USD за флакон 50 mg — это цена одного флакона; две упаковки стоят 200 USD. Не подставляйте цену за грамм вместо цены за упаковку.</w:t>
      </w:r>
    </w:p>
    <w:p>
      <w:bookmarkStart w:id="6" w:name="chapter_6"/>
      <w:pPr>
        <w:pStyle w:val="Heading1"/>
      </w:pPr>
      <w:r>
        <w:t>6 Подготовка и сохранение расчёта</w:t>
      </w:r>
      <w:bookmarkEnd w:id="6"/>
    </w:p>
    <w:p>
      <w:pPr>
        <w:pStyle w:val="Heading2"/>
      </w:pPr>
      <w:r>
        <w:t>Финансовый профиль</w:t>
      </w:r>
    </w:p>
    <w:p>
      <w:pPr/>
      <w:r>
        <w:t>Профиль хранит версию правил: страну ввоза, ставки НДС, пошлины по товарным группам, диапазоны таможенного сбора, финансирование, комиссии, округление, курсы и начальные расходы. Для нового расчёта выберите опубликованный профиль, действующий на нужную дату.</w:t>
      </w:r>
    </w:p>
    <w:p>
      <w:pPr/>
      <w:r>
        <w:t>Курсы закупочных валют берутся из профиля. В расчёте показывается блок «Курсы валют из профиля». Для нового курса уполномоченный сотрудник создаёт и публикует новую версию профиля; ранее записанные расчёты сохраняют свой снимок курса.</w:t>
      </w:r>
    </w:p>
    <w:p>
      <w:pPr/>
      <w:r>
        <w:t>В профиле для валюты указываются курс в рублях, «За единиц», дата и источник. Например, 945 RUB за 10 USD дают эффективный курс 94,50 RUB за 1 USD. Курс нужен и для валютных расходов или их минимальных сумм, а не только для закупки товара.</w:t>
      </w:r>
    </w:p>
    <w:p>
      <w:pPr>
        <w:pStyle w:val="Heading2"/>
      </w:pPr>
      <w:r>
        <w:t>Порядок ввода</w:t>
      </w:r>
    </w:p>
    <w:p>
      <w:pPr>
        <w:pStyle w:val="ListNumber"/>
        <w:numPr>
          <w:ilvl w:val="0"/>
          <w:numId w:val="16"/>
        </w:numPr>
      </w:pPr>
      <w:r>
        <w:t>В «Квотах» отметьте нужные строки и нажмите «Сформировать расчёт». Сравнивать можно предложения разных поставщиков, но для расчёта по табличным квотам все выбранные строки должны относиться к поставщику назначенной волны. Один расчёт содержит до 100 выбранных позиций. Альтернатива — «Расчёты → Новый расчёт».</w:t>
      </w:r>
    </w:p>
    <w:p>
      <w:pPr>
        <w:pStyle w:val="ListNumber"/>
        <w:numPr>
          <w:ilvl w:val="0"/>
          <w:numId w:val="16"/>
        </w:numPr>
      </w:pPr>
      <w:r>
        <w:t>Во вкладке «Расчёты» выберите плановую «Волна поставки» и нажмите «Сохранить волну». Для назначения требуется право работы с волнами. Плановая принадлежность заявки ещё не означает фактическую отгрузку.</w:t>
      </w:r>
    </w:p>
    <w:p>
      <w:pPr>
        <w:pStyle w:val="ListNumber"/>
        <w:numPr>
          <w:ilvl w:val="0"/>
          <w:numId w:val="16"/>
        </w:numPr>
      </w:pPr>
      <w:r>
        <w:t>Выберите «Профиль расчёта». Проверьте товарные группы, квоты, фасовки и курсы.</w:t>
      </w:r>
    </w:p>
    <w:p>
      <w:pPr>
        <w:pStyle w:val="ListNumber"/>
        <w:numPr>
          <w:ilvl w:val="0"/>
          <w:numId w:val="16"/>
        </w:numPr>
      </w:pPr>
      <w:r>
        <w:t>При необходимости включите «Расчёт с вычетом НДС». Решение влияет на себестоимость и цену; денежная потребность продолжает включать сам ввозной НДС.</w:t>
      </w:r>
    </w:p>
    <w:p>
      <w:pPr>
        <w:pStyle w:val="ListNumber"/>
        <w:numPr>
          <w:ilvl w:val="0"/>
          <w:numId w:val="16"/>
        </w:numPr>
      </w:pPr>
      <w:r>
        <w:t>Заполните «Общий срок поставки, дней». Это срок для покупателя, который переносится в КП. Если оставить поле пустым, используется максимальный срок выбранных квот. Недели волн автоматически к этому сроку не прибавляются.</w:t>
      </w:r>
    </w:p>
    <w:p>
      <w:pPr>
        <w:pStyle w:val="ListNumber"/>
        <w:numPr>
          <w:ilvl w:val="0"/>
          <w:numId w:val="16"/>
        </w:numPr>
      </w:pPr>
      <w:r>
        <w:t>Для строк проверьте коэффициент наценки и, при наличии права, коэффициент бонуса. Коэффициент 1,25 означает наценку 25% к базе наценки, а 1,00 — отсутствие наценки.</w:t>
      </w:r>
    </w:p>
    <w:p>
      <w:pPr>
        <w:pStyle w:val="ListNumber"/>
        <w:numPr>
          <w:ilvl w:val="0"/>
          <w:numId w:val="16"/>
        </w:numPr>
      </w:pPr>
      <w:r>
        <w:t>Проверьте расходы, их валюту, этап и принадлежность. Общие расходы волны должны отражать её полный бюджет, а не отдельную повторную копию на каждого покупателя.</w:t>
      </w:r>
    </w:p>
    <w:p>
      <w:pPr>
        <w:pStyle w:val="ListNumber"/>
        <w:numPr>
          <w:ilvl w:val="0"/>
          <w:numId w:val="16"/>
        </w:numPr>
      </w:pPr>
      <w:r>
        <w:t>Укажите условия оплаты клиента: предоплату, отсрочку, дни и событие начала отсрочки. Доли предоплаты и отсрочки суммарно составляют 100%.</w:t>
      </w:r>
    </w:p>
    <w:p>
      <w:pPr>
        <w:pStyle w:val="ListNumber"/>
        <w:numPr>
          <w:ilvl w:val="0"/>
          <w:numId w:val="16"/>
        </w:numPr>
      </w:pPr>
      <w:r>
        <w:t>Нажмите «Предварительный расчёт». Проверьте строки, общие расходы, НДС, цену, прибыль и потребность в деньгах.</w:t>
      </w:r>
    </w:p>
    <w:p>
      <w:pPr>
        <w:pStyle w:val="ListNumber"/>
        <w:numPr>
          <w:ilvl w:val="0"/>
          <w:numId w:val="16"/>
        </w:numPr>
      </w:pPr>
      <w:r>
        <w:t>После проверки нажмите «Записать версию». При любом изменении входных данных сначала повторите предварительный расчёт.</w:t>
      </w:r>
    </w:p>
    <w:p>
      <w:pPr>
        <w:pStyle w:val="Heading2"/>
      </w:pPr>
      <w:r>
        <w:t>Как задавать расходы</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10" w:type="dxa"/>
          <w:right w:w="110" w:type="dxa"/>
        </w:tblCellMar>
      </w:tblPr>
      <w:tblGrid>
        <w:gridCol w:w="3402"/>
        <w:gridCol w:w="6463"/>
      </w:tblGrid>
      <w:tr>
        <w:trPr>
          <w:cantSplit/>
          <w:tblHeader/>
        </w:trPr>
        <w:tc>
          <w:tcPr>
            <w:tcW w:type="dxa" w:w="3402"/>
            <w:vAlign w:val="center"/>
            <w:shd w:fill="DCE7F0"/>
          </w:tcPr>
          <w:p>
            <w:pPr>
              <w:keepNext/>
              <w:spacing w:after="0" w:before="0" w:line="254" w:lineRule="auto"/>
              <w:jc w:val="left"/>
            </w:pPr>
            <w:r>
              <w:rPr>
                <w:b/>
                <w:sz w:val="19"/>
              </w:rPr>
              <w:t>Поле</w:t>
            </w:r>
          </w:p>
        </w:tc>
        <w:tc>
          <w:tcPr>
            <w:tcW w:type="dxa" w:w="6463"/>
            <w:vAlign w:val="center"/>
            <w:shd w:fill="DCE7F0"/>
          </w:tcPr>
          <w:p>
            <w:pPr>
              <w:keepNext/>
              <w:spacing w:after="0" w:before="0" w:line="254" w:lineRule="auto"/>
              <w:jc w:val="left"/>
            </w:pPr>
            <w:r>
              <w:rPr>
                <w:b/>
                <w:sz w:val="19"/>
              </w:rPr>
              <w:t>Значение для расчёта</w:t>
            </w:r>
          </w:p>
        </w:tc>
      </w:tr>
      <w:tr>
        <w:trPr>
          <w:cantSplit/>
        </w:trPr>
        <w:tc>
          <w:tcPr>
            <w:tcW w:type="dxa" w:w="3402"/>
            <w:vAlign w:val="center"/>
            <w:shd w:fill="FFFFFF"/>
          </w:tcPr>
          <w:p>
            <w:pPr>
              <w:keepNext w:val="0"/>
              <w:spacing w:after="0" w:before="0" w:line="254" w:lineRule="auto"/>
              <w:jc w:val="left"/>
            </w:pPr>
            <w:r>
              <w:rPr>
                <w:sz w:val="19"/>
              </w:rPr>
              <w:t>Тип Фиксированная сумма</w:t>
            </w:r>
          </w:p>
        </w:tc>
        <w:tc>
          <w:tcPr>
            <w:tcW w:type="dxa" w:w="6463"/>
            <w:vAlign w:val="center"/>
            <w:shd w:fill="FFFFFF"/>
          </w:tcPr>
          <w:p>
            <w:pPr>
              <w:keepNext w:val="0"/>
              <w:spacing w:after="0" w:before="0" w:line="254" w:lineRule="auto"/>
              <w:jc w:val="left"/>
            </w:pPr>
            <w:r>
              <w:rPr>
                <w:sz w:val="19"/>
              </w:rPr>
              <w:t>Полная сумма статьи в указанной валюте</w:t>
            </w:r>
          </w:p>
        </w:tc>
      </w:tr>
      <w:tr>
        <w:trPr>
          <w:cantSplit/>
        </w:trPr>
        <w:tc>
          <w:tcPr>
            <w:tcW w:type="dxa" w:w="3402"/>
            <w:vAlign w:val="center"/>
            <w:shd w:fill="FFFFFF"/>
          </w:tcPr>
          <w:p>
            <w:pPr>
              <w:keepNext w:val="0"/>
              <w:spacing w:after="0" w:before="0" w:line="254" w:lineRule="auto"/>
              <w:jc w:val="left"/>
            </w:pPr>
            <w:r>
              <w:rPr>
                <w:sz w:val="19"/>
              </w:rPr>
              <w:t>Тип Процент</w:t>
            </w:r>
          </w:p>
        </w:tc>
        <w:tc>
          <w:tcPr>
            <w:tcW w:type="dxa" w:w="6463"/>
            <w:vAlign w:val="center"/>
            <w:shd w:fill="FFFFFF"/>
          </w:tcPr>
          <w:p>
            <w:pPr>
              <w:keepNext w:val="0"/>
              <w:spacing w:after="0" w:before="0" w:line="254" w:lineRule="auto"/>
              <w:jc w:val="left"/>
            </w:pPr>
            <w:r>
              <w:rPr>
                <w:sz w:val="19"/>
              </w:rPr>
              <w:t>Ставка от выбранной базы; при необходимости применяется минимум комиссии</w:t>
            </w:r>
          </w:p>
        </w:tc>
      </w:tr>
      <w:tr>
        <w:trPr>
          <w:cantSplit/>
        </w:trPr>
        <w:tc>
          <w:tcPr>
            <w:tcW w:type="dxa" w:w="3402"/>
            <w:vAlign w:val="center"/>
            <w:shd w:fill="FFFFFF"/>
          </w:tcPr>
          <w:p>
            <w:pPr>
              <w:keepNext w:val="0"/>
              <w:spacing w:after="0" w:before="0" w:line="254" w:lineRule="auto"/>
              <w:jc w:val="left"/>
            </w:pPr>
            <w:r>
              <w:rPr>
                <w:sz w:val="19"/>
              </w:rPr>
              <w:t>Тип По диапазону</w:t>
            </w:r>
          </w:p>
        </w:tc>
        <w:tc>
          <w:tcPr>
            <w:tcW w:type="dxa" w:w="6463"/>
            <w:vAlign w:val="center"/>
            <w:shd w:fill="FFFFFF"/>
          </w:tcPr>
          <w:p>
            <w:pPr>
              <w:keepNext w:val="0"/>
              <w:spacing w:after="0" w:before="0" w:line="254" w:lineRule="auto"/>
              <w:jc w:val="left"/>
            </w:pPr>
            <w:r>
              <w:rPr>
                <w:sz w:val="19"/>
              </w:rPr>
              <w:t>Сумма из подходящего диапазона стоимости и периода действия</w:t>
            </w:r>
          </w:p>
        </w:tc>
      </w:tr>
      <w:tr>
        <w:trPr>
          <w:cantSplit/>
        </w:trPr>
        <w:tc>
          <w:tcPr>
            <w:tcW w:type="dxa" w:w="3402"/>
            <w:vAlign w:val="center"/>
            <w:shd w:fill="FFFFFF"/>
          </w:tcPr>
          <w:p>
            <w:pPr>
              <w:keepNext w:val="0"/>
              <w:spacing w:after="0" w:before="0" w:line="254" w:lineRule="auto"/>
              <w:jc w:val="left"/>
            </w:pPr>
            <w:r>
              <w:rPr>
                <w:sz w:val="19"/>
              </w:rPr>
              <w:t>Тип Вручную</w:t>
            </w:r>
          </w:p>
        </w:tc>
        <w:tc>
          <w:tcPr>
            <w:tcW w:type="dxa" w:w="6463"/>
            <w:vAlign w:val="center"/>
            <w:shd w:fill="FFFFFF"/>
          </w:tcPr>
          <w:p>
            <w:pPr>
              <w:keepNext w:val="0"/>
              <w:spacing w:after="0" w:before="0" w:line="254" w:lineRule="auto"/>
              <w:jc w:val="left"/>
            </w:pPr>
            <w:r>
              <w:rPr>
                <w:sz w:val="19"/>
              </w:rPr>
              <w:t>Согласованная вручную сумма с основанием</w:t>
            </w:r>
          </w:p>
        </w:tc>
      </w:tr>
      <w:tr>
        <w:trPr>
          <w:cantSplit/>
        </w:trPr>
        <w:tc>
          <w:tcPr>
            <w:tcW w:type="dxa" w:w="3402"/>
            <w:vAlign w:val="center"/>
            <w:shd w:fill="FFFFFF"/>
          </w:tcPr>
          <w:p>
            <w:pPr>
              <w:keepNext w:val="0"/>
              <w:spacing w:after="0" w:before="0" w:line="254" w:lineRule="auto"/>
              <w:jc w:val="left"/>
            </w:pPr>
            <w:r>
              <w:rPr>
                <w:sz w:val="19"/>
              </w:rPr>
              <w:t>Этап Международная логистика</w:t>
            </w:r>
          </w:p>
        </w:tc>
        <w:tc>
          <w:tcPr>
            <w:tcW w:type="dxa" w:w="6463"/>
            <w:vAlign w:val="center"/>
            <w:shd w:fill="FFFFFF"/>
          </w:tcPr>
          <w:p>
            <w:pPr>
              <w:keepNext w:val="0"/>
              <w:spacing w:after="0" w:before="0" w:line="254" w:lineRule="auto"/>
              <w:jc w:val="left"/>
            </w:pPr>
            <w:r>
              <w:rPr>
                <w:sz w:val="19"/>
              </w:rPr>
              <w:t>Учитывается до пошлины; входит в таможенную стоимость, если включена в себестоимость</w:t>
            </w:r>
          </w:p>
        </w:tc>
      </w:tr>
      <w:tr>
        <w:trPr>
          <w:cantSplit/>
        </w:trPr>
        <w:tc>
          <w:tcPr>
            <w:tcW w:type="dxa" w:w="3402"/>
            <w:vAlign w:val="center"/>
            <w:shd w:fill="FFFFFF"/>
          </w:tcPr>
          <w:p>
            <w:pPr>
              <w:keepNext w:val="0"/>
              <w:spacing w:after="0" w:before="0" w:line="254" w:lineRule="auto"/>
              <w:jc w:val="left"/>
            </w:pPr>
            <w:r>
              <w:rPr>
                <w:sz w:val="19"/>
              </w:rPr>
              <w:t>Этап Общий расход</w:t>
            </w:r>
          </w:p>
        </w:tc>
        <w:tc>
          <w:tcPr>
            <w:tcW w:type="dxa" w:w="6463"/>
            <w:vAlign w:val="center"/>
            <w:shd w:fill="FFFFFF"/>
          </w:tcPr>
          <w:p>
            <w:pPr>
              <w:keepNext w:val="0"/>
              <w:spacing w:after="0" w:before="0" w:line="254" w:lineRule="auto"/>
              <w:jc w:val="left"/>
            </w:pPr>
            <w:r>
              <w:rPr>
                <w:sz w:val="19"/>
              </w:rPr>
              <w:t>Применяется после расчёта пошлины и таможенного сбора</w:t>
            </w:r>
          </w:p>
        </w:tc>
      </w:tr>
      <w:tr>
        <w:trPr>
          <w:cantSplit/>
        </w:trPr>
        <w:tc>
          <w:tcPr>
            <w:tcW w:type="dxa" w:w="3402"/>
            <w:vAlign w:val="center"/>
            <w:shd w:fill="FFFFFF"/>
          </w:tcPr>
          <w:p>
            <w:pPr>
              <w:keepNext w:val="0"/>
              <w:spacing w:after="0" w:before="0" w:line="254" w:lineRule="auto"/>
              <w:jc w:val="left"/>
            </w:pPr>
            <w:r>
              <w:rPr>
                <w:sz w:val="19"/>
              </w:rPr>
              <w:t>Относится к Всей волне</w:t>
            </w:r>
          </w:p>
        </w:tc>
        <w:tc>
          <w:tcPr>
            <w:tcW w:type="dxa" w:w="6463"/>
            <w:vAlign w:val="center"/>
            <w:shd w:fill="FFFFFF"/>
          </w:tcPr>
          <w:p>
            <w:pPr>
              <w:keepNext w:val="0"/>
              <w:spacing w:after="0" w:before="0" w:line="254" w:lineRule="auto"/>
              <w:jc w:val="left"/>
            </w:pPr>
            <w:r>
              <w:rPr>
                <w:sz w:val="19"/>
              </w:rPr>
              <w:t>Статья распределяется между участвующими позициями всей волны</w:t>
            </w:r>
          </w:p>
        </w:tc>
      </w:tr>
      <w:tr>
        <w:trPr>
          <w:cantSplit/>
        </w:trPr>
        <w:tc>
          <w:tcPr>
            <w:tcW w:type="dxa" w:w="3402"/>
            <w:vAlign w:val="center"/>
            <w:shd w:fill="FFFFFF"/>
          </w:tcPr>
          <w:p>
            <w:pPr>
              <w:keepNext w:val="0"/>
              <w:spacing w:after="0" w:before="0" w:line="254" w:lineRule="auto"/>
              <w:jc w:val="left"/>
            </w:pPr>
            <w:r>
              <w:rPr>
                <w:sz w:val="19"/>
              </w:rPr>
              <w:t>Относится к Только этой заявке</w:t>
            </w:r>
          </w:p>
        </w:tc>
        <w:tc>
          <w:tcPr>
            <w:tcW w:type="dxa" w:w="6463"/>
            <w:vAlign w:val="center"/>
            <w:shd w:fill="FFFFFF"/>
          </w:tcPr>
          <w:p>
            <w:pPr>
              <w:keepNext w:val="0"/>
              <w:spacing w:after="0" w:before="0" w:line="254" w:lineRule="auto"/>
              <w:jc w:val="left"/>
            </w:pPr>
            <w:r>
              <w:rPr>
                <w:sz w:val="19"/>
              </w:rPr>
              <w:t>Статья относится только к текущей заявке</w:t>
            </w:r>
          </w:p>
        </w:tc>
      </w:tr>
      <w:tr>
        <w:trPr>
          <w:cantSplit/>
        </w:trPr>
        <w:tc>
          <w:tcPr>
            <w:tcW w:type="dxa" w:w="3402"/>
            <w:vAlign w:val="center"/>
            <w:shd w:fill="FFFFFF"/>
          </w:tcPr>
          <w:p>
            <w:pPr>
              <w:keepNext w:val="0"/>
              <w:spacing w:after="0" w:before="0" w:line="254" w:lineRule="auto"/>
              <w:jc w:val="left"/>
            </w:pPr>
            <w:r>
              <w:rPr>
                <w:sz w:val="19"/>
              </w:rPr>
              <w:t>Распределение По количеству</w:t>
            </w:r>
          </w:p>
        </w:tc>
        <w:tc>
          <w:tcPr>
            <w:tcW w:type="dxa" w:w="6463"/>
            <w:vAlign w:val="center"/>
            <w:shd w:fill="FFFFFF"/>
          </w:tcPr>
          <w:p>
            <w:pPr>
              <w:keepNext w:val="0"/>
              <w:spacing w:after="0" w:before="0" w:line="254" w:lineRule="auto"/>
              <w:jc w:val="left"/>
            </w:pPr>
            <w:r>
              <w:rPr>
                <w:sz w:val="19"/>
              </w:rPr>
              <w:t>Доля определяется количеством упаковок</w:t>
            </w:r>
          </w:p>
        </w:tc>
      </w:tr>
      <w:tr>
        <w:trPr>
          <w:cantSplit/>
        </w:trPr>
        <w:tc>
          <w:tcPr>
            <w:tcW w:type="dxa" w:w="3402"/>
            <w:vAlign w:val="center"/>
            <w:shd w:fill="FFFFFF"/>
          </w:tcPr>
          <w:p>
            <w:pPr>
              <w:keepNext w:val="0"/>
              <w:spacing w:after="0" w:before="0" w:line="254" w:lineRule="auto"/>
              <w:jc w:val="left"/>
            </w:pPr>
            <w:r>
              <w:rPr>
                <w:sz w:val="19"/>
              </w:rPr>
              <w:t>Распределение По стоимости закупки</w:t>
            </w:r>
          </w:p>
        </w:tc>
        <w:tc>
          <w:tcPr>
            <w:tcW w:type="dxa" w:w="6463"/>
            <w:vAlign w:val="center"/>
            <w:shd w:fill="FFFFFF"/>
          </w:tcPr>
          <w:p>
            <w:pPr>
              <w:keepNext w:val="0"/>
              <w:spacing w:after="0" w:before="0" w:line="254" w:lineRule="auto"/>
              <w:jc w:val="left"/>
            </w:pPr>
            <w:r>
              <w:rPr>
                <w:sz w:val="19"/>
              </w:rPr>
              <w:t>Доля определяется закупочной стоимостью строк</w:t>
            </w:r>
          </w:p>
        </w:tc>
      </w:tr>
      <w:tr>
        <w:trPr>
          <w:cantSplit/>
        </w:trPr>
        <w:tc>
          <w:tcPr>
            <w:tcW w:type="dxa" w:w="3402"/>
            <w:vAlign w:val="center"/>
            <w:shd w:fill="FFFFFF"/>
          </w:tcPr>
          <w:p>
            <w:pPr>
              <w:keepNext w:val="0"/>
              <w:spacing w:after="0" w:before="0" w:line="254" w:lineRule="auto"/>
              <w:jc w:val="left"/>
            </w:pPr>
            <w:r>
              <w:rPr>
                <w:sz w:val="19"/>
              </w:rPr>
              <w:t>Распределение Поровну</w:t>
            </w:r>
          </w:p>
        </w:tc>
        <w:tc>
          <w:tcPr>
            <w:tcW w:type="dxa" w:w="6463"/>
            <w:vAlign w:val="center"/>
            <w:shd w:fill="FFFFFF"/>
          </w:tcPr>
          <w:p>
            <w:pPr>
              <w:keepNext w:val="0"/>
              <w:spacing w:after="0" w:before="0" w:line="254" w:lineRule="auto"/>
              <w:jc w:val="left"/>
            </w:pPr>
            <w:r>
              <w:rPr>
                <w:sz w:val="19"/>
              </w:rPr>
              <w:t>Сумма делится поровну между участвующими строками</w:t>
            </w:r>
          </w:p>
        </w:tc>
      </w:tr>
    </w:tbl>
    <w:p>
      <w:pPr>
        <w:spacing w:after="0" w:before="0" w:line="96" w:lineRule="auto"/>
      </w:pPr>
      <w:r>
        <w:rPr>
          <w:sz w:val="6"/>
        </w:rPr>
      </w:r>
    </w:p>
    <w:p>
      <w:pPr/>
      <w:r>
        <w:t>В настройках вида расхода отдельно задаётся, включать ли его в себестоимость и в денежную потребность. Международная логистика, исключённая из себестоимости, не увеличивает таможенную стоимость, но может учитываться в деньгах. Общие расходы также включаются в соответствующий показатель согласно этим отметкам.</w:t>
      </w:r>
    </w:p>
    <w:p>
      <w:pPr/>
      <w:r>
        <w:t>Для процентной статьи выберите базу: «Закупка», «Таможенная стоимость», «Пошлина» или «Себестоимость». База учитывает этап расчёта и уже рассчитанные статьи. Для строки международной логистики последующие пошлина и общие расходы ещё не известны. База «Себестоимость» для процента включает закупку, международную логистику, пошлину, сбор и уже начисленные общие расходы; ввозной НДС, финансирование, бонус и комиссии в эту базу не входят. Порядок процентных статей может влиять на результат. Не дублируйте таможенный сбор профиля отдельным расходом без подтверждённого основания.</w:t>
      </w:r>
    </w:p>
    <w:p>
      <w:pPr>
        <w:pStyle w:val="Heading2"/>
      </w:pPr>
      <w:r>
        <w:t>Версии и повторная проверка</w:t>
      </w:r>
    </w:p>
    <w:p>
      <w:pPr/>
      <w:r>
        <w:t>Предварительный результат помогает проверить ввод и не является записанным расчётом. Для КП нужна сохранённая версия. Чтобы исправить сумму или условия, откройте последнюю «Версию №N» и нажмите «Создать новую версию».</w:t>
      </w:r>
    </w:p>
    <w:p>
      <w:pPr/>
      <w:r>
        <w:t>При изменении общего бюджета, курса общей валютной статьи или состава волны прежний расчёт получает отметку «Требуется пересчёт». Если другой сотрудник изменил бюджет после вашего предпросмотра, сохранение просит повторить расчёт. Обновите входные данные, проверьте текущие расходы и снова выполните предварительный расчёт.</w:t>
      </w:r>
    </w:p>
    <w:p>
      <w:bookmarkStart w:id="7" w:name="chapter_7"/>
      <w:pPr>
        <w:pStyle w:val="Heading1"/>
      </w:pPr>
      <w:r>
        <w:t>7 Как рассчитываются цена и финансовые показатели</w:t>
      </w:r>
      <w:bookmarkEnd w:id="7"/>
    </w:p>
    <w:p>
      <w:pPr/>
      <w:r>
        <w:t>Эта глава описывает актуальную методику расчёта по табличным квотам. Старые формульные профили сохраняют собственные опубликованные формулы; не применяйте к ним автоматически описанную последовательность.</w:t>
      </w:r>
    </w:p>
    <w:p>
      <w:pPr>
        <w:pStyle w:val="Heading2"/>
      </w:pPr>
      <w:r>
        <w:t>Закупка таможенная стоимость и пошлина</w:t>
      </w:r>
    </w:p>
    <w:p>
      <w:pPr/>
      <w:r>
        <w:t xml:space="preserve">Для каждой строки цена одной фасовки умножается на количество упаковок. Полученная закупочная сумма переводится в RUB по эффективному курсу из профиля. К закупке в рублях прибавляется доля международной логистики, включённая в себестоимость: это </w:t>
      </w:r>
      <w:r>
        <w:rPr>
          <w:b/>
        </w:rPr>
        <w:t>таможенная стоимость</w:t>
      </w:r>
      <w:r>
        <w:t xml:space="preserve"> строки. В интерфейсе прежнее название «Таможенная база» заменено на «Таможенная стоимость»; смысл параметра сохранён.</w:t>
      </w:r>
    </w:p>
    <w:p>
      <w:pPr/>
      <w:r>
        <w:t>Пошлина определяется правилом товарной группы. Для процентного правила таможенная стоимость умножается на ставку. Для фиксированного правила сумма начисляется на группу и распределяется по количеству товаров группы в учитываемом составе. У других товарных групп могут быть иные правила; отсутствие нужного правила требует исправления профиля или группы.</w:t>
      </w:r>
    </w:p>
    <w:p>
      <w:pPr/>
      <w:r>
        <w:rPr>
          <w:b/>
        </w:rPr>
        <w:t>Таможенный сбор</w:t>
      </w:r>
      <w:r>
        <w:t xml:space="preserve"> выбирается по суммарной таможенной стоимости волны и применимому диапазону профиля. Он учитывается один раз и распределяется по количеству упаковок. В строке видно и её общую долю, и сумму сбора на единицу. Сбор входит в общие распределённые расходы.</w:t>
      </w:r>
    </w:p>
    <w:p>
      <w:pPr/>
      <w:r>
        <w:rPr>
          <w:b/>
        </w:rPr>
        <w:t>Ввозной НДС</w:t>
      </w:r>
      <w:r>
        <w:t xml:space="preserve"> рассчитывается от суммы таможенной стоимости и пошлины по ставке профиля. Таможенный сбор и общий расход не добавляются к этой базе в текущей методике.</w:t>
      </w:r>
    </w:p>
    <w:p>
      <w:pPr>
        <w:pStyle w:val="Heading2"/>
      </w:pPr>
      <w:r>
        <w:t>Два режима НДС</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10" w:type="dxa"/>
          <w:right w:w="110" w:type="dxa"/>
        </w:tblCellMar>
      </w:tblPr>
      <w:tblGrid>
        <w:gridCol w:w="3798"/>
        <w:gridCol w:w="3033"/>
        <w:gridCol w:w="3033"/>
      </w:tblGrid>
      <w:tr>
        <w:trPr>
          <w:cantSplit/>
          <w:tblHeader/>
        </w:trPr>
        <w:tc>
          <w:tcPr>
            <w:tcW w:type="dxa" w:w="3798"/>
            <w:vAlign w:val="center"/>
            <w:shd w:fill="DCE7F0"/>
          </w:tcPr>
          <w:p>
            <w:pPr>
              <w:keepNext/>
              <w:spacing w:after="0" w:before="0" w:line="254" w:lineRule="auto"/>
              <w:jc w:val="left"/>
            </w:pPr>
            <w:r>
              <w:rPr>
                <w:b/>
                <w:sz w:val="19"/>
              </w:rPr>
              <w:t>Что сравниваем</w:t>
            </w:r>
          </w:p>
        </w:tc>
        <w:tc>
          <w:tcPr>
            <w:tcW w:type="dxa" w:w="3033"/>
            <w:vAlign w:val="center"/>
            <w:shd w:fill="DCE7F0"/>
          </w:tcPr>
          <w:p>
            <w:pPr>
              <w:keepNext/>
              <w:spacing w:after="0" w:before="0" w:line="254" w:lineRule="auto"/>
              <w:jc w:val="center"/>
            </w:pPr>
            <w:r>
              <w:rPr>
                <w:b/>
                <w:sz w:val="19"/>
              </w:rPr>
              <w:t>Без вычета</w:t>
            </w:r>
          </w:p>
        </w:tc>
        <w:tc>
          <w:tcPr>
            <w:tcW w:type="dxa" w:w="3033"/>
            <w:vAlign w:val="center"/>
            <w:shd w:fill="DCE7F0"/>
          </w:tcPr>
          <w:p>
            <w:pPr>
              <w:keepNext/>
              <w:spacing w:after="0" w:before="0" w:line="254" w:lineRule="auto"/>
              <w:jc w:val="center"/>
            </w:pPr>
            <w:r>
              <w:rPr>
                <w:b/>
                <w:sz w:val="19"/>
              </w:rPr>
              <w:t>С вычетом</w:t>
            </w:r>
          </w:p>
        </w:tc>
      </w:tr>
      <w:tr>
        <w:trPr>
          <w:cantSplit/>
        </w:trPr>
        <w:tc>
          <w:tcPr>
            <w:tcW w:type="dxa" w:w="3798"/>
            <w:vAlign w:val="center"/>
            <w:shd w:fill="FFFFFF"/>
          </w:tcPr>
          <w:p>
            <w:pPr>
              <w:keepNext w:val="0"/>
              <w:spacing w:after="0" w:before="0" w:line="254" w:lineRule="auto"/>
              <w:jc w:val="left"/>
            </w:pPr>
            <w:r>
              <w:rPr>
                <w:sz w:val="19"/>
              </w:rPr>
              <w:t>Расчёт ввозного НДС</w:t>
            </w:r>
          </w:p>
        </w:tc>
        <w:tc>
          <w:tcPr>
            <w:tcW w:type="dxa" w:w="3033"/>
            <w:vAlign w:val="center"/>
            <w:shd w:fill="FFFFFF"/>
          </w:tcPr>
          <w:p>
            <w:pPr>
              <w:keepNext w:val="0"/>
              <w:spacing w:after="0" w:before="0" w:line="254" w:lineRule="auto"/>
              <w:jc w:val="center"/>
            </w:pPr>
            <w:r>
              <w:rPr>
                <w:sz w:val="19"/>
              </w:rPr>
              <w:t>Рассчитывается и показывается</w:t>
            </w:r>
          </w:p>
        </w:tc>
        <w:tc>
          <w:tcPr>
            <w:tcW w:type="dxa" w:w="3033"/>
            <w:vAlign w:val="center"/>
            <w:shd w:fill="FFFFFF"/>
          </w:tcPr>
          <w:p>
            <w:pPr>
              <w:keepNext w:val="0"/>
              <w:spacing w:after="0" w:before="0" w:line="254" w:lineRule="auto"/>
              <w:jc w:val="center"/>
            </w:pPr>
            <w:r>
              <w:rPr>
                <w:sz w:val="19"/>
              </w:rPr>
              <w:t>Рассчитывается и показывается</w:t>
            </w:r>
          </w:p>
        </w:tc>
      </w:tr>
      <w:tr>
        <w:trPr>
          <w:cantSplit/>
        </w:trPr>
        <w:tc>
          <w:tcPr>
            <w:tcW w:type="dxa" w:w="3798"/>
            <w:vAlign w:val="center"/>
            <w:shd w:fill="FFFFFF"/>
          </w:tcPr>
          <w:p>
            <w:pPr>
              <w:keepNext w:val="0"/>
              <w:spacing w:after="0" w:before="0" w:line="254" w:lineRule="auto"/>
              <w:jc w:val="left"/>
            </w:pPr>
            <w:r>
              <w:rPr>
                <w:sz w:val="19"/>
              </w:rPr>
              <w:t>Включение в себестоимость</w:t>
            </w:r>
          </w:p>
        </w:tc>
        <w:tc>
          <w:tcPr>
            <w:tcW w:type="dxa" w:w="3033"/>
            <w:vAlign w:val="center"/>
            <w:shd w:fill="FFFFFF"/>
          </w:tcPr>
          <w:p>
            <w:pPr>
              <w:keepNext w:val="0"/>
              <w:spacing w:after="0" w:before="0" w:line="254" w:lineRule="auto"/>
              <w:jc w:val="center"/>
            </w:pPr>
            <w:r>
              <w:rPr>
                <w:sz w:val="19"/>
              </w:rPr>
              <w:t>Включается</w:t>
            </w:r>
          </w:p>
        </w:tc>
        <w:tc>
          <w:tcPr>
            <w:tcW w:type="dxa" w:w="3033"/>
            <w:vAlign w:val="center"/>
            <w:shd w:fill="FFFFFF"/>
          </w:tcPr>
          <w:p>
            <w:pPr>
              <w:keepNext w:val="0"/>
              <w:spacing w:after="0" w:before="0" w:line="254" w:lineRule="auto"/>
              <w:jc w:val="center"/>
            </w:pPr>
            <w:r>
              <w:rPr>
                <w:sz w:val="19"/>
              </w:rPr>
              <w:t>Исключается</w:t>
            </w:r>
          </w:p>
        </w:tc>
      </w:tr>
      <w:tr>
        <w:trPr>
          <w:cantSplit/>
        </w:trPr>
        <w:tc>
          <w:tcPr>
            <w:tcW w:type="dxa" w:w="3798"/>
            <w:vAlign w:val="center"/>
            <w:shd w:fill="FFFFFF"/>
          </w:tcPr>
          <w:p>
            <w:pPr>
              <w:keepNext w:val="0"/>
              <w:spacing w:after="0" w:before="0" w:line="254" w:lineRule="auto"/>
              <w:jc w:val="left"/>
            </w:pPr>
            <w:r>
              <w:rPr>
                <w:sz w:val="19"/>
              </w:rPr>
              <w:t>Включение в базу наценки</w:t>
            </w:r>
          </w:p>
        </w:tc>
        <w:tc>
          <w:tcPr>
            <w:tcW w:type="dxa" w:w="3033"/>
            <w:vAlign w:val="center"/>
            <w:shd w:fill="FFFFFF"/>
          </w:tcPr>
          <w:p>
            <w:pPr>
              <w:keepNext w:val="0"/>
              <w:spacing w:after="0" w:before="0" w:line="254" w:lineRule="auto"/>
              <w:jc w:val="center"/>
            </w:pPr>
            <w:r>
              <w:rPr>
                <w:sz w:val="19"/>
              </w:rPr>
              <w:t>Включается</w:t>
            </w:r>
          </w:p>
        </w:tc>
        <w:tc>
          <w:tcPr>
            <w:tcW w:type="dxa" w:w="3033"/>
            <w:vAlign w:val="center"/>
            <w:shd w:fill="FFFFFF"/>
          </w:tcPr>
          <w:p>
            <w:pPr>
              <w:keepNext w:val="0"/>
              <w:spacing w:after="0" w:before="0" w:line="254" w:lineRule="auto"/>
              <w:jc w:val="center"/>
            </w:pPr>
            <w:r>
              <w:rPr>
                <w:sz w:val="19"/>
              </w:rPr>
              <w:t>Исключается</w:t>
            </w:r>
          </w:p>
        </w:tc>
      </w:tr>
      <w:tr>
        <w:trPr>
          <w:cantSplit/>
        </w:trPr>
        <w:tc>
          <w:tcPr>
            <w:tcW w:type="dxa" w:w="3798"/>
            <w:vAlign w:val="center"/>
            <w:shd w:fill="FFFFFF"/>
          </w:tcPr>
          <w:p>
            <w:pPr>
              <w:keepNext w:val="0"/>
              <w:spacing w:after="0" w:before="0" w:line="254" w:lineRule="auto"/>
              <w:jc w:val="left"/>
            </w:pPr>
            <w:r>
              <w:rPr>
                <w:sz w:val="19"/>
              </w:rPr>
              <w:t>Сам ввозной НДС в денежных затратах</w:t>
            </w:r>
          </w:p>
        </w:tc>
        <w:tc>
          <w:tcPr>
            <w:tcW w:type="dxa" w:w="3033"/>
            <w:vAlign w:val="center"/>
            <w:shd w:fill="FFFFFF"/>
          </w:tcPr>
          <w:p>
            <w:pPr>
              <w:keepNext w:val="0"/>
              <w:spacing w:after="0" w:before="0" w:line="254" w:lineRule="auto"/>
              <w:jc w:val="center"/>
            </w:pPr>
            <w:r>
              <w:rPr>
                <w:sz w:val="19"/>
              </w:rPr>
              <w:t>Включается</w:t>
            </w:r>
          </w:p>
        </w:tc>
        <w:tc>
          <w:tcPr>
            <w:tcW w:type="dxa" w:w="3033"/>
            <w:vAlign w:val="center"/>
            <w:shd w:fill="FFFFFF"/>
          </w:tcPr>
          <w:p>
            <w:pPr>
              <w:keepNext w:val="0"/>
              <w:spacing w:after="0" w:before="0" w:line="254" w:lineRule="auto"/>
              <w:jc w:val="center"/>
            </w:pPr>
            <w:r>
              <w:rPr>
                <w:sz w:val="19"/>
              </w:rPr>
              <w:t>Включается</w:t>
            </w:r>
          </w:p>
        </w:tc>
      </w:tr>
      <w:tr>
        <w:trPr>
          <w:cantSplit/>
        </w:trPr>
        <w:tc>
          <w:tcPr>
            <w:tcW w:type="dxa" w:w="3798"/>
            <w:vAlign w:val="center"/>
            <w:shd w:fill="FFFFFF"/>
          </w:tcPr>
          <w:p>
            <w:pPr>
              <w:keepNext w:val="0"/>
              <w:spacing w:after="0" w:before="0" w:line="254" w:lineRule="auto"/>
              <w:jc w:val="left"/>
            </w:pPr>
            <w:r>
              <w:rPr>
                <w:sz w:val="19"/>
              </w:rPr>
              <w:t>НДС к уплате в модели</w:t>
            </w:r>
          </w:p>
        </w:tc>
        <w:tc>
          <w:tcPr>
            <w:tcW w:type="dxa" w:w="3033"/>
            <w:vAlign w:val="center"/>
            <w:shd w:fill="FFFFFF"/>
          </w:tcPr>
          <w:p>
            <w:pPr>
              <w:keepNext w:val="0"/>
              <w:spacing w:after="0" w:before="0" w:line="254" w:lineRule="auto"/>
              <w:jc w:val="center"/>
            </w:pPr>
            <w:r>
              <w:rPr>
                <w:sz w:val="19"/>
              </w:rPr>
              <w:t>Продажный НДС</w:t>
            </w:r>
          </w:p>
        </w:tc>
        <w:tc>
          <w:tcPr>
            <w:tcW w:type="dxa" w:w="3033"/>
            <w:vAlign w:val="center"/>
            <w:shd w:fill="FFFFFF"/>
          </w:tcPr>
          <w:p>
            <w:pPr>
              <w:keepNext w:val="0"/>
              <w:spacing w:after="0" w:before="0" w:line="254" w:lineRule="auto"/>
              <w:jc w:val="center"/>
            </w:pPr>
            <w:r>
              <w:rPr>
                <w:sz w:val="19"/>
              </w:rPr>
              <w:t>Продажный НДС минус ввозной НДС, минимум 0</w:t>
            </w:r>
          </w:p>
        </w:tc>
      </w:tr>
    </w:tbl>
    <w:p>
      <w:pPr>
        <w:spacing w:after="0" w:before="0" w:line="96" w:lineRule="auto"/>
      </w:pPr>
      <w:r>
        <w:rPr>
          <w:sz w:val="6"/>
        </w:rPr>
      </w:r>
    </w:p>
    <w:p>
      <w:pPr/>
      <w:r>
        <w:t>Вычет снижает себестоимость и цену. Он не убирает сам налог из денежной потребности при ввозе. При этом общая потребность может измениться за счёт финансирования, бонуса или комиссии, если они зависят от уменьшившихся баз.</w:t>
      </w:r>
    </w:p>
    <w:p>
      <w:pPr>
        <w:pStyle w:val="Heading2"/>
      </w:pPr>
      <w:r>
        <w:t>База наценки и цена</w:t>
      </w:r>
    </w:p>
    <w:p>
      <w:pPr/>
      <w:r>
        <w:t>База наценки — «Чистая стоимость до наценки». Она равна таможенной стоимости плюс пошлина и, в режиме без вычета, ввозной НДС. Уже входящую в таможенную стоимость международную логистику второй раз не прибавляют.</w:t>
      </w:r>
    </w:p>
    <w:p>
      <w:pPr/>
      <w:r>
        <w:t xml:space="preserve">Наценка применяется </w:t>
      </w:r>
      <w:r>
        <w:rPr>
          <w:b/>
        </w:rPr>
        <w:t>к этой чистой стоимости</w:t>
      </w:r>
      <w:r>
        <w:t>, а не ко всей итоговой себестоимости. Затем добавляются общий расход, доля таможенного сбора и стоимость финансирования. Получается «Цена до бонуса без НДС». Бонусы и комиссии прибавляются после неё.</w:t>
      </w:r>
    </w:p>
    <w:p>
      <w:pPr/>
      <w:r>
        <w:t>Если наценка равна 1,25, чистая стоимость умножается на 1,25. Общие расходы, таможенный сбор и финансирование добавляются отдельно, без повторного умножения на 1,25. Это важно при ручной сверке расчёта с Excel.</w:t>
      </w:r>
    </w:p>
    <w:p>
      <w:pPr>
        <w:pStyle w:val="Heading2"/>
      </w:pPr>
      <w:r>
        <w:t>Стоимость отсрочки</w:t>
      </w:r>
    </w:p>
    <w:p>
      <w:pPr/>
      <w:r>
        <w:t>К чистой стоимости прибавляются общий расход и таможенный сбор. Получается себестоимость до финансирования. Её доля, соответствующая проценту отсрочки, является финансируемой суммой.</w:t>
      </w:r>
    </w:p>
    <w:p>
      <w:pPr/>
      <w:r>
        <w:t>Стоимость финансирования получается умножением этой суммы на годовую ставку и количество дней отсрочки с делением на базу дней года из профиля. Например, при 30% отсрочки финансируется 30% затрат, а не вся цена продажи. При 100% предоплате доля отсрочки равна нулю и стоимость финансирования равна нулю.</w:t>
      </w:r>
    </w:p>
    <w:p>
      <w:pPr/>
      <w:r>
        <w:t>Это расчёт по введённым условиям, а не автоматическое начисление по фактическому календарю платежей. Событие начала отсрочки — счёт, отправка или доставка — фиксирует выбранное условие сделки.</w:t>
      </w:r>
    </w:p>
    <w:p>
      <w:pPr>
        <w:pStyle w:val="Heading2"/>
      </w:pPr>
      <w:r>
        <w:t>Бонусы и комиссии</w:t>
      </w:r>
    </w:p>
    <w:p>
      <w:pPr/>
      <w:r>
        <w:t>Коэффициент бонуса строки применяется к цене до бонуса без НДС. При коэффициенте 1,00 бонус равен нулю, при 1,10 — 10% этой цены. Для сотрудников с соответствующим правом доступна дополнительная внутренняя корректировка: процент, множитель или фиксированная сумма. Фиксированная корректировка заявки распределяется только между её выбранными позициями.</w:t>
      </w:r>
    </w:p>
    <w:p>
      <w:pPr/>
      <w:r>
        <w:t>Комиссия за вывод бонуса рассчитывается от бонуса по ставке профиля. Дополнительная сервисная комиссия, если она включена, рассчитывается от затрат до внутренней корректировки. Бонус и комиссии входят в себестоимость, цену без НДС и денежную потребность. Их внутренние показатели не печатаются отдельными полями в клиентском КП.</w:t>
      </w:r>
    </w:p>
    <w:p>
      <w:pPr>
        <w:pStyle w:val="Heading2"/>
      </w:pPr>
      <w:r>
        <w:t>Окончательный результат</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10" w:type="dxa"/>
          <w:right w:w="110" w:type="dxa"/>
        </w:tblCellMar>
      </w:tblPr>
      <w:tblGrid>
        <w:gridCol w:w="3402"/>
        <w:gridCol w:w="6463"/>
      </w:tblGrid>
      <w:tr>
        <w:trPr>
          <w:cantSplit/>
          <w:tblHeader/>
        </w:trPr>
        <w:tc>
          <w:tcPr>
            <w:tcW w:type="dxa" w:w="3402"/>
            <w:vAlign w:val="center"/>
            <w:shd w:fill="DCE7F0"/>
          </w:tcPr>
          <w:p>
            <w:pPr>
              <w:keepNext/>
              <w:spacing w:after="0" w:before="0" w:line="254" w:lineRule="auto"/>
              <w:jc w:val="left"/>
            </w:pPr>
            <w:r>
              <w:rPr>
                <w:b/>
                <w:sz w:val="19"/>
              </w:rPr>
              <w:t>Показатель</w:t>
            </w:r>
          </w:p>
        </w:tc>
        <w:tc>
          <w:tcPr>
            <w:tcW w:type="dxa" w:w="6463"/>
            <w:vAlign w:val="center"/>
            <w:shd w:fill="DCE7F0"/>
          </w:tcPr>
          <w:p>
            <w:pPr>
              <w:keepNext/>
              <w:spacing w:after="0" w:before="0" w:line="254" w:lineRule="auto"/>
              <w:jc w:val="left"/>
            </w:pPr>
            <w:r>
              <w:rPr>
                <w:b/>
                <w:sz w:val="19"/>
              </w:rPr>
              <w:t>Как рассчитывается</w:t>
            </w:r>
          </w:p>
        </w:tc>
      </w:tr>
      <w:tr>
        <w:trPr>
          <w:cantSplit/>
        </w:trPr>
        <w:tc>
          <w:tcPr>
            <w:tcW w:type="dxa" w:w="3402"/>
            <w:vAlign w:val="center"/>
            <w:shd w:fill="FFFFFF"/>
          </w:tcPr>
          <w:p>
            <w:pPr>
              <w:keepNext w:val="0"/>
              <w:spacing w:after="0" w:before="0" w:line="254" w:lineRule="auto"/>
              <w:jc w:val="left"/>
            </w:pPr>
            <w:r>
              <w:rPr>
                <w:sz w:val="19"/>
              </w:rPr>
              <w:t>Себестоимость</w:t>
            </w:r>
          </w:p>
        </w:tc>
        <w:tc>
          <w:tcPr>
            <w:tcW w:type="dxa" w:w="6463"/>
            <w:vAlign w:val="center"/>
            <w:shd w:fill="FFFFFF"/>
          </w:tcPr>
          <w:p>
            <w:pPr>
              <w:keepNext w:val="0"/>
              <w:spacing w:after="0" w:before="0" w:line="254" w:lineRule="auto"/>
              <w:jc w:val="left"/>
            </w:pPr>
            <w:r>
              <w:rPr>
                <w:sz w:val="19"/>
              </w:rPr>
              <w:t>Чистая стоимость плюс общий расход, сбор, финансирование, бонус и комиссии</w:t>
            </w:r>
          </w:p>
        </w:tc>
      </w:tr>
      <w:tr>
        <w:trPr>
          <w:cantSplit/>
        </w:trPr>
        <w:tc>
          <w:tcPr>
            <w:tcW w:type="dxa" w:w="3402"/>
            <w:vAlign w:val="center"/>
            <w:shd w:fill="FFFFFF"/>
          </w:tcPr>
          <w:p>
            <w:pPr>
              <w:keepNext w:val="0"/>
              <w:spacing w:after="0" w:before="0" w:line="254" w:lineRule="auto"/>
              <w:jc w:val="left"/>
            </w:pPr>
            <w:r>
              <w:rPr>
                <w:sz w:val="19"/>
              </w:rPr>
              <w:t>Продажа без НДС</w:t>
            </w:r>
          </w:p>
        </w:tc>
        <w:tc>
          <w:tcPr>
            <w:tcW w:type="dxa" w:w="6463"/>
            <w:vAlign w:val="center"/>
            <w:shd w:fill="FFFFFF"/>
          </w:tcPr>
          <w:p>
            <w:pPr>
              <w:keepNext w:val="0"/>
              <w:spacing w:after="0" w:before="0" w:line="254" w:lineRule="auto"/>
              <w:jc w:val="left"/>
            </w:pPr>
            <w:r>
              <w:rPr>
                <w:sz w:val="19"/>
              </w:rPr>
              <w:t>Цена до бонуса плюс бонус и комиссии</w:t>
            </w:r>
          </w:p>
        </w:tc>
      </w:tr>
      <w:tr>
        <w:trPr>
          <w:cantSplit/>
        </w:trPr>
        <w:tc>
          <w:tcPr>
            <w:tcW w:type="dxa" w:w="3402"/>
            <w:vAlign w:val="center"/>
            <w:shd w:fill="FFFFFF"/>
          </w:tcPr>
          <w:p>
            <w:pPr>
              <w:keepNext w:val="0"/>
              <w:spacing w:after="0" w:before="0" w:line="254" w:lineRule="auto"/>
              <w:jc w:val="left"/>
            </w:pPr>
            <w:r>
              <w:rPr>
                <w:sz w:val="19"/>
              </w:rPr>
              <w:t>Продажный НДС</w:t>
            </w:r>
          </w:p>
        </w:tc>
        <w:tc>
          <w:tcPr>
            <w:tcW w:type="dxa" w:w="6463"/>
            <w:vAlign w:val="center"/>
            <w:shd w:fill="FFFFFF"/>
          </w:tcPr>
          <w:p>
            <w:pPr>
              <w:keepNext w:val="0"/>
              <w:spacing w:after="0" w:before="0" w:line="254" w:lineRule="auto"/>
              <w:jc w:val="left"/>
            </w:pPr>
            <w:r>
              <w:rPr>
                <w:sz w:val="19"/>
              </w:rPr>
              <w:t>Продажа без НДС с применением ставки и правила округления профиля</w:t>
            </w:r>
          </w:p>
        </w:tc>
      </w:tr>
      <w:tr>
        <w:trPr>
          <w:cantSplit/>
        </w:trPr>
        <w:tc>
          <w:tcPr>
            <w:tcW w:type="dxa" w:w="3402"/>
            <w:vAlign w:val="center"/>
            <w:shd w:fill="FFFFFF"/>
          </w:tcPr>
          <w:p>
            <w:pPr>
              <w:keepNext w:val="0"/>
              <w:spacing w:after="0" w:before="0" w:line="254" w:lineRule="auto"/>
              <w:jc w:val="left"/>
            </w:pPr>
            <w:r>
              <w:rPr>
                <w:sz w:val="19"/>
              </w:rPr>
              <w:t>Итого с НДС</w:t>
            </w:r>
          </w:p>
        </w:tc>
        <w:tc>
          <w:tcPr>
            <w:tcW w:type="dxa" w:w="6463"/>
            <w:vAlign w:val="center"/>
            <w:shd w:fill="FFFFFF"/>
          </w:tcPr>
          <w:p>
            <w:pPr>
              <w:keepNext w:val="0"/>
              <w:spacing w:after="0" w:before="0" w:line="254" w:lineRule="auto"/>
              <w:jc w:val="left"/>
            </w:pPr>
            <w:r>
              <w:rPr>
                <w:sz w:val="19"/>
              </w:rPr>
              <w:t>Продажа без НДС плюс продажный НДС</w:t>
            </w:r>
          </w:p>
        </w:tc>
      </w:tr>
      <w:tr>
        <w:trPr>
          <w:cantSplit/>
        </w:trPr>
        <w:tc>
          <w:tcPr>
            <w:tcW w:type="dxa" w:w="3402"/>
            <w:vAlign w:val="center"/>
            <w:shd w:fill="FFFFFF"/>
          </w:tcPr>
          <w:p>
            <w:pPr>
              <w:keepNext w:val="0"/>
              <w:spacing w:after="0" w:before="0" w:line="254" w:lineRule="auto"/>
              <w:jc w:val="left"/>
            </w:pPr>
            <w:r>
              <w:rPr>
                <w:sz w:val="19"/>
              </w:rPr>
              <w:t>Прибыль</w:t>
            </w:r>
          </w:p>
        </w:tc>
        <w:tc>
          <w:tcPr>
            <w:tcW w:type="dxa" w:w="6463"/>
            <w:vAlign w:val="center"/>
            <w:shd w:fill="FFFFFF"/>
          </w:tcPr>
          <w:p>
            <w:pPr>
              <w:keepNext w:val="0"/>
              <w:spacing w:after="0" w:before="0" w:line="254" w:lineRule="auto"/>
              <w:jc w:val="left"/>
            </w:pPr>
            <w:r>
              <w:rPr>
                <w:sz w:val="19"/>
              </w:rPr>
              <w:t>Продажа без НДС минус себестоимость</w:t>
            </w:r>
          </w:p>
        </w:tc>
      </w:tr>
      <w:tr>
        <w:trPr>
          <w:cantSplit/>
        </w:trPr>
        <w:tc>
          <w:tcPr>
            <w:tcW w:type="dxa" w:w="3402"/>
            <w:vAlign w:val="center"/>
            <w:shd w:fill="FFFFFF"/>
          </w:tcPr>
          <w:p>
            <w:pPr>
              <w:keepNext w:val="0"/>
              <w:spacing w:after="0" w:before="0" w:line="254" w:lineRule="auto"/>
              <w:jc w:val="left"/>
            </w:pPr>
            <w:r>
              <w:rPr>
                <w:sz w:val="19"/>
              </w:rPr>
              <w:t>Все распределённые расходы</w:t>
            </w:r>
          </w:p>
        </w:tc>
        <w:tc>
          <w:tcPr>
            <w:tcW w:type="dxa" w:w="6463"/>
            <w:vAlign w:val="center"/>
            <w:shd w:fill="FFFFFF"/>
          </w:tcPr>
          <w:p>
            <w:pPr>
              <w:keepNext w:val="0"/>
              <w:spacing w:after="0" w:before="0" w:line="254" w:lineRule="auto"/>
              <w:jc w:val="left"/>
            </w:pPr>
            <w:r>
              <w:rPr>
                <w:sz w:val="19"/>
              </w:rPr>
              <w:t>Международная логистика и общий расход, включённые в себестоимость, плюс таможенный сбор</w:t>
            </w:r>
          </w:p>
        </w:tc>
      </w:tr>
      <w:tr>
        <w:trPr>
          <w:cantSplit/>
        </w:trPr>
        <w:tc>
          <w:tcPr>
            <w:tcW w:type="dxa" w:w="3402"/>
            <w:vAlign w:val="center"/>
            <w:shd w:fill="FFFFFF"/>
          </w:tcPr>
          <w:p>
            <w:pPr>
              <w:keepNext w:val="0"/>
              <w:spacing w:after="0" w:before="0" w:line="254" w:lineRule="auto"/>
              <w:jc w:val="left"/>
            </w:pPr>
            <w:r>
              <w:rPr>
                <w:sz w:val="19"/>
              </w:rPr>
              <w:t>Денежная потребность</w:t>
            </w:r>
          </w:p>
        </w:tc>
        <w:tc>
          <w:tcPr>
            <w:tcW w:type="dxa" w:w="6463"/>
            <w:vAlign w:val="center"/>
            <w:shd w:fill="FFFFFF"/>
          </w:tcPr>
          <w:p>
            <w:pPr>
              <w:keepNext w:val="0"/>
              <w:spacing w:after="0" w:before="0" w:line="254" w:lineRule="auto"/>
              <w:jc w:val="left"/>
            </w:pPr>
            <w:r>
              <w:rPr>
                <w:sz w:val="19"/>
              </w:rPr>
              <w:t>Закупка плюс расходы, включённые в деньги, сбор, пошлина, ввозной НДС, финансирование, бонус и комиссии</w:t>
            </w:r>
          </w:p>
        </w:tc>
      </w:tr>
      <w:tr>
        <w:trPr>
          <w:cantSplit/>
        </w:trPr>
        <w:tc>
          <w:tcPr>
            <w:tcW w:type="dxa" w:w="3402"/>
            <w:vAlign w:val="center"/>
            <w:shd w:fill="FFFFFF"/>
          </w:tcPr>
          <w:p>
            <w:pPr>
              <w:keepNext w:val="0"/>
              <w:spacing w:after="0" w:before="0" w:line="254" w:lineRule="auto"/>
              <w:jc w:val="left"/>
            </w:pPr>
            <w:r>
              <w:rPr>
                <w:sz w:val="19"/>
              </w:rPr>
              <w:t>Рентабельность</w:t>
            </w:r>
          </w:p>
        </w:tc>
        <w:tc>
          <w:tcPr>
            <w:tcW w:type="dxa" w:w="6463"/>
            <w:vAlign w:val="center"/>
            <w:shd w:fill="FFFFFF"/>
          </w:tcPr>
          <w:p>
            <w:pPr>
              <w:keepNext w:val="0"/>
              <w:spacing w:after="0" w:before="0" w:line="254" w:lineRule="auto"/>
              <w:jc w:val="left"/>
            </w:pPr>
            <w:r>
              <w:rPr>
                <w:sz w:val="19"/>
              </w:rPr>
              <w:t>Прибыль делится на продажу без НДС и умножается на 100%</w:t>
            </w:r>
          </w:p>
        </w:tc>
      </w:tr>
      <w:tr>
        <w:trPr>
          <w:cantSplit/>
        </w:trPr>
        <w:tc>
          <w:tcPr>
            <w:tcW w:type="dxa" w:w="3402"/>
            <w:vAlign w:val="center"/>
            <w:shd w:fill="FFFFFF"/>
          </w:tcPr>
          <w:p>
            <w:pPr>
              <w:keepNext w:val="0"/>
              <w:spacing w:after="0" w:before="0" w:line="254" w:lineRule="auto"/>
              <w:jc w:val="left"/>
            </w:pPr>
            <w:r>
              <w:rPr>
                <w:sz w:val="19"/>
              </w:rPr>
              <w:t>Доля расходов</w:t>
            </w:r>
          </w:p>
        </w:tc>
        <w:tc>
          <w:tcPr>
            <w:tcW w:type="dxa" w:w="6463"/>
            <w:vAlign w:val="center"/>
            <w:shd w:fill="FFFFFF"/>
          </w:tcPr>
          <w:p>
            <w:pPr>
              <w:keepNext w:val="0"/>
              <w:spacing w:after="0" w:before="0" w:line="254" w:lineRule="auto"/>
              <w:jc w:val="left"/>
            </w:pPr>
            <w:r>
              <w:rPr>
                <w:sz w:val="19"/>
              </w:rPr>
              <w:t>Все распределённые расходы делятся на себестоимость и умножаются на 100%</w:t>
            </w:r>
          </w:p>
        </w:tc>
      </w:tr>
      <w:tr>
        <w:trPr>
          <w:cantSplit/>
        </w:trPr>
        <w:tc>
          <w:tcPr>
            <w:tcW w:type="dxa" w:w="3402"/>
            <w:vAlign w:val="center"/>
            <w:shd w:fill="FFFFFF"/>
          </w:tcPr>
          <w:p>
            <w:pPr>
              <w:keepNext w:val="0"/>
              <w:spacing w:after="0" w:before="0" w:line="254" w:lineRule="auto"/>
              <w:jc w:val="left"/>
            </w:pPr>
            <w:r>
              <w:rPr>
                <w:sz w:val="19"/>
              </w:rPr>
              <w:t>Эффективность средств</w:t>
            </w:r>
          </w:p>
        </w:tc>
        <w:tc>
          <w:tcPr>
            <w:tcW w:type="dxa" w:w="6463"/>
            <w:vAlign w:val="center"/>
            <w:shd w:fill="FFFFFF"/>
          </w:tcPr>
          <w:p>
            <w:pPr>
              <w:keepNext w:val="0"/>
              <w:spacing w:after="0" w:before="0" w:line="254" w:lineRule="auto"/>
              <w:jc w:val="left"/>
            </w:pPr>
            <w:r>
              <w:rPr>
                <w:sz w:val="19"/>
              </w:rPr>
              <w:t>Прибыль делится на денежную потребность и умножается на 100%</w:t>
            </w:r>
          </w:p>
        </w:tc>
      </w:tr>
    </w:tbl>
    <w:p>
      <w:pPr>
        <w:spacing w:after="0" w:before="0" w:line="96" w:lineRule="auto"/>
      </w:pPr>
      <w:r>
        <w:rPr>
          <w:sz w:val="6"/>
        </w:rPr>
      </w:r>
    </w:p>
    <w:p>
      <w:pPr/>
      <w:r>
        <w:rPr>
          <w:b/>
        </w:rPr>
        <w:t>Округление.</w:t>
      </w:r>
      <w:r>
        <w:t xml:space="preserve"> Денежные доли распределяются с учётом копеек, чтобы сохранялась общая сумма. Если в профиле включено округление цены за штуку с НДС вверх до рубля, CRM округляет именно эту цену, затем умножает её на количество. При этом продажный НДС строки отображается как разница итога с НДС и цены без НДС. При выключенной опции применяется денежное округление налога по правилам профиля.</w:t>
      </w:r>
    </w:p>
    <w:p>
      <w:pPr/>
      <w:r>
        <w:t>Итоги заявки складываются по её выбранным строкам. Общий бюджет волны содержит также другие участвующие заказы; его нельзя подменять итогом одной заявки. Прибыль является результатом введённой модели затрат, а денежная потребность показывает суммы для её финансирования. Уже внесённые платежи автоматически не вычитаются из денежной потребности расчёта: реальное финансирование исполнения учитывается отдельно. «НДС к уплате» является показателем этой сделки в модели CRM и не учитывает другие возможные операции организации.</w:t>
      </w:r>
    </w:p>
    <w:p>
      <w:bookmarkStart w:id="8" w:name="chapter_8"/>
      <w:pPr>
        <w:pStyle w:val="Heading1"/>
        <w:pageBreakBefore/>
      </w:pPr>
      <w:r>
        <w:t>8 Учебный пример двух режимов НДС</w:t>
      </w:r>
      <w:bookmarkEnd w:id="8"/>
    </w:p>
    <w:p>
      <w:pPr/>
      <w:r>
        <w:t>Пример рассчитан по условному профилю. Используем две упаковки по 100 USD, курс 90 RUB за 1 USD, международную логистику 2 000 ₽, пошлину 5%, условную ставку НДС 20%, таможенный сбор 1 000 ₽ и общий расход 500 ₽. Коэффициент наценки — 1,25, бонуса — 1,00. Предоплата — 100%; финансирование, дополнительные бонусы и комиссии отсутствуют. Все расходы относятся к этим двум упаковкам и включены в себестоимость и денежную потребность. Эти ставки служат только для учебного примера.</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10" w:type="dxa"/>
          <w:right w:w="110" w:type="dxa"/>
        </w:tblCellMar>
      </w:tblPr>
      <w:tblGrid>
        <w:gridCol w:w="4876"/>
        <w:gridCol w:w="2494"/>
        <w:gridCol w:w="2494"/>
      </w:tblGrid>
      <w:tr>
        <w:trPr>
          <w:cantSplit/>
          <w:tblHeader/>
        </w:trPr>
        <w:tc>
          <w:tcPr>
            <w:tcW w:type="dxa" w:w="4876"/>
            <w:vAlign w:val="center"/>
            <w:shd w:fill="DCE7F0"/>
          </w:tcPr>
          <w:p>
            <w:pPr>
              <w:keepNext/>
              <w:spacing w:after="0" w:before="0" w:line="254" w:lineRule="auto"/>
              <w:jc w:val="left"/>
            </w:pPr>
            <w:r>
              <w:rPr>
                <w:b/>
                <w:sz w:val="19"/>
              </w:rPr>
              <w:t>Показатель в рублях</w:t>
            </w:r>
          </w:p>
        </w:tc>
        <w:tc>
          <w:tcPr>
            <w:tcW w:type="dxa" w:w="2494"/>
            <w:vAlign w:val="center"/>
            <w:shd w:fill="DCE7F0"/>
          </w:tcPr>
          <w:p>
            <w:pPr>
              <w:keepNext/>
              <w:spacing w:after="0" w:before="0" w:line="254" w:lineRule="auto"/>
              <w:jc w:val="center"/>
            </w:pPr>
            <w:r>
              <w:rPr>
                <w:b/>
                <w:sz w:val="19"/>
              </w:rPr>
              <w:t>Без вычета</w:t>
            </w:r>
          </w:p>
        </w:tc>
        <w:tc>
          <w:tcPr>
            <w:tcW w:type="dxa" w:w="2494"/>
            <w:vAlign w:val="center"/>
            <w:shd w:fill="DCE7F0"/>
          </w:tcPr>
          <w:p>
            <w:pPr>
              <w:keepNext/>
              <w:spacing w:after="0" w:before="0" w:line="254" w:lineRule="auto"/>
              <w:jc w:val="center"/>
            </w:pPr>
            <w:r>
              <w:rPr>
                <w:b/>
                <w:sz w:val="19"/>
              </w:rPr>
              <w:t>С вычетом</w:t>
            </w:r>
          </w:p>
        </w:tc>
      </w:tr>
      <w:tr>
        <w:trPr>
          <w:cantSplit/>
        </w:trPr>
        <w:tc>
          <w:tcPr>
            <w:tcW w:type="dxa" w:w="4876"/>
            <w:vAlign w:val="center"/>
            <w:shd w:fill="FFFFFF"/>
          </w:tcPr>
          <w:p>
            <w:pPr>
              <w:keepNext w:val="0"/>
              <w:spacing w:after="0" w:before="0" w:line="254" w:lineRule="auto"/>
              <w:jc w:val="left"/>
            </w:pPr>
            <w:r>
              <w:rPr>
                <w:sz w:val="19"/>
              </w:rPr>
              <w:t>Закупка 200 USD</w:t>
            </w:r>
          </w:p>
        </w:tc>
        <w:tc>
          <w:tcPr>
            <w:tcW w:type="dxa" w:w="2494"/>
            <w:vAlign w:val="center"/>
            <w:shd w:fill="FFFFFF"/>
          </w:tcPr>
          <w:p>
            <w:pPr>
              <w:keepNext w:val="0"/>
              <w:spacing w:after="0" w:before="0" w:line="254" w:lineRule="auto"/>
              <w:jc w:val="center"/>
            </w:pPr>
            <w:r>
              <w:rPr>
                <w:sz w:val="19"/>
              </w:rPr>
              <w:t>18 000</w:t>
            </w:r>
          </w:p>
        </w:tc>
        <w:tc>
          <w:tcPr>
            <w:tcW w:type="dxa" w:w="2494"/>
            <w:vAlign w:val="center"/>
            <w:shd w:fill="FFFFFF"/>
          </w:tcPr>
          <w:p>
            <w:pPr>
              <w:keepNext w:val="0"/>
              <w:spacing w:after="0" w:before="0" w:line="254" w:lineRule="auto"/>
              <w:jc w:val="center"/>
            </w:pPr>
            <w:r>
              <w:rPr>
                <w:sz w:val="19"/>
              </w:rPr>
              <w:t>18 000</w:t>
            </w:r>
          </w:p>
        </w:tc>
      </w:tr>
      <w:tr>
        <w:trPr>
          <w:cantSplit/>
        </w:trPr>
        <w:tc>
          <w:tcPr>
            <w:tcW w:type="dxa" w:w="4876"/>
            <w:vAlign w:val="center"/>
            <w:shd w:fill="FFFFFF"/>
          </w:tcPr>
          <w:p>
            <w:pPr>
              <w:keepNext w:val="0"/>
              <w:spacing w:after="0" w:before="0" w:line="254" w:lineRule="auto"/>
              <w:jc w:val="left"/>
            </w:pPr>
            <w:r>
              <w:rPr>
                <w:sz w:val="19"/>
              </w:rPr>
              <w:t>Международная логистика</w:t>
            </w:r>
          </w:p>
        </w:tc>
        <w:tc>
          <w:tcPr>
            <w:tcW w:type="dxa" w:w="2494"/>
            <w:vAlign w:val="center"/>
            <w:shd w:fill="FFFFFF"/>
          </w:tcPr>
          <w:p>
            <w:pPr>
              <w:keepNext w:val="0"/>
              <w:spacing w:after="0" w:before="0" w:line="254" w:lineRule="auto"/>
              <w:jc w:val="center"/>
            </w:pPr>
            <w:r>
              <w:rPr>
                <w:sz w:val="19"/>
              </w:rPr>
              <w:t>2 000</w:t>
            </w:r>
          </w:p>
        </w:tc>
        <w:tc>
          <w:tcPr>
            <w:tcW w:type="dxa" w:w="2494"/>
            <w:vAlign w:val="center"/>
            <w:shd w:fill="FFFFFF"/>
          </w:tcPr>
          <w:p>
            <w:pPr>
              <w:keepNext w:val="0"/>
              <w:spacing w:after="0" w:before="0" w:line="254" w:lineRule="auto"/>
              <w:jc w:val="center"/>
            </w:pPr>
            <w:r>
              <w:rPr>
                <w:sz w:val="19"/>
              </w:rPr>
              <w:t>2 000</w:t>
            </w:r>
          </w:p>
        </w:tc>
      </w:tr>
      <w:tr>
        <w:trPr>
          <w:cantSplit/>
        </w:trPr>
        <w:tc>
          <w:tcPr>
            <w:tcW w:type="dxa" w:w="4876"/>
            <w:vAlign w:val="center"/>
            <w:shd w:fill="FFFFFF"/>
          </w:tcPr>
          <w:p>
            <w:pPr>
              <w:keepNext w:val="0"/>
              <w:spacing w:after="0" w:before="0" w:line="254" w:lineRule="auto"/>
              <w:jc w:val="left"/>
            </w:pPr>
            <w:r>
              <w:rPr>
                <w:sz w:val="19"/>
              </w:rPr>
              <w:t>Таможенная стоимость</w:t>
            </w:r>
          </w:p>
        </w:tc>
        <w:tc>
          <w:tcPr>
            <w:tcW w:type="dxa" w:w="2494"/>
            <w:vAlign w:val="center"/>
            <w:shd w:fill="FFFFFF"/>
          </w:tcPr>
          <w:p>
            <w:pPr>
              <w:keepNext w:val="0"/>
              <w:spacing w:after="0" w:before="0" w:line="254" w:lineRule="auto"/>
              <w:jc w:val="center"/>
            </w:pPr>
            <w:r>
              <w:rPr>
                <w:sz w:val="19"/>
              </w:rPr>
              <w:t>20 000</w:t>
            </w:r>
          </w:p>
        </w:tc>
        <w:tc>
          <w:tcPr>
            <w:tcW w:type="dxa" w:w="2494"/>
            <w:vAlign w:val="center"/>
            <w:shd w:fill="FFFFFF"/>
          </w:tcPr>
          <w:p>
            <w:pPr>
              <w:keepNext w:val="0"/>
              <w:spacing w:after="0" w:before="0" w:line="254" w:lineRule="auto"/>
              <w:jc w:val="center"/>
            </w:pPr>
            <w:r>
              <w:rPr>
                <w:sz w:val="19"/>
              </w:rPr>
              <w:t>20 000</w:t>
            </w:r>
          </w:p>
        </w:tc>
      </w:tr>
      <w:tr>
        <w:trPr>
          <w:cantSplit/>
        </w:trPr>
        <w:tc>
          <w:tcPr>
            <w:tcW w:type="dxa" w:w="4876"/>
            <w:vAlign w:val="center"/>
            <w:shd w:fill="FFFFFF"/>
          </w:tcPr>
          <w:p>
            <w:pPr>
              <w:keepNext w:val="0"/>
              <w:spacing w:after="0" w:before="0" w:line="254" w:lineRule="auto"/>
              <w:jc w:val="left"/>
            </w:pPr>
            <w:r>
              <w:rPr>
                <w:sz w:val="19"/>
              </w:rPr>
              <w:t>Пошлина 5%</w:t>
            </w:r>
          </w:p>
        </w:tc>
        <w:tc>
          <w:tcPr>
            <w:tcW w:type="dxa" w:w="2494"/>
            <w:vAlign w:val="center"/>
            <w:shd w:fill="FFFFFF"/>
          </w:tcPr>
          <w:p>
            <w:pPr>
              <w:keepNext w:val="0"/>
              <w:spacing w:after="0" w:before="0" w:line="254" w:lineRule="auto"/>
              <w:jc w:val="center"/>
            </w:pPr>
            <w:r>
              <w:rPr>
                <w:sz w:val="19"/>
              </w:rPr>
              <w:t>1 000</w:t>
            </w:r>
          </w:p>
        </w:tc>
        <w:tc>
          <w:tcPr>
            <w:tcW w:type="dxa" w:w="2494"/>
            <w:vAlign w:val="center"/>
            <w:shd w:fill="FFFFFF"/>
          </w:tcPr>
          <w:p>
            <w:pPr>
              <w:keepNext w:val="0"/>
              <w:spacing w:after="0" w:before="0" w:line="254" w:lineRule="auto"/>
              <w:jc w:val="center"/>
            </w:pPr>
            <w:r>
              <w:rPr>
                <w:sz w:val="19"/>
              </w:rPr>
              <w:t>1 000</w:t>
            </w:r>
          </w:p>
        </w:tc>
      </w:tr>
      <w:tr>
        <w:trPr>
          <w:cantSplit/>
        </w:trPr>
        <w:tc>
          <w:tcPr>
            <w:tcW w:type="dxa" w:w="4876"/>
            <w:vAlign w:val="center"/>
            <w:shd w:fill="FFFFFF"/>
          </w:tcPr>
          <w:p>
            <w:pPr>
              <w:keepNext w:val="0"/>
              <w:spacing w:after="0" w:before="0" w:line="254" w:lineRule="auto"/>
              <w:jc w:val="left"/>
            </w:pPr>
            <w:r>
              <w:rPr>
                <w:sz w:val="19"/>
              </w:rPr>
              <w:t>Ввозной НДС 20%</w:t>
            </w:r>
          </w:p>
        </w:tc>
        <w:tc>
          <w:tcPr>
            <w:tcW w:type="dxa" w:w="2494"/>
            <w:vAlign w:val="center"/>
            <w:shd w:fill="FFFFFF"/>
          </w:tcPr>
          <w:p>
            <w:pPr>
              <w:keepNext w:val="0"/>
              <w:spacing w:after="0" w:before="0" w:line="254" w:lineRule="auto"/>
              <w:jc w:val="center"/>
            </w:pPr>
            <w:r>
              <w:rPr>
                <w:sz w:val="19"/>
              </w:rPr>
              <w:t>4 200</w:t>
            </w:r>
          </w:p>
        </w:tc>
        <w:tc>
          <w:tcPr>
            <w:tcW w:type="dxa" w:w="2494"/>
            <w:vAlign w:val="center"/>
            <w:shd w:fill="FFFFFF"/>
          </w:tcPr>
          <w:p>
            <w:pPr>
              <w:keepNext w:val="0"/>
              <w:spacing w:after="0" w:before="0" w:line="254" w:lineRule="auto"/>
              <w:jc w:val="center"/>
            </w:pPr>
            <w:r>
              <w:rPr>
                <w:sz w:val="19"/>
              </w:rPr>
              <w:t>4 200</w:t>
            </w:r>
          </w:p>
        </w:tc>
      </w:tr>
      <w:tr>
        <w:trPr>
          <w:cantSplit/>
        </w:trPr>
        <w:tc>
          <w:tcPr>
            <w:tcW w:type="dxa" w:w="4876"/>
            <w:vAlign w:val="center"/>
            <w:shd w:fill="FFFFFF"/>
          </w:tcPr>
          <w:p>
            <w:pPr>
              <w:keepNext w:val="0"/>
              <w:spacing w:after="0" w:before="0" w:line="254" w:lineRule="auto"/>
              <w:jc w:val="left"/>
            </w:pPr>
            <w:r>
              <w:rPr>
                <w:sz w:val="19"/>
              </w:rPr>
              <w:t>Чистая стоимость до наценки</w:t>
            </w:r>
          </w:p>
        </w:tc>
        <w:tc>
          <w:tcPr>
            <w:tcW w:type="dxa" w:w="2494"/>
            <w:vAlign w:val="center"/>
            <w:shd w:fill="FFFFFF"/>
          </w:tcPr>
          <w:p>
            <w:pPr>
              <w:keepNext w:val="0"/>
              <w:spacing w:after="0" w:before="0" w:line="254" w:lineRule="auto"/>
              <w:jc w:val="center"/>
            </w:pPr>
            <w:r>
              <w:rPr>
                <w:sz w:val="19"/>
              </w:rPr>
              <w:t>25 200</w:t>
            </w:r>
          </w:p>
        </w:tc>
        <w:tc>
          <w:tcPr>
            <w:tcW w:type="dxa" w:w="2494"/>
            <w:vAlign w:val="center"/>
            <w:shd w:fill="FFFFFF"/>
          </w:tcPr>
          <w:p>
            <w:pPr>
              <w:keepNext w:val="0"/>
              <w:spacing w:after="0" w:before="0" w:line="254" w:lineRule="auto"/>
              <w:jc w:val="center"/>
            </w:pPr>
            <w:r>
              <w:rPr>
                <w:sz w:val="19"/>
              </w:rPr>
              <w:t>21 000</w:t>
            </w:r>
          </w:p>
        </w:tc>
      </w:tr>
      <w:tr>
        <w:trPr>
          <w:cantSplit/>
        </w:trPr>
        <w:tc>
          <w:tcPr>
            <w:tcW w:type="dxa" w:w="4876"/>
            <w:vAlign w:val="center"/>
            <w:shd w:fill="FFFFFF"/>
          </w:tcPr>
          <w:p>
            <w:pPr>
              <w:keepNext w:val="0"/>
              <w:spacing w:after="0" w:before="0" w:line="254" w:lineRule="auto"/>
              <w:jc w:val="left"/>
            </w:pPr>
            <w:r>
              <w:rPr>
                <w:sz w:val="19"/>
              </w:rPr>
              <w:t>Таможенный сбор</w:t>
            </w:r>
          </w:p>
        </w:tc>
        <w:tc>
          <w:tcPr>
            <w:tcW w:type="dxa" w:w="2494"/>
            <w:vAlign w:val="center"/>
            <w:shd w:fill="FFFFFF"/>
          </w:tcPr>
          <w:p>
            <w:pPr>
              <w:keepNext w:val="0"/>
              <w:spacing w:after="0" w:before="0" w:line="254" w:lineRule="auto"/>
              <w:jc w:val="center"/>
            </w:pPr>
            <w:r>
              <w:rPr>
                <w:sz w:val="19"/>
              </w:rPr>
              <w:t>1 000</w:t>
            </w:r>
          </w:p>
        </w:tc>
        <w:tc>
          <w:tcPr>
            <w:tcW w:type="dxa" w:w="2494"/>
            <w:vAlign w:val="center"/>
            <w:shd w:fill="FFFFFF"/>
          </w:tcPr>
          <w:p>
            <w:pPr>
              <w:keepNext w:val="0"/>
              <w:spacing w:after="0" w:before="0" w:line="254" w:lineRule="auto"/>
              <w:jc w:val="center"/>
            </w:pPr>
            <w:r>
              <w:rPr>
                <w:sz w:val="19"/>
              </w:rPr>
              <w:t>1 000</w:t>
            </w:r>
          </w:p>
        </w:tc>
      </w:tr>
      <w:tr>
        <w:trPr>
          <w:cantSplit/>
        </w:trPr>
        <w:tc>
          <w:tcPr>
            <w:tcW w:type="dxa" w:w="4876"/>
            <w:vAlign w:val="center"/>
            <w:shd w:fill="FFFFFF"/>
          </w:tcPr>
          <w:p>
            <w:pPr>
              <w:keepNext w:val="0"/>
              <w:spacing w:after="0" w:before="0" w:line="254" w:lineRule="auto"/>
              <w:jc w:val="left"/>
            </w:pPr>
            <w:r>
              <w:rPr>
                <w:sz w:val="19"/>
              </w:rPr>
              <w:t>Общий расход</w:t>
            </w:r>
          </w:p>
        </w:tc>
        <w:tc>
          <w:tcPr>
            <w:tcW w:type="dxa" w:w="2494"/>
            <w:vAlign w:val="center"/>
            <w:shd w:fill="FFFFFF"/>
          </w:tcPr>
          <w:p>
            <w:pPr>
              <w:keepNext w:val="0"/>
              <w:spacing w:after="0" w:before="0" w:line="254" w:lineRule="auto"/>
              <w:jc w:val="center"/>
            </w:pPr>
            <w:r>
              <w:rPr>
                <w:sz w:val="19"/>
              </w:rPr>
              <w:t>500</w:t>
            </w:r>
          </w:p>
        </w:tc>
        <w:tc>
          <w:tcPr>
            <w:tcW w:type="dxa" w:w="2494"/>
            <w:vAlign w:val="center"/>
            <w:shd w:fill="FFFFFF"/>
          </w:tcPr>
          <w:p>
            <w:pPr>
              <w:keepNext w:val="0"/>
              <w:spacing w:after="0" w:before="0" w:line="254" w:lineRule="auto"/>
              <w:jc w:val="center"/>
            </w:pPr>
            <w:r>
              <w:rPr>
                <w:sz w:val="19"/>
              </w:rPr>
              <w:t>500</w:t>
            </w:r>
          </w:p>
        </w:tc>
      </w:tr>
      <w:tr>
        <w:trPr>
          <w:cantSplit/>
        </w:trPr>
        <w:tc>
          <w:tcPr>
            <w:tcW w:type="dxa" w:w="4876"/>
            <w:vAlign w:val="center"/>
            <w:shd w:fill="FFFFFF"/>
          </w:tcPr>
          <w:p>
            <w:pPr>
              <w:keepNext w:val="0"/>
              <w:spacing w:after="0" w:before="0" w:line="254" w:lineRule="auto"/>
              <w:jc w:val="left"/>
            </w:pPr>
            <w:r>
              <w:rPr>
                <w:sz w:val="19"/>
              </w:rPr>
              <w:t>Все распределённые расходы</w:t>
            </w:r>
          </w:p>
        </w:tc>
        <w:tc>
          <w:tcPr>
            <w:tcW w:type="dxa" w:w="2494"/>
            <w:vAlign w:val="center"/>
            <w:shd w:fill="FFFFFF"/>
          </w:tcPr>
          <w:p>
            <w:pPr>
              <w:keepNext w:val="0"/>
              <w:spacing w:after="0" w:before="0" w:line="254" w:lineRule="auto"/>
              <w:jc w:val="center"/>
            </w:pPr>
            <w:r>
              <w:rPr>
                <w:sz w:val="19"/>
              </w:rPr>
              <w:t>3 500</w:t>
            </w:r>
          </w:p>
        </w:tc>
        <w:tc>
          <w:tcPr>
            <w:tcW w:type="dxa" w:w="2494"/>
            <w:vAlign w:val="center"/>
            <w:shd w:fill="FFFFFF"/>
          </w:tcPr>
          <w:p>
            <w:pPr>
              <w:keepNext w:val="0"/>
              <w:spacing w:after="0" w:before="0" w:line="254" w:lineRule="auto"/>
              <w:jc w:val="center"/>
            </w:pPr>
            <w:r>
              <w:rPr>
                <w:sz w:val="19"/>
              </w:rPr>
              <w:t>3 500</w:t>
            </w:r>
          </w:p>
        </w:tc>
      </w:tr>
      <w:tr>
        <w:trPr>
          <w:cantSplit/>
        </w:trPr>
        <w:tc>
          <w:tcPr>
            <w:tcW w:type="dxa" w:w="4876"/>
            <w:vAlign w:val="center"/>
            <w:shd w:fill="FFFFFF"/>
          </w:tcPr>
          <w:p>
            <w:pPr>
              <w:keepNext w:val="0"/>
              <w:spacing w:after="0" w:before="0" w:line="254" w:lineRule="auto"/>
              <w:jc w:val="left"/>
            </w:pPr>
            <w:r>
              <w:rPr>
                <w:sz w:val="19"/>
              </w:rPr>
              <w:t>Себестоимость</w:t>
            </w:r>
          </w:p>
        </w:tc>
        <w:tc>
          <w:tcPr>
            <w:tcW w:type="dxa" w:w="2494"/>
            <w:vAlign w:val="center"/>
            <w:shd w:fill="FFFFFF"/>
          </w:tcPr>
          <w:p>
            <w:pPr>
              <w:keepNext w:val="0"/>
              <w:spacing w:after="0" w:before="0" w:line="254" w:lineRule="auto"/>
              <w:jc w:val="center"/>
            </w:pPr>
            <w:r>
              <w:rPr>
                <w:sz w:val="19"/>
              </w:rPr>
              <w:t>26 700</w:t>
            </w:r>
          </w:p>
        </w:tc>
        <w:tc>
          <w:tcPr>
            <w:tcW w:type="dxa" w:w="2494"/>
            <w:vAlign w:val="center"/>
            <w:shd w:fill="FFFFFF"/>
          </w:tcPr>
          <w:p>
            <w:pPr>
              <w:keepNext w:val="0"/>
              <w:spacing w:after="0" w:before="0" w:line="254" w:lineRule="auto"/>
              <w:jc w:val="center"/>
            </w:pPr>
            <w:r>
              <w:rPr>
                <w:sz w:val="19"/>
              </w:rPr>
              <w:t>22 500</w:t>
            </w:r>
          </w:p>
        </w:tc>
      </w:tr>
      <w:tr>
        <w:trPr>
          <w:cantSplit/>
        </w:trPr>
        <w:tc>
          <w:tcPr>
            <w:tcW w:type="dxa" w:w="4876"/>
            <w:vAlign w:val="center"/>
            <w:shd w:fill="FFFFFF"/>
          </w:tcPr>
          <w:p>
            <w:pPr>
              <w:keepNext w:val="0"/>
              <w:spacing w:after="0" w:before="0" w:line="254" w:lineRule="auto"/>
              <w:jc w:val="left"/>
            </w:pPr>
            <w:r>
              <w:rPr>
                <w:sz w:val="19"/>
              </w:rPr>
              <w:t>Продажа без НДС</w:t>
            </w:r>
          </w:p>
        </w:tc>
        <w:tc>
          <w:tcPr>
            <w:tcW w:type="dxa" w:w="2494"/>
            <w:vAlign w:val="center"/>
            <w:shd w:fill="FFFFFF"/>
          </w:tcPr>
          <w:p>
            <w:pPr>
              <w:keepNext w:val="0"/>
              <w:spacing w:after="0" w:before="0" w:line="254" w:lineRule="auto"/>
              <w:jc w:val="center"/>
            </w:pPr>
            <w:r>
              <w:rPr>
                <w:sz w:val="19"/>
              </w:rPr>
              <w:t>33 000</w:t>
            </w:r>
          </w:p>
        </w:tc>
        <w:tc>
          <w:tcPr>
            <w:tcW w:type="dxa" w:w="2494"/>
            <w:vAlign w:val="center"/>
            <w:shd w:fill="FFFFFF"/>
          </w:tcPr>
          <w:p>
            <w:pPr>
              <w:keepNext w:val="0"/>
              <w:spacing w:after="0" w:before="0" w:line="254" w:lineRule="auto"/>
              <w:jc w:val="center"/>
            </w:pPr>
            <w:r>
              <w:rPr>
                <w:sz w:val="19"/>
              </w:rPr>
              <w:t>27 750</w:t>
            </w:r>
          </w:p>
        </w:tc>
      </w:tr>
      <w:tr>
        <w:trPr>
          <w:cantSplit/>
        </w:trPr>
        <w:tc>
          <w:tcPr>
            <w:tcW w:type="dxa" w:w="4876"/>
            <w:vAlign w:val="center"/>
            <w:shd w:fill="FFFFFF"/>
          </w:tcPr>
          <w:p>
            <w:pPr>
              <w:keepNext w:val="0"/>
              <w:spacing w:after="0" w:before="0" w:line="254" w:lineRule="auto"/>
              <w:jc w:val="left"/>
            </w:pPr>
            <w:r>
              <w:rPr>
                <w:sz w:val="19"/>
              </w:rPr>
              <w:t>Продажный НДС</w:t>
            </w:r>
          </w:p>
        </w:tc>
        <w:tc>
          <w:tcPr>
            <w:tcW w:type="dxa" w:w="2494"/>
            <w:vAlign w:val="center"/>
            <w:shd w:fill="FFFFFF"/>
          </w:tcPr>
          <w:p>
            <w:pPr>
              <w:keepNext w:val="0"/>
              <w:spacing w:after="0" w:before="0" w:line="254" w:lineRule="auto"/>
              <w:jc w:val="center"/>
            </w:pPr>
            <w:r>
              <w:rPr>
                <w:sz w:val="19"/>
              </w:rPr>
              <w:t>6 600</w:t>
            </w:r>
          </w:p>
        </w:tc>
        <w:tc>
          <w:tcPr>
            <w:tcW w:type="dxa" w:w="2494"/>
            <w:vAlign w:val="center"/>
            <w:shd w:fill="FFFFFF"/>
          </w:tcPr>
          <w:p>
            <w:pPr>
              <w:keepNext w:val="0"/>
              <w:spacing w:after="0" w:before="0" w:line="254" w:lineRule="auto"/>
              <w:jc w:val="center"/>
            </w:pPr>
            <w:r>
              <w:rPr>
                <w:sz w:val="19"/>
              </w:rPr>
              <w:t>5 550</w:t>
            </w:r>
          </w:p>
        </w:tc>
      </w:tr>
      <w:tr>
        <w:trPr>
          <w:cantSplit/>
        </w:trPr>
        <w:tc>
          <w:tcPr>
            <w:tcW w:type="dxa" w:w="4876"/>
            <w:vAlign w:val="center"/>
            <w:shd w:fill="FFFFFF"/>
          </w:tcPr>
          <w:p>
            <w:pPr>
              <w:keepNext w:val="0"/>
              <w:spacing w:after="0" w:before="0" w:line="254" w:lineRule="auto"/>
              <w:jc w:val="left"/>
            </w:pPr>
            <w:r>
              <w:rPr>
                <w:sz w:val="19"/>
              </w:rPr>
              <w:t>Итого с НДС</w:t>
            </w:r>
          </w:p>
        </w:tc>
        <w:tc>
          <w:tcPr>
            <w:tcW w:type="dxa" w:w="2494"/>
            <w:vAlign w:val="center"/>
            <w:shd w:fill="FFFFFF"/>
          </w:tcPr>
          <w:p>
            <w:pPr>
              <w:keepNext w:val="0"/>
              <w:spacing w:after="0" w:before="0" w:line="254" w:lineRule="auto"/>
              <w:jc w:val="center"/>
            </w:pPr>
            <w:r>
              <w:rPr>
                <w:sz w:val="19"/>
              </w:rPr>
              <w:t>39 600</w:t>
            </w:r>
          </w:p>
        </w:tc>
        <w:tc>
          <w:tcPr>
            <w:tcW w:type="dxa" w:w="2494"/>
            <w:vAlign w:val="center"/>
            <w:shd w:fill="FFFFFF"/>
          </w:tcPr>
          <w:p>
            <w:pPr>
              <w:keepNext w:val="0"/>
              <w:spacing w:after="0" w:before="0" w:line="254" w:lineRule="auto"/>
              <w:jc w:val="center"/>
            </w:pPr>
            <w:r>
              <w:rPr>
                <w:sz w:val="19"/>
              </w:rPr>
              <w:t>33 300</w:t>
            </w:r>
          </w:p>
        </w:tc>
      </w:tr>
      <w:tr>
        <w:trPr>
          <w:cantSplit/>
        </w:trPr>
        <w:tc>
          <w:tcPr>
            <w:tcW w:type="dxa" w:w="4876"/>
            <w:vAlign w:val="center"/>
            <w:shd w:fill="FFFFFF"/>
          </w:tcPr>
          <w:p>
            <w:pPr>
              <w:keepNext w:val="0"/>
              <w:spacing w:after="0" w:before="0" w:line="254" w:lineRule="auto"/>
              <w:jc w:val="left"/>
            </w:pPr>
            <w:r>
              <w:rPr>
                <w:sz w:val="19"/>
              </w:rPr>
              <w:t>Цена одной упаковки с НДС</w:t>
            </w:r>
          </w:p>
        </w:tc>
        <w:tc>
          <w:tcPr>
            <w:tcW w:type="dxa" w:w="2494"/>
            <w:vAlign w:val="center"/>
            <w:shd w:fill="FFFFFF"/>
          </w:tcPr>
          <w:p>
            <w:pPr>
              <w:keepNext w:val="0"/>
              <w:spacing w:after="0" w:before="0" w:line="254" w:lineRule="auto"/>
              <w:jc w:val="center"/>
            </w:pPr>
            <w:r>
              <w:rPr>
                <w:sz w:val="19"/>
              </w:rPr>
              <w:t>19 800</w:t>
            </w:r>
          </w:p>
        </w:tc>
        <w:tc>
          <w:tcPr>
            <w:tcW w:type="dxa" w:w="2494"/>
            <w:vAlign w:val="center"/>
            <w:shd w:fill="FFFFFF"/>
          </w:tcPr>
          <w:p>
            <w:pPr>
              <w:keepNext w:val="0"/>
              <w:spacing w:after="0" w:before="0" w:line="254" w:lineRule="auto"/>
              <w:jc w:val="center"/>
            </w:pPr>
            <w:r>
              <w:rPr>
                <w:sz w:val="19"/>
              </w:rPr>
              <w:t>16 650</w:t>
            </w:r>
          </w:p>
        </w:tc>
      </w:tr>
      <w:tr>
        <w:trPr>
          <w:cantSplit/>
        </w:trPr>
        <w:tc>
          <w:tcPr>
            <w:tcW w:type="dxa" w:w="4876"/>
            <w:vAlign w:val="center"/>
            <w:shd w:fill="FFFFFF"/>
          </w:tcPr>
          <w:p>
            <w:pPr>
              <w:keepNext w:val="0"/>
              <w:spacing w:after="0" w:before="0" w:line="254" w:lineRule="auto"/>
              <w:jc w:val="left"/>
            </w:pPr>
            <w:r>
              <w:rPr>
                <w:sz w:val="19"/>
              </w:rPr>
              <w:t>Прибыль</w:t>
            </w:r>
          </w:p>
        </w:tc>
        <w:tc>
          <w:tcPr>
            <w:tcW w:type="dxa" w:w="2494"/>
            <w:vAlign w:val="center"/>
            <w:shd w:fill="FFFFFF"/>
          </w:tcPr>
          <w:p>
            <w:pPr>
              <w:keepNext w:val="0"/>
              <w:spacing w:after="0" w:before="0" w:line="254" w:lineRule="auto"/>
              <w:jc w:val="center"/>
            </w:pPr>
            <w:r>
              <w:rPr>
                <w:sz w:val="19"/>
              </w:rPr>
              <w:t>6 300</w:t>
            </w:r>
          </w:p>
        </w:tc>
        <w:tc>
          <w:tcPr>
            <w:tcW w:type="dxa" w:w="2494"/>
            <w:vAlign w:val="center"/>
            <w:shd w:fill="FFFFFF"/>
          </w:tcPr>
          <w:p>
            <w:pPr>
              <w:keepNext w:val="0"/>
              <w:spacing w:after="0" w:before="0" w:line="254" w:lineRule="auto"/>
              <w:jc w:val="center"/>
            </w:pPr>
            <w:r>
              <w:rPr>
                <w:sz w:val="19"/>
              </w:rPr>
              <w:t>5 250</w:t>
            </w:r>
          </w:p>
        </w:tc>
      </w:tr>
      <w:tr>
        <w:trPr>
          <w:cantSplit/>
        </w:trPr>
        <w:tc>
          <w:tcPr>
            <w:tcW w:type="dxa" w:w="4876"/>
            <w:vAlign w:val="center"/>
            <w:shd w:fill="FFFFFF"/>
          </w:tcPr>
          <w:p>
            <w:pPr>
              <w:keepNext w:val="0"/>
              <w:spacing w:after="0" w:before="0" w:line="254" w:lineRule="auto"/>
              <w:jc w:val="left"/>
            </w:pPr>
            <w:r>
              <w:rPr>
                <w:sz w:val="19"/>
              </w:rPr>
              <w:t>НДС к уплате в модели</w:t>
            </w:r>
          </w:p>
        </w:tc>
        <w:tc>
          <w:tcPr>
            <w:tcW w:type="dxa" w:w="2494"/>
            <w:vAlign w:val="center"/>
            <w:shd w:fill="FFFFFF"/>
          </w:tcPr>
          <w:p>
            <w:pPr>
              <w:keepNext w:val="0"/>
              <w:spacing w:after="0" w:before="0" w:line="254" w:lineRule="auto"/>
              <w:jc w:val="center"/>
            </w:pPr>
            <w:r>
              <w:rPr>
                <w:sz w:val="19"/>
              </w:rPr>
              <w:t>6 600</w:t>
            </w:r>
          </w:p>
        </w:tc>
        <w:tc>
          <w:tcPr>
            <w:tcW w:type="dxa" w:w="2494"/>
            <w:vAlign w:val="center"/>
            <w:shd w:fill="FFFFFF"/>
          </w:tcPr>
          <w:p>
            <w:pPr>
              <w:keepNext w:val="0"/>
              <w:spacing w:after="0" w:before="0" w:line="254" w:lineRule="auto"/>
              <w:jc w:val="center"/>
            </w:pPr>
            <w:r>
              <w:rPr>
                <w:sz w:val="19"/>
              </w:rPr>
              <w:t>1 350</w:t>
            </w:r>
          </w:p>
        </w:tc>
      </w:tr>
      <w:tr>
        <w:trPr>
          <w:cantSplit/>
        </w:trPr>
        <w:tc>
          <w:tcPr>
            <w:tcW w:type="dxa" w:w="4876"/>
            <w:vAlign w:val="center"/>
            <w:shd w:fill="FFFFFF"/>
          </w:tcPr>
          <w:p>
            <w:pPr>
              <w:keepNext w:val="0"/>
              <w:spacing w:after="0" w:before="0" w:line="254" w:lineRule="auto"/>
              <w:jc w:val="left"/>
            </w:pPr>
            <w:r>
              <w:rPr>
                <w:sz w:val="19"/>
              </w:rPr>
              <w:t>Денежная потребность</w:t>
            </w:r>
          </w:p>
        </w:tc>
        <w:tc>
          <w:tcPr>
            <w:tcW w:type="dxa" w:w="2494"/>
            <w:vAlign w:val="center"/>
            <w:shd w:fill="FFFFFF"/>
          </w:tcPr>
          <w:p>
            <w:pPr>
              <w:keepNext w:val="0"/>
              <w:spacing w:after="0" w:before="0" w:line="254" w:lineRule="auto"/>
              <w:jc w:val="center"/>
            </w:pPr>
            <w:r>
              <w:rPr>
                <w:sz w:val="19"/>
              </w:rPr>
              <w:t>26 700</w:t>
            </w:r>
          </w:p>
        </w:tc>
        <w:tc>
          <w:tcPr>
            <w:tcW w:type="dxa" w:w="2494"/>
            <w:vAlign w:val="center"/>
            <w:shd w:fill="FFFFFF"/>
          </w:tcPr>
          <w:p>
            <w:pPr>
              <w:keepNext w:val="0"/>
              <w:spacing w:after="0" w:before="0" w:line="254" w:lineRule="auto"/>
              <w:jc w:val="center"/>
            </w:pPr>
            <w:r>
              <w:rPr>
                <w:sz w:val="19"/>
              </w:rPr>
              <w:t>26 700</w:t>
            </w:r>
          </w:p>
        </w:tc>
      </w:tr>
    </w:tbl>
    <w:p>
      <w:pPr>
        <w:spacing w:after="0" w:before="0" w:line="96" w:lineRule="auto"/>
      </w:pPr>
      <w:r>
        <w:rPr>
          <w:sz w:val="6"/>
        </w:rPr>
      </w:r>
    </w:p>
    <w:p>
      <w:pPr/>
      <w:r>
        <w:t>В режиме без вычета база наценки 25 200 ₽ умножается на 1,25; затем прибавляются сбор 1 000 ₽ и общий расход 500 ₽. Получается 33 000 ₽ без НДС. В режиме с вычетом база равна 21 000 ₽, а результат без НДС — 27 750 ₽.</w:t>
      </w:r>
    </w:p>
    <w:p>
      <w:pPr/>
      <w:r>
        <w:t>Разница цены с НДС составляет 6 300 ₽. Денежная потребность в этом примере одинакова, потому что ввозной НДС 4 200 ₽ оплачивается в обоих режимах и нет зависящих от режима затрат на финансирование или бонусы. Модельный НДС к уплате при вычете составляет 5 550 минус 4 200, то есть 1 350 ₽.</w:t>
      </w:r>
    </w:p>
    <w:p>
      <w:bookmarkStart w:id="9" w:name="chapter_9"/>
      <w:pPr>
        <w:pStyle w:val="Heading1"/>
      </w:pPr>
      <w:r>
        <w:t>9 Планирование волн и пересчёт расходов</w:t>
      </w:r>
      <w:bookmarkEnd w:id="9"/>
    </w:p>
    <w:p>
      <w:pPr>
        <w:pStyle w:val="Heading2"/>
      </w:pPr>
      <w:r>
        <w:t>Неделя и год</w:t>
      </w:r>
    </w:p>
    <w:p>
      <w:pPr/>
      <w:r>
        <w:t>В «Волнах поставок» нажмите «Новая волна». Укажите поставщика, маршрут, «Страна отправления» и ответственного. «Номер волны» можно оставить пустым — он назначится автоматически. Для закрытия, отправки и прибытия задаются пары «Неделя» и «Год», например неделя 35, 2026.</w:t>
      </w:r>
    </w:p>
    <w:p>
      <w:pPr/>
      <w:r>
        <w:t>Используются ISO-недели. Неделя начинается в понедельник; ISO-год на границе декабря и января может отличаться от календарного года даты. Допустимость недели 53 проверяется для выбранного года. Закрытие, отправка и прибытие должны идти по порядку. Для старых волн недели определяются из ранее введённых дат, при этом история дат сохраняется.</w:t>
      </w:r>
    </w:p>
    <w:p>
      <w:pPr>
        <w:pStyle w:val="Heading2"/>
      </w:pPr>
      <w:r>
        <w:t>План заявки и фактическое распределение</w:t>
      </w:r>
    </w:p>
    <w:p>
      <w:pPr/>
      <w:r>
        <w:t>Плановую волну заявки выбирают в «Расчётах» до расчёта цены. Это позволяет учесть общий бюджет и другие заказы. Фактическое распределение выполняется позже во вкладке «Исполнение», после принятия состава покупателем и согласования. Не путайте плановую принадлежность, принятое количество и уже распределённое или отправленное количество.</w:t>
      </w:r>
    </w:p>
    <w:p>
      <w:pPr/>
      <w:r>
        <w:t>Текущий бюджет учитывает последние сохранённые планы заявок, назначенных волне, и действующие принятые позиции, распределённые в волну, если они ещё не представлены планом. Одна и та же позиция не должна учитываться дважды. Участники, объёмы и суммы доступны в пределах прав сотрудника.</w:t>
      </w:r>
    </w:p>
    <w:p>
      <w:pPr>
        <w:pStyle w:val="Heading2"/>
      </w:pPr>
      <w:r>
        <w:t>Когда пересчитываются расходы</w:t>
      </w:r>
    </w:p>
    <w:p>
      <w:pPr/>
      <w:r>
        <w:t>Пустая волна может показывать предварительный минимальный таможенный сбор для нулевой таможенной стоимости по настройкам профиля. Это предварительный бюджет, а не начисление сбора на отсутствующие товары.</w:t>
      </w:r>
    </w:p>
    <w:p>
      <w:pPr/>
      <w:r>
        <w:t>Когда сохраняются расчёты следующих заявок, меняется состав или общие расходы, CRM заново определяет суммарную таможенную стоимость, подходящий сбор и доли всех участвующих товаров. Фиксированные расходы распределяются заново по выбранному способу; при распределении по количеству — по новому общему количеству. Процентные и диапазонные статьи заново рассчитываются по своей полной базе. Рост количества не гарантирует уменьшения общей суммы: волна может перейти в другой диапазон сбора.</w:t>
      </w:r>
    </w:p>
    <w:p>
      <w:pPr/>
      <w:r>
        <w:rPr>
          <w:b/>
        </w:rPr>
        <w:t>Пример распределения.</w:t>
      </w:r>
      <w:r>
        <w:t xml:space="preserve"> В одной волне общий таможенный сбор равен 1 000 ₽. У заявки А две упаковки, у заявки Б три. Всего пять упаковок, на одну приходится 200 ₽ сбора. Доля А — 400 ₽, Б — 600 ₽. Если в волне была только заявка А, её доля была бы 1 000 ₽. После добавления Б актуальный бюджет меняется; ранее выпущенное КП заявки А само не переписывается.</w:t>
      </w:r>
    </w:p>
    <w:p>
      <w:pPr>
        <w:pStyle w:val="Heading2"/>
      </w:pPr>
      <w:r>
        <w:t>Что проверять в бюджете</w:t>
      </w:r>
    </w:p>
    <w:p>
      <w:pPr/>
      <w:r>
        <w:t>Откройте волну и текущую финансовую сводку. Сверьте количество, таможенную стоимость, таможенный сбор, ввозной НДС и итог расходов. В распределении проверьте строки всех заказов. Международную логистику проверяйте в расшифровке расчёта; для контроля доли на упаковку разделите сумму строки на её количество.</w:t>
      </w:r>
    </w:p>
    <w:p>
      <w:pPr/>
      <w:r>
        <w:t>Статья «Всей волне» задаёт общий бюджет, а статья «Только этой заявке» — локальный расход. Проверяйте общий бюджет при новой версии расчёта; старые значения своей заявки не должны заменять более свежие общие расходы другой заявки.</w:t>
      </w:r>
    </w:p>
    <w:p>
      <w:pPr/>
      <w:r>
        <w:t>Если нет опубликованного профиля или сохранённой расчётной базы недостаточно, сводка может сообщить об ограничении. Полноту стоимости, веса и других исходных данных проверьте отдельно: нельзя полагаться только на автоматические предупреждения. Неизвестные значения не считайте нулевыми для получения формально готовой цены.</w:t>
      </w:r>
    </w:p>
    <w:p>
      <w:pPr/>
      <w:r>
        <w:t>Сохранённые расчёты и выпущенные КП или счета остаются историческими снимками. После изменения волны для актуального предложения создайте новую версию расчёта и новый документ. Перед новым КП проверьте отсутствие отметки «Требуется пересчёт».</w:t>
      </w:r>
    </w:p>
    <w:p>
      <w:bookmarkStart w:id="10" w:name="chapter_10"/>
      <w:pPr>
        <w:pStyle w:val="Heading1"/>
      </w:pPr>
      <w:r>
        <w:t>10 Коммерческое предложение и счёт</w:t>
      </w:r>
      <w:bookmarkEnd w:id="10"/>
    </w:p>
    <w:p>
      <w:pPr>
        <w:pStyle w:val="Heading2"/>
      </w:pPr>
      <w:r>
        <w:t>Выпуск и передача КП</w:t>
      </w:r>
    </w:p>
    <w:p>
      <w:pPr>
        <w:pStyle w:val="ListNumber"/>
        <w:numPr>
          <w:ilvl w:val="0"/>
          <w:numId w:val="17"/>
        </w:numPr>
      </w:pPr>
      <w:r>
        <w:t>В заявке откройте «КП и счета» → «Выпустить КП».</w:t>
      </w:r>
    </w:p>
    <w:p>
      <w:pPr>
        <w:pStyle w:val="ListNumber"/>
        <w:numPr>
          <w:ilvl w:val="0"/>
          <w:numId w:val="17"/>
        </w:numPr>
      </w:pPr>
      <w:r>
        <w:t>Выберите «Записанная версия расчёта», срок действия и условия.</w:t>
      </w:r>
    </w:p>
    <w:p>
      <w:pPr>
        <w:pStyle w:val="ListNumber"/>
        <w:numPr>
          <w:ilvl w:val="0"/>
          <w:numId w:val="17"/>
        </w:numPr>
      </w:pPr>
      <w:r>
        <w:t>Сохраните документ и скачайте PDF или XLSX.</w:t>
      </w:r>
    </w:p>
    <w:p>
      <w:pPr>
        <w:pStyle w:val="ListNumber"/>
        <w:numPr>
          <w:ilvl w:val="0"/>
          <w:numId w:val="17"/>
        </w:numPr>
      </w:pPr>
      <w:r>
        <w:t>Проверьте покупателя, организацию продавца и её реквизиты, товары, фасовки, количество, цены, валюту, НДС и общий срок поставки.</w:t>
      </w:r>
    </w:p>
    <w:p>
      <w:pPr>
        <w:pStyle w:val="ListNumber"/>
        <w:numPr>
          <w:ilvl w:val="0"/>
          <w:numId w:val="17"/>
        </w:numPr>
      </w:pPr>
      <w:r>
        <w:t>Передайте документ клиенту. В карточке КП нажмите «Отметить отправку» и зафиксируйте фактическую передачу.</w:t>
      </w:r>
    </w:p>
    <w:p>
      <w:pPr/>
      <w:r>
        <w:t>В КП и счёте используется логотип компании. Общий срок поставки берётся из сохранённого расчёта и отображается в документе. Проверяйте именно общий срок для клиента; он может отличаться от сроков отдельных поставщиков.</w:t>
      </w:r>
    </w:p>
    <w:p>
      <w:pPr>
        <w:pStyle w:val="Heading2"/>
      </w:pPr>
      <w:r>
        <w:t>Принятие состава и выставление счёта</w:t>
      </w:r>
    </w:p>
    <w:p>
      <w:pPr/>
      <w:r>
        <w:t>После ответа покупателя откройте КП → «Принять состав». Отметьте согласованные строки, укажите принятое количество и «Основание решения», затем нажмите «Подтвердить». Частичное принятие зависит от правил профиля; суммарное принятое количество не должно превышать потребность.</w:t>
      </w:r>
    </w:p>
    <w:p>
      <w:pPr/>
      <w:r>
        <w:t>Принятый состав создаёт позиции исполнения. Из того же КП выберите «Выставить счёт», отметьте принятое и ещё не выставленное количество, заполните «Оплатить до» и «Условия оплаты», затем подтвердите. Связанный счёт наследует зафиксированные данные предложения, включая общий срок поставки.</w:t>
      </w:r>
    </w:p>
    <w:p>
      <w:pPr/>
      <w:r>
        <w:t>Если исходная цена, общий срок или реквизиты после выпуска изменились, старый файл остаётся прежним. Для актуального документа используйте новую финансовую версию. Для отмены счёта откройте его карточку → «Аннулировать счёт» и укажите причину. Предварительно снимите распределённую оплату; у связанного исполнения не должно быть активных распределений в волнах. История счёта сохраняется.</w:t>
      </w:r>
    </w:p>
    <w:p>
      <w:bookmarkStart w:id="11" w:name="chapter_11"/>
      <w:pPr>
        <w:pStyle w:val="Heading1"/>
      </w:pPr>
      <w:r>
        <w:t>11 Оплаты и задолженность</w:t>
      </w:r>
      <w:bookmarkEnd w:id="11"/>
    </w:p>
    <w:p>
      <w:pPr>
        <w:pStyle w:val="Heading2"/>
      </w:pPr>
      <w:r>
        <w:t>Заявить поступление</w:t>
      </w:r>
    </w:p>
    <w:p>
      <w:pPr/>
      <w:r>
        <w:t>В заявке откройте «Оплаты → Заявить оплату». Выберите счёт, если он известен, введите сумму, дату и номер платёжного документа. Валюта выбирается из выпадающего списка; при выборе счёта она подставляется автоматически. При распределении валюта платежа должна совпадать с валютой счёта.</w:t>
      </w:r>
    </w:p>
    <w:p>
      <w:pPr/>
      <w:r>
        <w:t>Если имеется внешний идентификатор банка, укажите его. В комментарии поясните назначение платежа. Для подтверждающего файла используется идентификатор уже загруженного вложения; сам документ сначала прикрепите через раздел вложений.</w:t>
      </w:r>
    </w:p>
    <w:p>
      <w:pPr>
        <w:pStyle w:val="Heading2"/>
      </w:pPr>
      <w:r>
        <w:t>Подтвердить и распределить</w:t>
      </w:r>
    </w:p>
    <w:p>
      <w:pPr>
        <w:pStyle w:val="ListNumber"/>
        <w:numPr>
          <w:ilvl w:val="0"/>
          <w:numId w:val="18"/>
        </w:numPr>
      </w:pPr>
      <w:r>
        <w:t>Уполномоченный сотрудник открывает платёж, сверяет документы и нажимает «Подтвердить поступление».</w:t>
      </w:r>
    </w:p>
    <w:p>
      <w:pPr>
        <w:pStyle w:val="ListNumber"/>
        <w:numPr>
          <w:ilvl w:val="0"/>
          <w:numId w:val="18"/>
        </w:numPr>
      </w:pPr>
      <w:r>
        <w:t>Нажмите «Распределить», выберите счета и суммы, затем подтвердите действие.</w:t>
      </w:r>
    </w:p>
    <w:p>
      <w:pPr>
        <w:pStyle w:val="ListNumber"/>
        <w:numPr>
          <w:ilvl w:val="0"/>
          <w:numId w:val="18"/>
        </w:numPr>
      </w:pPr>
      <w:r>
        <w:t>Распределение разрешено по счетам одного покупателя, продавца и валюты. Нельзя распределить больше подтверждённой свободной суммы или остатка счёта.</w:t>
      </w:r>
    </w:p>
    <w:p>
      <w:pPr>
        <w:pStyle w:val="ListNumber"/>
        <w:numPr>
          <w:ilvl w:val="0"/>
          <w:numId w:val="18"/>
        </w:numPr>
      </w:pPr>
      <w:r>
        <w:t>Проверьте задолженность по счёту и поле платежа «Не распределено». Сумма сверх счетов остаётся авансом.</w:t>
      </w:r>
    </w:p>
    <w:p>
      <w:pPr/>
      <w:r>
        <w:rPr>
          <w:b/>
        </w:rPr>
        <w:t>Заявленная оплата не уменьшает долг.</w:t>
      </w:r>
      <w:r>
        <w:t xml:space="preserve"> Это происходит после подтверждения поступления и распределения по счёту. Общий реестр «Оплаты» помогает найти запись и открыть её заявку; подробные действия выполняются в карточке заявки.</w:t>
      </w:r>
    </w:p>
    <w:p>
      <w:pPr/>
      <w:r>
        <w:t>Для исправления используйте «Обратная операция»: снять распределение, возврат или корректировка. Укажите причину. Если уменьшилось финансирование уже согласованного состава, система отражает дефицит и уведомляет ответственного руководителя.</w:t>
      </w:r>
    </w:p>
    <w:p>
      <w:pPr/>
      <w:r>
        <w:t>Платёж и начало обработки заказа — самостоятельные процессы. Для «В работу», согласования закупки и распределения в волну не нужно сначала вводить платёж. Перед отправкой товара проверяется достаточное подтверждённое финансирование по действующим условиям.</w:t>
      </w:r>
    </w:p>
    <w:p>
      <w:bookmarkStart w:id="12" w:name="chapter_12"/>
      <w:pPr>
        <w:pStyle w:val="Heading1"/>
      </w:pPr>
      <w:r>
        <w:t>12 Согласование и фактическая поставка</w:t>
      </w:r>
      <w:bookmarkEnd w:id="12"/>
    </w:p>
    <w:p>
      <w:pPr>
        <w:pStyle w:val="Heading2"/>
      </w:pPr>
      <w:r>
        <w:t>Согласование запуска</w:t>
      </w:r>
    </w:p>
    <w:p>
      <w:pPr>
        <w:pStyle w:val="ListNumber"/>
        <w:numPr>
          <w:ilvl w:val="0"/>
          <w:numId w:val="19"/>
        </w:numPr>
      </w:pPr>
      <w:r>
        <w:t>После принятия КП откройте «Исполнение» → «Передать на согласование».</w:t>
      </w:r>
    </w:p>
    <w:p>
      <w:pPr>
        <w:pStyle w:val="ListNumber"/>
        <w:numPr>
          <w:ilvl w:val="0"/>
          <w:numId w:val="19"/>
        </w:numPr>
      </w:pPr>
      <w:r>
        <w:t>Выберите позиции исполнения и руководителя.</w:t>
      </w:r>
    </w:p>
    <w:p>
      <w:pPr>
        <w:pStyle w:val="ListNumber"/>
        <w:numPr>
          <w:ilvl w:val="0"/>
          <w:numId w:val="19"/>
        </w:numPr>
      </w:pPr>
      <w:r>
        <w:t>Руководитель проверяет состав и принимает решение: «Согласовать», «Вернуть на доработку» или «Отклонить». Для возврата или отказа указывается причина.</w:t>
      </w:r>
    </w:p>
    <w:p>
      <w:pPr>
        <w:pStyle w:val="ListNumber"/>
        <w:numPr>
          <w:ilvl w:val="0"/>
          <w:numId w:val="19"/>
        </w:numPr>
      </w:pPr>
      <w:r>
        <w:t>Решение относится к конкретной версии состава. При изменении версии исполнения или количества получите новое согласование: прежнее решение становится недействительным.</w:t>
      </w:r>
    </w:p>
    <w:p>
      <w:pPr>
        <w:pStyle w:val="Heading2"/>
      </w:pPr>
      <w:r>
        <w:t>Распределение и события</w:t>
      </w:r>
    </w:p>
    <w:p>
      <w:pPr/>
      <w:r>
        <w:t>Откройте позицию исполнения → «Распределить в волну». Укажите волну, действующее согласование и количество. Можно распределить часть принятого остатка в одну волну, а другую часть — в следующую. Для распределения нужны пригодные исходные товары и актуальные данные предложения. Дефицит финансирования отображается отдельно.</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10" w:type="dxa"/>
          <w:right w:w="110" w:type="dxa"/>
        </w:tblCellMar>
      </w:tblPr>
      <w:tblGrid>
        <w:gridCol w:w="3402"/>
        <w:gridCol w:w="6463"/>
      </w:tblGrid>
      <w:tr>
        <w:trPr>
          <w:cantSplit/>
          <w:tblHeader/>
        </w:trPr>
        <w:tc>
          <w:tcPr>
            <w:tcW w:type="dxa" w:w="3402"/>
            <w:vAlign w:val="center"/>
            <w:shd w:fill="DCE7F0"/>
          </w:tcPr>
          <w:p>
            <w:pPr>
              <w:keepNext/>
              <w:spacing w:after="0" w:before="0" w:line="254" w:lineRule="auto"/>
              <w:jc w:val="left"/>
            </w:pPr>
            <w:r>
              <w:rPr>
                <w:b/>
                <w:sz w:val="19"/>
              </w:rPr>
              <w:t>Событие</w:t>
            </w:r>
          </w:p>
        </w:tc>
        <w:tc>
          <w:tcPr>
            <w:tcW w:type="dxa" w:w="6463"/>
            <w:vAlign w:val="center"/>
            <w:shd w:fill="DCE7F0"/>
          </w:tcPr>
          <w:p>
            <w:pPr>
              <w:keepNext/>
              <w:spacing w:after="0" w:before="0" w:line="254" w:lineRule="auto"/>
              <w:jc w:val="left"/>
            </w:pPr>
            <w:r>
              <w:rPr>
                <w:b/>
                <w:sz w:val="19"/>
              </w:rPr>
              <w:t>Какой факт фиксируется</w:t>
            </w:r>
          </w:p>
        </w:tc>
      </w:tr>
      <w:tr>
        <w:trPr>
          <w:cantSplit/>
        </w:trPr>
        <w:tc>
          <w:tcPr>
            <w:tcW w:type="dxa" w:w="3402"/>
            <w:vAlign w:val="center"/>
            <w:shd w:fill="FFFFFF"/>
          </w:tcPr>
          <w:p>
            <w:pPr>
              <w:keepNext w:val="0"/>
              <w:spacing w:after="0" w:before="0" w:line="254" w:lineRule="auto"/>
              <w:jc w:val="left"/>
            </w:pPr>
            <w:r>
              <w:rPr>
                <w:sz w:val="19"/>
              </w:rPr>
              <w:t>Заказ подтверждён</w:t>
            </w:r>
          </w:p>
        </w:tc>
        <w:tc>
          <w:tcPr>
            <w:tcW w:type="dxa" w:w="6463"/>
            <w:vAlign w:val="center"/>
            <w:shd w:fill="FFFFFF"/>
          </w:tcPr>
          <w:p>
            <w:pPr>
              <w:keepNext w:val="0"/>
              <w:spacing w:after="0" w:before="0" w:line="254" w:lineRule="auto"/>
              <w:jc w:val="left"/>
            </w:pPr>
            <w:r>
              <w:rPr>
                <w:sz w:val="19"/>
              </w:rPr>
              <w:t>Поставщик подтвердил заказанное количество</w:t>
            </w:r>
          </w:p>
        </w:tc>
      </w:tr>
      <w:tr>
        <w:trPr>
          <w:cantSplit/>
        </w:trPr>
        <w:tc>
          <w:tcPr>
            <w:tcW w:type="dxa" w:w="3402"/>
            <w:vAlign w:val="center"/>
            <w:shd w:fill="FFFFFF"/>
          </w:tcPr>
          <w:p>
            <w:pPr>
              <w:keepNext w:val="0"/>
              <w:spacing w:after="0" w:before="0" w:line="254" w:lineRule="auto"/>
              <w:jc w:val="left"/>
            </w:pPr>
            <w:r>
              <w:rPr>
                <w:sz w:val="19"/>
              </w:rPr>
              <w:t>Готовность</w:t>
            </w:r>
          </w:p>
        </w:tc>
        <w:tc>
          <w:tcPr>
            <w:tcW w:type="dxa" w:w="6463"/>
            <w:vAlign w:val="center"/>
            <w:shd w:fill="FFFFFF"/>
          </w:tcPr>
          <w:p>
            <w:pPr>
              <w:keepNext w:val="0"/>
              <w:spacing w:after="0" w:before="0" w:line="254" w:lineRule="auto"/>
              <w:jc w:val="left"/>
            </w:pPr>
            <w:r>
              <w:rPr>
                <w:sz w:val="19"/>
              </w:rPr>
              <w:t>Указанное количество подготовлено к отправке</w:t>
            </w:r>
          </w:p>
        </w:tc>
      </w:tr>
      <w:tr>
        <w:trPr>
          <w:cantSplit/>
        </w:trPr>
        <w:tc>
          <w:tcPr>
            <w:tcW w:type="dxa" w:w="3402"/>
            <w:vAlign w:val="center"/>
            <w:shd w:fill="FFFFFF"/>
          </w:tcPr>
          <w:p>
            <w:pPr>
              <w:keepNext w:val="0"/>
              <w:spacing w:after="0" w:before="0" w:line="254" w:lineRule="auto"/>
              <w:jc w:val="left"/>
            </w:pPr>
            <w:r>
              <w:rPr>
                <w:sz w:val="19"/>
              </w:rPr>
              <w:t>Отправлено</w:t>
            </w:r>
          </w:p>
        </w:tc>
        <w:tc>
          <w:tcPr>
            <w:tcW w:type="dxa" w:w="6463"/>
            <w:vAlign w:val="center"/>
            <w:shd w:fill="FFFFFF"/>
          </w:tcPr>
          <w:p>
            <w:pPr>
              <w:keepNext w:val="0"/>
              <w:spacing w:after="0" w:before="0" w:line="254" w:lineRule="auto"/>
              <w:jc w:val="left"/>
            </w:pPr>
            <w:r>
              <w:rPr>
                <w:sz w:val="19"/>
              </w:rPr>
              <w:t>Количество фактически передано в перевозку; проверяется финансирование</w:t>
            </w:r>
          </w:p>
        </w:tc>
      </w:tr>
      <w:tr>
        <w:trPr>
          <w:cantSplit/>
        </w:trPr>
        <w:tc>
          <w:tcPr>
            <w:tcW w:type="dxa" w:w="3402"/>
            <w:vAlign w:val="center"/>
            <w:shd w:fill="FFFFFF"/>
          </w:tcPr>
          <w:p>
            <w:pPr>
              <w:keepNext w:val="0"/>
              <w:spacing w:after="0" w:before="0" w:line="254" w:lineRule="auto"/>
              <w:jc w:val="left"/>
            </w:pPr>
            <w:r>
              <w:rPr>
                <w:sz w:val="19"/>
              </w:rPr>
              <w:t>Прибыло</w:t>
            </w:r>
          </w:p>
        </w:tc>
        <w:tc>
          <w:tcPr>
            <w:tcW w:type="dxa" w:w="6463"/>
            <w:vAlign w:val="center"/>
            <w:shd w:fill="FFFFFF"/>
          </w:tcPr>
          <w:p>
            <w:pPr>
              <w:keepNext w:val="0"/>
              <w:spacing w:after="0" w:before="0" w:line="254" w:lineRule="auto"/>
              <w:jc w:val="left"/>
            </w:pPr>
            <w:r>
              <w:rPr>
                <w:sz w:val="19"/>
              </w:rPr>
              <w:t>Зафиксировано фактическое прибытие</w:t>
            </w:r>
          </w:p>
        </w:tc>
      </w:tr>
      <w:tr>
        <w:trPr>
          <w:cantSplit/>
        </w:trPr>
        <w:tc>
          <w:tcPr>
            <w:tcW w:type="dxa" w:w="3402"/>
            <w:vAlign w:val="center"/>
            <w:shd w:fill="FFFFFF"/>
          </w:tcPr>
          <w:p>
            <w:pPr>
              <w:keepNext w:val="0"/>
              <w:spacing w:after="0" w:before="0" w:line="254" w:lineRule="auto"/>
              <w:jc w:val="left"/>
            </w:pPr>
            <w:r>
              <w:rPr>
                <w:sz w:val="19"/>
              </w:rPr>
              <w:t>Передано клиенту</w:t>
            </w:r>
          </w:p>
        </w:tc>
        <w:tc>
          <w:tcPr>
            <w:tcW w:type="dxa" w:w="6463"/>
            <w:vAlign w:val="center"/>
            <w:shd w:fill="FFFFFF"/>
          </w:tcPr>
          <w:p>
            <w:pPr>
              <w:keepNext w:val="0"/>
              <w:spacing w:after="0" w:before="0" w:line="254" w:lineRule="auto"/>
              <w:jc w:val="left"/>
            </w:pPr>
            <w:r>
              <w:rPr>
                <w:sz w:val="19"/>
              </w:rPr>
              <w:t>Количество передано покупателю</w:t>
            </w:r>
          </w:p>
        </w:tc>
      </w:tr>
      <w:tr>
        <w:trPr>
          <w:cantSplit/>
        </w:trPr>
        <w:tc>
          <w:tcPr>
            <w:tcW w:type="dxa" w:w="3402"/>
            <w:vAlign w:val="center"/>
            <w:shd w:fill="FFFFFF"/>
          </w:tcPr>
          <w:p>
            <w:pPr>
              <w:keepNext w:val="0"/>
              <w:spacing w:after="0" w:before="0" w:line="254" w:lineRule="auto"/>
              <w:jc w:val="left"/>
            </w:pPr>
            <w:r>
              <w:rPr>
                <w:sz w:val="19"/>
              </w:rPr>
              <w:t>Претензия открыта или решена</w:t>
            </w:r>
          </w:p>
        </w:tc>
        <w:tc>
          <w:tcPr>
            <w:tcW w:type="dxa" w:w="6463"/>
            <w:vAlign w:val="center"/>
            <w:shd w:fill="FFFFFF"/>
          </w:tcPr>
          <w:p>
            <w:pPr>
              <w:keepNext w:val="0"/>
              <w:spacing w:after="0" w:before="0" w:line="254" w:lineRule="auto"/>
              <w:jc w:val="left"/>
            </w:pPr>
            <w:r>
              <w:rPr>
                <w:sz w:val="19"/>
              </w:rPr>
              <w:t>Проблема поставки и её урегулирование</w:t>
            </w:r>
          </w:p>
        </w:tc>
      </w:tr>
    </w:tbl>
    <w:p>
      <w:pPr>
        <w:spacing w:after="0" w:before="0" w:line="96" w:lineRule="auto"/>
      </w:pPr>
      <w:r>
        <w:rPr>
          <w:sz w:val="6"/>
        </w:rPr>
      </w:r>
    </w:p>
    <w:p>
      <w:pPr/>
      <w:r>
        <w:t>Для события укажите фактическое количество, время, основание и при необходимости подтверждающий файл. Плановая неделя не заменяет запись реального события. Не отмечайте отправку только потому, что наступил срок.</w:t>
      </w:r>
    </w:p>
    <w:p>
      <w:pPr/>
      <w:r>
        <w:t>Принятое, распределённое, отправленное и доставленное количество учитываются раздельно. Перенос между волнами доступен для планового распределения без нескорректированных событий с ненулевым количеством. Если уже внесены заказ, готовность или другие такие факты, сначала скорректируйте события. Отгруженный объём нельзя перенести как ещё не отправленный остаток. Исправление, отмена и перенос требуют основания и сохраняются в истории. Перед закрытием сделки сверьте доставленное количество, задолженность и открытые претензии.</w:t>
      </w:r>
    </w:p>
    <w:p>
      <w:bookmarkStart w:id="13" w:name="chapter_13"/>
      <w:pPr>
        <w:pStyle w:val="Heading1"/>
      </w:pPr>
      <w:r>
        <w:t>13 Настройки, роли и ежедневная работа</w:t>
      </w:r>
      <w:bookmarkEnd w:id="13"/>
    </w:p>
    <w:p>
      <w:pPr>
        <w:pStyle w:val="Heading2"/>
      </w:pPr>
      <w:r>
        <w:t>Подготовка справочников и правил</w:t>
      </w:r>
    </w:p>
    <w:p>
      <w:pPr/>
      <w:r>
        <w:t>Перед первой рабочей сделкой проверьте организацию продавца, сотрудников, контрагентов, валюты, страны, товарные группы, номенклатуру и фасовки. В «Настройки → Финансовые профили» ответственный сотрудник создаёт черновик, проверяет ставки, диапазоны, курсы и контрольный пример, затем публикует профиль.</w:t>
      </w:r>
    </w:p>
    <w:p>
      <w:pPr/>
      <w:r>
        <w:t>Диапазоны таможенного сбора и расходных статей должны покрывать нужные суммы и даты без неоднозначных пересечений. Начальные параметры шаблона профиля требуют проверки компанией. При изменении курса, ставки или правила создаётся новая версия; история сохранённых расчётов остаётся доступной.</w:t>
      </w:r>
    </w:p>
    <w:p>
      <w:pPr>
        <w:pStyle w:val="Heading2"/>
      </w:pPr>
      <w:r>
        <w:t>Стартовые роли</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10" w:type="dxa"/>
          <w:right w:w="110" w:type="dxa"/>
        </w:tblCellMar>
      </w:tblPr>
      <w:tblGrid>
        <w:gridCol w:w="2721"/>
        <w:gridCol w:w="7143"/>
      </w:tblGrid>
      <w:tr>
        <w:trPr>
          <w:cantSplit/>
          <w:tblHeader/>
        </w:trPr>
        <w:tc>
          <w:tcPr>
            <w:tcW w:type="dxa" w:w="2721"/>
            <w:vAlign w:val="center"/>
            <w:shd w:fill="DCE7F0"/>
          </w:tcPr>
          <w:p>
            <w:pPr>
              <w:keepNext/>
              <w:spacing w:after="0" w:before="0" w:line="254" w:lineRule="auto"/>
              <w:jc w:val="left"/>
            </w:pPr>
            <w:r>
              <w:rPr>
                <w:b/>
                <w:sz w:val="19"/>
              </w:rPr>
              <w:t>Роль</w:t>
            </w:r>
          </w:p>
        </w:tc>
        <w:tc>
          <w:tcPr>
            <w:tcW w:type="dxa" w:w="7143"/>
            <w:vAlign w:val="center"/>
            <w:shd w:fill="DCE7F0"/>
          </w:tcPr>
          <w:p>
            <w:pPr>
              <w:keepNext/>
              <w:spacing w:after="0" w:before="0" w:line="254" w:lineRule="auto"/>
              <w:jc w:val="left"/>
            </w:pPr>
            <w:r>
              <w:rPr>
                <w:b/>
                <w:sz w:val="19"/>
              </w:rPr>
              <w:t>Основная работа</w:t>
            </w:r>
          </w:p>
        </w:tc>
      </w:tr>
      <w:tr>
        <w:trPr>
          <w:cantSplit/>
        </w:trPr>
        <w:tc>
          <w:tcPr>
            <w:tcW w:type="dxa" w:w="2721"/>
            <w:vAlign w:val="center"/>
            <w:shd w:fill="FFFFFF"/>
          </w:tcPr>
          <w:p>
            <w:pPr>
              <w:keepNext w:val="0"/>
              <w:spacing w:after="0" w:before="0" w:line="254" w:lineRule="auto"/>
              <w:jc w:val="left"/>
            </w:pPr>
            <w:r>
              <w:rPr>
                <w:sz w:val="19"/>
              </w:rPr>
              <w:t>Администратор</w:t>
            </w:r>
          </w:p>
        </w:tc>
        <w:tc>
          <w:tcPr>
            <w:tcW w:type="dxa" w:w="7143"/>
            <w:vAlign w:val="center"/>
            <w:shd w:fill="FFFFFF"/>
          </w:tcPr>
          <w:p>
            <w:pPr>
              <w:keepNext w:val="0"/>
              <w:spacing w:after="0" w:before="0" w:line="254" w:lineRule="auto"/>
              <w:jc w:val="left"/>
            </w:pPr>
            <w:r>
              <w:rPr>
                <w:sz w:val="19"/>
              </w:rPr>
              <w:t>Организация, сотрудники, права, справочники и аудит; доступ к сделкам назначается отдельно</w:t>
            </w:r>
          </w:p>
        </w:tc>
      </w:tr>
      <w:tr>
        <w:trPr>
          <w:cantSplit/>
        </w:trPr>
        <w:tc>
          <w:tcPr>
            <w:tcW w:type="dxa" w:w="2721"/>
            <w:vAlign w:val="center"/>
            <w:shd w:fill="FFFFFF"/>
          </w:tcPr>
          <w:p>
            <w:pPr>
              <w:keepNext w:val="0"/>
              <w:spacing w:after="0" w:before="0" w:line="254" w:lineRule="auto"/>
              <w:jc w:val="left"/>
            </w:pPr>
            <w:r>
              <w:rPr>
                <w:sz w:val="19"/>
              </w:rPr>
              <w:t>Руководитель</w:t>
            </w:r>
          </w:p>
        </w:tc>
        <w:tc>
          <w:tcPr>
            <w:tcW w:type="dxa" w:w="7143"/>
            <w:vAlign w:val="center"/>
            <w:shd w:fill="FFFFFF"/>
          </w:tcPr>
          <w:p>
            <w:pPr>
              <w:keepNext w:val="0"/>
              <w:spacing w:after="0" w:before="0" w:line="254" w:lineRule="auto"/>
              <w:jc w:val="left"/>
            </w:pPr>
            <w:r>
              <w:rPr>
                <w:sz w:val="19"/>
              </w:rPr>
              <w:t>Заявки команды, ответственные, согласования, волны и аналитика</w:t>
            </w:r>
          </w:p>
        </w:tc>
      </w:tr>
      <w:tr>
        <w:trPr>
          <w:cantSplit/>
        </w:trPr>
        <w:tc>
          <w:tcPr>
            <w:tcW w:type="dxa" w:w="2721"/>
            <w:vAlign w:val="center"/>
            <w:shd w:fill="FFFFFF"/>
          </w:tcPr>
          <w:p>
            <w:pPr>
              <w:keepNext w:val="0"/>
              <w:spacing w:after="0" w:before="0" w:line="254" w:lineRule="auto"/>
              <w:jc w:val="left"/>
            </w:pPr>
            <w:r>
              <w:rPr>
                <w:sz w:val="19"/>
              </w:rPr>
              <w:t>Владелец расчётов</w:t>
            </w:r>
          </w:p>
        </w:tc>
        <w:tc>
          <w:tcPr>
            <w:tcW w:type="dxa" w:w="7143"/>
            <w:vAlign w:val="center"/>
            <w:shd w:fill="FFFFFF"/>
          </w:tcPr>
          <w:p>
            <w:pPr>
              <w:keepNext w:val="0"/>
              <w:spacing w:after="0" w:before="0" w:line="254" w:lineRule="auto"/>
              <w:jc w:val="left"/>
            </w:pPr>
            <w:r>
              <w:rPr>
                <w:sz w:val="19"/>
              </w:rPr>
              <w:t>Квоты, расчёты, финансовые профили и финансовые показатели</w:t>
            </w:r>
          </w:p>
        </w:tc>
      </w:tr>
      <w:tr>
        <w:trPr>
          <w:cantSplit/>
        </w:trPr>
        <w:tc>
          <w:tcPr>
            <w:tcW w:type="dxa" w:w="2721"/>
            <w:vAlign w:val="center"/>
            <w:shd w:fill="FFFFFF"/>
          </w:tcPr>
          <w:p>
            <w:pPr>
              <w:keepNext w:val="0"/>
              <w:spacing w:after="0" w:before="0" w:line="254" w:lineRule="auto"/>
              <w:jc w:val="left"/>
            </w:pPr>
            <w:r>
              <w:rPr>
                <w:sz w:val="19"/>
              </w:rPr>
              <w:t>Менеджер продаж</w:t>
            </w:r>
          </w:p>
        </w:tc>
        <w:tc>
          <w:tcPr>
            <w:tcW w:type="dxa" w:w="7143"/>
            <w:vAlign w:val="center"/>
            <w:shd w:fill="FFFFFF"/>
          </w:tcPr>
          <w:p>
            <w:pPr>
              <w:keepNext w:val="0"/>
              <w:spacing w:after="0" w:before="0" w:line="254" w:lineRule="auto"/>
              <w:jc w:val="left"/>
            </w:pPr>
            <w:r>
              <w:rPr>
                <w:sz w:val="19"/>
              </w:rPr>
              <w:t>Свои или предоставленные клиенты и заявки, КП, счета, заявление оплат и согласование</w:t>
            </w:r>
          </w:p>
        </w:tc>
      </w:tr>
      <w:tr>
        <w:trPr>
          <w:cantSplit/>
        </w:trPr>
        <w:tc>
          <w:tcPr>
            <w:tcW w:type="dxa" w:w="2721"/>
            <w:vAlign w:val="center"/>
            <w:shd w:fill="FFFFFF"/>
          </w:tcPr>
          <w:p>
            <w:pPr>
              <w:keepNext w:val="0"/>
              <w:spacing w:after="0" w:before="0" w:line="254" w:lineRule="auto"/>
              <w:jc w:val="left"/>
            </w:pPr>
            <w:r>
              <w:rPr>
                <w:sz w:val="19"/>
              </w:rPr>
              <w:t>Закупщик</w:t>
            </w:r>
          </w:p>
        </w:tc>
        <w:tc>
          <w:tcPr>
            <w:tcW w:type="dxa" w:w="7143"/>
            <w:vAlign w:val="center"/>
            <w:shd w:fill="FFFFFF"/>
          </w:tcPr>
          <w:p>
            <w:pPr>
              <w:keepNext w:val="0"/>
              <w:spacing w:after="0" w:before="0" w:line="254" w:lineRule="auto"/>
              <w:jc w:val="left"/>
            </w:pPr>
            <w:r>
              <w:rPr>
                <w:sz w:val="19"/>
              </w:rPr>
              <w:t>Поставщики, номенклатура, запросы и квоты</w:t>
            </w:r>
          </w:p>
        </w:tc>
      </w:tr>
      <w:tr>
        <w:trPr>
          <w:cantSplit/>
        </w:trPr>
        <w:tc>
          <w:tcPr>
            <w:tcW w:type="dxa" w:w="2721"/>
            <w:vAlign w:val="center"/>
            <w:shd w:fill="FFFFFF"/>
          </w:tcPr>
          <w:p>
            <w:pPr>
              <w:keepNext w:val="0"/>
              <w:spacing w:after="0" w:before="0" w:line="254" w:lineRule="auto"/>
              <w:jc w:val="left"/>
            </w:pPr>
            <w:r>
              <w:rPr>
                <w:sz w:val="19"/>
              </w:rPr>
              <w:t>Логист</w:t>
            </w:r>
          </w:p>
        </w:tc>
        <w:tc>
          <w:tcPr>
            <w:tcW w:type="dxa" w:w="7143"/>
            <w:vAlign w:val="center"/>
            <w:shd w:fill="FFFFFF"/>
          </w:tcPr>
          <w:p>
            <w:pPr>
              <w:keepNext w:val="0"/>
              <w:spacing w:after="0" w:before="0" w:line="254" w:lineRule="auto"/>
              <w:jc w:val="left"/>
            </w:pPr>
            <w:r>
              <w:rPr>
                <w:sz w:val="19"/>
              </w:rPr>
              <w:t>Волны, распределение и события исполнения</w:t>
            </w:r>
          </w:p>
        </w:tc>
      </w:tr>
      <w:tr>
        <w:trPr>
          <w:cantSplit/>
        </w:trPr>
        <w:tc>
          <w:tcPr>
            <w:tcW w:type="dxa" w:w="2721"/>
            <w:vAlign w:val="center"/>
            <w:shd w:fill="FFFFFF"/>
          </w:tcPr>
          <w:p>
            <w:pPr>
              <w:keepNext w:val="0"/>
              <w:spacing w:after="0" w:before="0" w:line="254" w:lineRule="auto"/>
              <w:jc w:val="left"/>
            </w:pPr>
            <w:r>
              <w:rPr>
                <w:sz w:val="19"/>
              </w:rPr>
              <w:t>Финансовый контролёр</w:t>
            </w:r>
          </w:p>
        </w:tc>
        <w:tc>
          <w:tcPr>
            <w:tcW w:type="dxa" w:w="7143"/>
            <w:vAlign w:val="center"/>
            <w:shd w:fill="FFFFFF"/>
          </w:tcPr>
          <w:p>
            <w:pPr>
              <w:keepNext w:val="0"/>
              <w:spacing w:after="0" w:before="0" w:line="254" w:lineRule="auto"/>
              <w:jc w:val="left"/>
            </w:pPr>
            <w:r>
              <w:rPr>
                <w:sz w:val="19"/>
              </w:rPr>
              <w:t>Заявление, подтверждение, распределение оплат и обратные операции</w:t>
            </w:r>
          </w:p>
        </w:tc>
      </w:tr>
    </w:tbl>
    <w:p>
      <w:pPr>
        <w:spacing w:after="0" w:before="0" w:line="96" w:lineRule="auto"/>
      </w:pPr>
      <w:r>
        <w:rPr>
          <w:sz w:val="6"/>
        </w:rPr>
      </w:r>
    </w:p>
    <w:p>
      <w:pPr/>
      <w:r>
        <w:t>Это стартовые полномочия; фактические роли настраивает организация. Право на раздел не всегда даёт доступ ко всем записям. Владелец расчётов по умолчанию не выпускает КП; выпуск требует отдельного права. Менеджер может заявить платёж, но подтверждение поступления выполняет сотрудник с финансовым правом. Закупочные цены, бонус и прибыль могут быть скрыты независимо друг от друга.</w:t>
      </w:r>
    </w:p>
    <w:p>
      <w:pPr>
        <w:pStyle w:val="Heading2"/>
      </w:pPr>
      <w:r>
        <w:t>Звонки задачи и контроль</w:t>
      </w:r>
    </w:p>
    <w:p>
      <w:pPr/>
      <w:r>
        <w:t>В базе обзвона фиксируйте результат звонка и следующее действие. Задача содержит ответственного, срок, приоритет, состояние и результат. Руководитель может назначать выбранных холодных клиентов сотруднику. История компании сохраняет контекст разговора и перехода в рабочую базу.</w:t>
      </w:r>
    </w:p>
    <w:p>
      <w:pPr/>
      <w:r>
        <w:t>«Рабочий стол» и «Аналитика» показывают доступные показатели, задачи и заявки. Тестовые заявки исключаются из рабочих отчётов. Долг анализируется отдельно по валютам; суммы разных валют не складываются без согласованной конвертации.</w:t>
      </w:r>
    </w:p>
    <w:p>
      <w:pPr>
        <w:pStyle w:val="Heading2"/>
      </w:pPr>
      <w:r>
        <w:t>Вложения история и обсуждения</w:t>
      </w:r>
    </w:p>
    <w:p>
      <w:pPr/>
      <w:r>
        <w:t>К заявке прикладывайте исходные запросы, ответы поставщиков и подтверждающие документы. Файл становится скачиваемым после проверки. Доступ к чувствительным классам файлов зависит от прав сотрудника. Учредительные документы и договоры всей компании храните в карточке контрагента.</w:t>
      </w:r>
    </w:p>
    <w:p>
      <w:pPr/>
      <w:r>
        <w:t>Во вкладке «История и обсуждение» проверяйте изменения и обсуждайте заявку. Сообщения, упоминания и вложения сохраняют рабочий контекст. Уведомления помогают открыть связанный объект: согласование, задачу, обсуждение или изменение финансирования. Времена в интерфейсе отображаются по Москве.</w:t>
      </w:r>
    </w:p>
    <w:p>
      <w:bookmarkStart w:id="14" w:name="chapter_14"/>
      <w:pPr>
        <w:pStyle w:val="Heading1"/>
      </w:pPr>
      <w:r>
        <w:t>14 Частые вопросы и контроль перед отправкой</w:t>
      </w:r>
      <w:bookmarkEnd w:id="14"/>
    </w:p>
    <w:p>
      <w:pPr>
        <w:pStyle w:val="Heading2"/>
      </w:pPr>
      <w:r>
        <w:t>Типовые ситуации</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10" w:type="dxa"/>
          <w:right w:w="110" w:type="dxa"/>
        </w:tblCellMar>
      </w:tblPr>
      <w:tblGrid>
        <w:gridCol w:w="3402"/>
        <w:gridCol w:w="6463"/>
      </w:tblGrid>
      <w:tr>
        <w:trPr>
          <w:cantSplit/>
          <w:tblHeader/>
        </w:trPr>
        <w:tc>
          <w:tcPr>
            <w:tcW w:type="dxa" w:w="3402"/>
            <w:vAlign w:val="center"/>
            <w:shd w:fill="DCE7F0"/>
          </w:tcPr>
          <w:p>
            <w:pPr>
              <w:keepNext/>
              <w:spacing w:after="0" w:before="0" w:line="254" w:lineRule="auto"/>
              <w:jc w:val="left"/>
            </w:pPr>
            <w:r>
              <w:rPr>
                <w:b/>
                <w:sz w:val="19"/>
              </w:rPr>
              <w:t>Ситуация</w:t>
            </w:r>
          </w:p>
        </w:tc>
        <w:tc>
          <w:tcPr>
            <w:tcW w:type="dxa" w:w="6463"/>
            <w:vAlign w:val="center"/>
            <w:shd w:fill="DCE7F0"/>
          </w:tcPr>
          <w:p>
            <w:pPr>
              <w:keepNext/>
              <w:spacing w:after="0" w:before="0" w:line="254" w:lineRule="auto"/>
              <w:jc w:val="left"/>
            </w:pPr>
            <w:r>
              <w:rPr>
                <w:b/>
                <w:sz w:val="19"/>
              </w:rPr>
              <w:t>Что проверить</w:t>
            </w:r>
          </w:p>
        </w:tc>
      </w:tr>
      <w:tr>
        <w:trPr>
          <w:cantSplit/>
        </w:trPr>
        <w:tc>
          <w:tcPr>
            <w:tcW w:type="dxa" w:w="3402"/>
            <w:vAlign w:val="center"/>
            <w:shd w:fill="FFFFFF"/>
          </w:tcPr>
          <w:p>
            <w:pPr>
              <w:keepNext w:val="0"/>
              <w:spacing w:after="0" w:before="0" w:line="254" w:lineRule="auto"/>
              <w:jc w:val="left"/>
            </w:pPr>
            <w:r>
              <w:rPr>
                <w:sz w:val="19"/>
              </w:rPr>
              <w:t>В квотах товар создался в Прочее</w:t>
            </w:r>
          </w:p>
        </w:tc>
        <w:tc>
          <w:tcPr>
            <w:tcW w:type="dxa" w:w="6463"/>
            <w:vAlign w:val="center"/>
            <w:shd w:fill="FFFFFF"/>
          </w:tcPr>
          <w:p>
            <w:pPr>
              <w:keepNext w:val="0"/>
              <w:spacing w:after="0" w:before="0" w:line="254" w:lineRule="auto"/>
              <w:jc w:val="left"/>
            </w:pPr>
            <w:r>
              <w:rPr>
                <w:sz w:val="19"/>
              </w:rPr>
              <w:t>Столбец «Товарная группа»; группу исходной позиции; для найденного артикула — группу существующего товара</w:t>
            </w:r>
          </w:p>
        </w:tc>
      </w:tr>
      <w:tr>
        <w:trPr>
          <w:cantSplit/>
        </w:trPr>
        <w:tc>
          <w:tcPr>
            <w:tcW w:type="dxa" w:w="3402"/>
            <w:vAlign w:val="center"/>
            <w:shd w:fill="FFFFFF"/>
          </w:tcPr>
          <w:p>
            <w:pPr>
              <w:keepNext w:val="0"/>
              <w:spacing w:after="0" w:before="0" w:line="254" w:lineRule="auto"/>
              <w:jc w:val="left"/>
            </w:pPr>
            <w:r>
              <w:rPr>
                <w:sz w:val="19"/>
              </w:rPr>
              <w:t>Не найден поставщик при импорте</w:t>
            </w:r>
          </w:p>
        </w:tc>
        <w:tc>
          <w:tcPr>
            <w:tcW w:type="dxa" w:w="6463"/>
            <w:vAlign w:val="center"/>
            <w:shd w:fill="FFFFFF"/>
          </w:tcPr>
          <w:p>
            <w:pPr>
              <w:keepNext w:val="0"/>
              <w:spacing w:after="0" w:before="0" w:line="254" w:lineRule="auto"/>
              <w:jc w:val="left"/>
            </w:pPr>
            <w:r>
              <w:rPr>
                <w:sz w:val="19"/>
              </w:rPr>
              <w:t>Внутренний код из карточки поставщика; поставщик должен существовать до загрузки</w:t>
            </w:r>
          </w:p>
        </w:tc>
      </w:tr>
      <w:tr>
        <w:trPr>
          <w:cantSplit/>
        </w:trPr>
        <w:tc>
          <w:tcPr>
            <w:tcW w:type="dxa" w:w="3402"/>
            <w:vAlign w:val="center"/>
            <w:shd w:fill="FFFFFF"/>
          </w:tcPr>
          <w:p>
            <w:pPr>
              <w:keepNext w:val="0"/>
              <w:spacing w:after="0" w:before="0" w:line="254" w:lineRule="auto"/>
              <w:jc w:val="left"/>
            </w:pPr>
            <w:r>
              <w:rPr>
                <w:sz w:val="19"/>
              </w:rPr>
              <w:t>Контакт поставщика не выбирается</w:t>
            </w:r>
          </w:p>
        </w:tc>
        <w:tc>
          <w:tcPr>
            <w:tcW w:type="dxa" w:w="6463"/>
            <w:vAlign w:val="center"/>
            <w:shd w:fill="FFFFFF"/>
          </w:tcPr>
          <w:p>
            <w:pPr>
              <w:keepNext w:val="0"/>
              <w:spacing w:after="0" w:before="0" w:line="254" w:lineRule="auto"/>
              <w:jc w:val="left"/>
            </w:pPr>
            <w:r>
              <w:rPr>
                <w:sz w:val="19"/>
              </w:rPr>
              <w:t>Рабочая база, действующая компания, доступ к контрагенту; поле называется «Контрагент»</w:t>
            </w:r>
          </w:p>
        </w:tc>
      </w:tr>
      <w:tr>
        <w:trPr>
          <w:cantSplit/>
        </w:trPr>
        <w:tc>
          <w:tcPr>
            <w:tcW w:type="dxa" w:w="3402"/>
            <w:vAlign w:val="center"/>
            <w:shd w:fill="FFFFFF"/>
          </w:tcPr>
          <w:p>
            <w:pPr>
              <w:keepNext w:val="0"/>
              <w:spacing w:after="0" w:before="0" w:line="254" w:lineRule="auto"/>
              <w:jc w:val="left"/>
            </w:pPr>
            <w:r>
              <w:rPr>
                <w:sz w:val="19"/>
              </w:rPr>
              <w:t>Валюта платежа не подходит</w:t>
            </w:r>
          </w:p>
        </w:tc>
        <w:tc>
          <w:tcPr>
            <w:tcW w:type="dxa" w:w="6463"/>
            <w:vAlign w:val="center"/>
            <w:shd w:fill="FFFFFF"/>
          </w:tcPr>
          <w:p>
            <w:pPr>
              <w:keepNext w:val="0"/>
              <w:spacing w:after="0" w:before="0" w:line="254" w:lineRule="auto"/>
              <w:jc w:val="left"/>
            </w:pPr>
            <w:r>
              <w:rPr>
                <w:sz w:val="19"/>
              </w:rPr>
              <w:t>Выберите валюту из списка, сверяйте валюту связанного счёта</w:t>
            </w:r>
          </w:p>
        </w:tc>
      </w:tr>
      <w:tr>
        <w:trPr>
          <w:cantSplit/>
        </w:trPr>
        <w:tc>
          <w:tcPr>
            <w:tcW w:type="dxa" w:w="3402"/>
            <w:vAlign w:val="center"/>
            <w:shd w:fill="FFFFFF"/>
          </w:tcPr>
          <w:p>
            <w:pPr>
              <w:keepNext w:val="0"/>
              <w:spacing w:after="0" w:before="0" w:line="254" w:lineRule="auto"/>
              <w:jc w:val="left"/>
            </w:pPr>
            <w:r>
              <w:rPr>
                <w:sz w:val="19"/>
              </w:rPr>
              <w:t>Ввёл платёж но долг прежний</w:t>
            </w:r>
          </w:p>
        </w:tc>
        <w:tc>
          <w:tcPr>
            <w:tcW w:type="dxa" w:w="6463"/>
            <w:vAlign w:val="center"/>
            <w:shd w:fill="FFFFFF"/>
          </w:tcPr>
          <w:p>
            <w:pPr>
              <w:keepNext w:val="0"/>
              <w:spacing w:after="0" w:before="0" w:line="254" w:lineRule="auto"/>
              <w:jc w:val="left"/>
            </w:pPr>
            <w:r>
              <w:rPr>
                <w:sz w:val="19"/>
              </w:rPr>
              <w:t>Подтверждение поступления и распределение суммы по счёту</w:t>
            </w:r>
          </w:p>
        </w:tc>
      </w:tr>
      <w:tr>
        <w:trPr>
          <w:cantSplit/>
        </w:trPr>
        <w:tc>
          <w:tcPr>
            <w:tcW w:type="dxa" w:w="3402"/>
            <w:vAlign w:val="center"/>
            <w:shd w:fill="FFFFFF"/>
          </w:tcPr>
          <w:p>
            <w:pPr>
              <w:keepNext w:val="0"/>
              <w:spacing w:after="0" w:before="0" w:line="254" w:lineRule="auto"/>
              <w:jc w:val="left"/>
            </w:pPr>
            <w:r>
              <w:rPr>
                <w:sz w:val="19"/>
              </w:rPr>
              <w:t>Расчёт просит курс</w:t>
            </w:r>
          </w:p>
        </w:tc>
        <w:tc>
          <w:tcPr>
            <w:tcW w:type="dxa" w:w="6463"/>
            <w:vAlign w:val="center"/>
            <w:shd w:fill="FFFFFF"/>
          </w:tcPr>
          <w:p>
            <w:pPr>
              <w:keepNext w:val="0"/>
              <w:spacing w:after="0" w:before="0" w:line="254" w:lineRule="auto"/>
              <w:jc w:val="left"/>
            </w:pPr>
            <w:r>
              <w:rPr>
                <w:sz w:val="19"/>
              </w:rPr>
              <w:t>Наличие курса, даты и источника в выбранном опубликованном профиле</w:t>
            </w:r>
          </w:p>
        </w:tc>
      </w:tr>
      <w:tr>
        <w:trPr>
          <w:cantSplit/>
        </w:trPr>
        <w:tc>
          <w:tcPr>
            <w:tcW w:type="dxa" w:w="3402"/>
            <w:vAlign w:val="center"/>
            <w:shd w:fill="FFFFFF"/>
          </w:tcPr>
          <w:p>
            <w:pPr>
              <w:keepNext w:val="0"/>
              <w:spacing w:after="0" w:before="0" w:line="254" w:lineRule="auto"/>
              <w:jc w:val="left"/>
            </w:pPr>
            <w:r>
              <w:rPr>
                <w:sz w:val="19"/>
              </w:rPr>
              <w:t>Ошибка диапазона сбора</w:t>
            </w:r>
          </w:p>
        </w:tc>
        <w:tc>
          <w:tcPr>
            <w:tcW w:type="dxa" w:w="6463"/>
            <w:vAlign w:val="center"/>
            <w:shd w:fill="FFFFFF"/>
          </w:tcPr>
          <w:p>
            <w:pPr>
              <w:keepNext w:val="0"/>
              <w:spacing w:after="0" w:before="0" w:line="254" w:lineRule="auto"/>
              <w:jc w:val="left"/>
            </w:pPr>
            <w:r>
              <w:rPr>
                <w:sz w:val="19"/>
              </w:rPr>
              <w:t>Полнота диапазонов, дата и отсутствие пересечений; суммарная стоимость волны</w:t>
            </w:r>
          </w:p>
        </w:tc>
      </w:tr>
      <w:tr>
        <w:trPr>
          <w:cantSplit/>
        </w:trPr>
        <w:tc>
          <w:tcPr>
            <w:tcW w:type="dxa" w:w="3402"/>
            <w:vAlign w:val="center"/>
            <w:shd w:fill="FFFFFF"/>
          </w:tcPr>
          <w:p>
            <w:pPr>
              <w:keepNext w:val="0"/>
              <w:spacing w:after="0" w:before="0" w:line="254" w:lineRule="auto"/>
              <w:jc w:val="left"/>
            </w:pPr>
            <w:r>
              <w:rPr>
                <w:sz w:val="19"/>
              </w:rPr>
              <w:t>Цена отличается от умножения всей себестоимости на наценку</w:t>
            </w:r>
          </w:p>
        </w:tc>
        <w:tc>
          <w:tcPr>
            <w:tcW w:type="dxa" w:w="6463"/>
            <w:vAlign w:val="center"/>
            <w:shd w:fill="FFFFFF"/>
          </w:tcPr>
          <w:p>
            <w:pPr>
              <w:keepNext w:val="0"/>
              <w:spacing w:after="0" w:before="0" w:line="254" w:lineRule="auto"/>
              <w:jc w:val="left"/>
            </w:pPr>
            <w:r>
              <w:rPr>
                <w:sz w:val="19"/>
              </w:rPr>
              <w:t>Наценка применяется к чистой стоимости; сбор, общий расход и финансирование добавляются отдельно</w:t>
            </w:r>
          </w:p>
        </w:tc>
      </w:tr>
      <w:tr>
        <w:trPr>
          <w:cantSplit/>
        </w:trPr>
        <w:tc>
          <w:tcPr>
            <w:tcW w:type="dxa" w:w="3402"/>
            <w:vAlign w:val="center"/>
            <w:shd w:fill="FFFFFF"/>
          </w:tcPr>
          <w:p>
            <w:pPr>
              <w:keepNext w:val="0"/>
              <w:spacing w:after="0" w:before="0" w:line="254" w:lineRule="auto"/>
              <w:jc w:val="left"/>
            </w:pPr>
            <w:r>
              <w:rPr>
                <w:sz w:val="19"/>
              </w:rPr>
              <w:t>Расход на упаковку изменился после добавления заказа</w:t>
            </w:r>
          </w:p>
        </w:tc>
        <w:tc>
          <w:tcPr>
            <w:tcW w:type="dxa" w:w="6463"/>
            <w:vAlign w:val="center"/>
            <w:shd w:fill="FFFFFF"/>
          </w:tcPr>
          <w:p>
            <w:pPr>
              <w:keepNext w:val="0"/>
              <w:spacing w:after="0" w:before="0" w:line="254" w:lineRule="auto"/>
              <w:jc w:val="left"/>
            </w:pPr>
            <w:r>
              <w:rPr>
                <w:sz w:val="19"/>
              </w:rPr>
              <w:t>Общее количество, полная база волны и актуальный диапазон сбора</w:t>
            </w:r>
          </w:p>
        </w:tc>
      </w:tr>
      <w:tr>
        <w:trPr>
          <w:cantSplit/>
        </w:trPr>
        <w:tc>
          <w:tcPr>
            <w:tcW w:type="dxa" w:w="3402"/>
            <w:vAlign w:val="center"/>
            <w:shd w:fill="FFFFFF"/>
          </w:tcPr>
          <w:p>
            <w:pPr>
              <w:keepNext w:val="0"/>
              <w:spacing w:after="0" w:before="0" w:line="254" w:lineRule="auto"/>
              <w:jc w:val="left"/>
            </w:pPr>
            <w:r>
              <w:rPr>
                <w:sz w:val="19"/>
              </w:rPr>
              <w:t>Требуется пересчёт</w:t>
            </w:r>
          </w:p>
        </w:tc>
        <w:tc>
          <w:tcPr>
            <w:tcW w:type="dxa" w:w="6463"/>
            <w:vAlign w:val="center"/>
            <w:shd w:fill="FFFFFF"/>
          </w:tcPr>
          <w:p>
            <w:pPr>
              <w:keepNext w:val="0"/>
              <w:spacing w:after="0" w:before="0" w:line="254" w:lineRule="auto"/>
              <w:jc w:val="left"/>
            </w:pPr>
            <w:r>
              <w:rPr>
                <w:sz w:val="19"/>
              </w:rPr>
              <w:t>Изменились состав, курс общей статьи или бюджет; создайте новую финансовую версию</w:t>
            </w:r>
          </w:p>
        </w:tc>
      </w:tr>
      <w:tr>
        <w:trPr>
          <w:cantSplit/>
        </w:trPr>
        <w:tc>
          <w:tcPr>
            <w:tcW w:type="dxa" w:w="3402"/>
            <w:vAlign w:val="center"/>
            <w:shd w:fill="FFFFFF"/>
          </w:tcPr>
          <w:p>
            <w:pPr>
              <w:keepNext w:val="0"/>
              <w:spacing w:after="0" w:before="0" w:line="254" w:lineRule="auto"/>
              <w:jc w:val="left"/>
            </w:pPr>
            <w:r>
              <w:rPr>
                <w:sz w:val="19"/>
              </w:rPr>
              <w:t>Не сохраняется после предпросмотра</w:t>
            </w:r>
          </w:p>
        </w:tc>
        <w:tc>
          <w:tcPr>
            <w:tcW w:type="dxa" w:w="6463"/>
            <w:vAlign w:val="center"/>
            <w:shd w:fill="FFFFFF"/>
          </w:tcPr>
          <w:p>
            <w:pPr>
              <w:keepNext w:val="0"/>
              <w:spacing w:after="0" w:before="0" w:line="254" w:lineRule="auto"/>
              <w:jc w:val="left"/>
            </w:pPr>
            <w:r>
              <w:rPr>
                <w:sz w:val="19"/>
              </w:rPr>
              <w:t>Повторите предварительный расчёт по обновлённому бюджету и данным</w:t>
            </w:r>
          </w:p>
        </w:tc>
      </w:tr>
      <w:tr>
        <w:trPr>
          <w:cantSplit/>
        </w:trPr>
        <w:tc>
          <w:tcPr>
            <w:tcW w:type="dxa" w:w="3402"/>
            <w:vAlign w:val="center"/>
            <w:shd w:fill="FFFFFF"/>
          </w:tcPr>
          <w:p>
            <w:pPr>
              <w:keepNext w:val="0"/>
              <w:spacing w:after="0" w:before="0" w:line="254" w:lineRule="auto"/>
              <w:jc w:val="left"/>
            </w:pPr>
            <w:r>
              <w:rPr>
                <w:sz w:val="19"/>
              </w:rPr>
              <w:t>Не вижу кнопку или финансовые суммы</w:t>
            </w:r>
          </w:p>
        </w:tc>
        <w:tc>
          <w:tcPr>
            <w:tcW w:type="dxa" w:w="6463"/>
            <w:vAlign w:val="center"/>
            <w:shd w:fill="FFFFFF"/>
          </w:tcPr>
          <w:p>
            <w:pPr>
              <w:keepNext w:val="0"/>
              <w:spacing w:after="0" w:before="0" w:line="254" w:lineRule="auto"/>
              <w:jc w:val="left"/>
            </w:pPr>
            <w:r>
              <w:rPr>
                <w:sz w:val="19"/>
              </w:rPr>
              <w:t>Роль, персональные права и доступ к конкретной компании или заявке</w:t>
            </w:r>
          </w:p>
        </w:tc>
      </w:tr>
      <w:tr>
        <w:trPr>
          <w:cantSplit/>
        </w:trPr>
        <w:tc>
          <w:tcPr>
            <w:tcW w:type="dxa" w:w="3402"/>
            <w:vAlign w:val="center"/>
            <w:shd w:fill="FFFFFF"/>
          </w:tcPr>
          <w:p>
            <w:pPr>
              <w:keepNext w:val="0"/>
              <w:spacing w:after="0" w:before="0" w:line="254" w:lineRule="auto"/>
              <w:jc w:val="left"/>
            </w:pPr>
            <w:r>
              <w:rPr>
                <w:sz w:val="19"/>
              </w:rPr>
              <w:t>Файл пока не скачивается</w:t>
            </w:r>
          </w:p>
        </w:tc>
        <w:tc>
          <w:tcPr>
            <w:tcW w:type="dxa" w:w="6463"/>
            <w:vAlign w:val="center"/>
            <w:shd w:fill="FFFFFF"/>
          </w:tcPr>
          <w:p>
            <w:pPr>
              <w:keepNext w:val="0"/>
              <w:spacing w:after="0" w:before="0" w:line="254" w:lineRule="auto"/>
              <w:jc w:val="left"/>
            </w:pPr>
            <w:r>
              <w:rPr>
                <w:sz w:val="19"/>
              </w:rPr>
              <w:t>Результат проверки файла и права на него</w:t>
            </w:r>
          </w:p>
        </w:tc>
      </w:tr>
      <w:tr>
        <w:trPr>
          <w:cantSplit/>
        </w:trPr>
        <w:tc>
          <w:tcPr>
            <w:tcW w:type="dxa" w:w="3402"/>
            <w:vAlign w:val="center"/>
            <w:shd w:fill="FFFFFF"/>
          </w:tcPr>
          <w:p>
            <w:pPr>
              <w:keepNext w:val="0"/>
              <w:spacing w:after="0" w:before="0" w:line="254" w:lineRule="auto"/>
              <w:jc w:val="left"/>
            </w:pPr>
            <w:r>
              <w:rPr>
                <w:sz w:val="19"/>
              </w:rPr>
              <w:t>В новом номере не начинается с 1</w:t>
            </w:r>
          </w:p>
        </w:tc>
        <w:tc>
          <w:tcPr>
            <w:tcW w:type="dxa" w:w="6463"/>
            <w:vAlign w:val="center"/>
            <w:shd w:fill="FFFFFF"/>
          </w:tcPr>
          <w:p>
            <w:pPr>
              <w:keepNext w:val="0"/>
              <w:spacing w:after="0" w:before="0" w:line="254" w:lineRule="auto"/>
              <w:jc w:val="left"/>
            </w:pPr>
            <w:r>
              <w:rPr>
                <w:sz w:val="19"/>
              </w:rPr>
              <w:t>Счётчик учитывает старые и архивные заявки; старые номера сохранены</w:t>
            </w:r>
          </w:p>
        </w:tc>
      </w:tr>
    </w:tbl>
    <w:p>
      <w:pPr>
        <w:spacing w:after="0" w:before="0" w:line="96" w:lineRule="auto"/>
      </w:pPr>
      <w:r>
        <w:rPr>
          <w:sz w:val="6"/>
        </w:rPr>
      </w:r>
    </w:p>
    <w:p>
      <w:pPr>
        <w:pStyle w:val="Heading2"/>
      </w:pPr>
      <w:r>
        <w:t>Перед выпуском нового КП</w:t>
      </w:r>
    </w:p>
    <w:p>
      <w:pPr>
        <w:pStyle w:val="ListBullet"/>
      </w:pPr>
      <w:r>
        <w:t>Верно выбраны покупатель, контакт, организация продавца и наши реквизиты.</w:t>
      </w:r>
    </w:p>
    <w:p>
      <w:pPr>
        <w:pStyle w:val="ListBullet"/>
      </w:pPr>
      <w:r>
        <w:t>Исходная потребность соответствует артикулу, товарной группе и фасовке квоты.</w:t>
      </w:r>
    </w:p>
    <w:p>
      <w:pPr>
        <w:pStyle w:val="ListBullet"/>
      </w:pPr>
      <w:r>
        <w:t>Цена относится к нужной упаковке; количество и срок подтверждены поставщиком.</w:t>
      </w:r>
    </w:p>
    <w:p>
      <w:pPr>
        <w:pStyle w:val="ListBullet"/>
      </w:pPr>
      <w:r>
        <w:t>Финансовый профиль опубликован, действителен; нужные курсы и диапазоны заполнены.</w:t>
      </w:r>
    </w:p>
    <w:p>
      <w:pPr>
        <w:pStyle w:val="ListBullet"/>
      </w:pPr>
      <w:r>
        <w:t>Плановая волна выбрана, состав и общий бюджет проверены; локальные расходы не смешаны с общими.</w:t>
      </w:r>
    </w:p>
    <w:p>
      <w:pPr>
        <w:pStyle w:val="ListBullet"/>
      </w:pPr>
      <w:r>
        <w:t>Режим вычета НДС согласован и правильно выбран.</w:t>
      </w:r>
    </w:p>
    <w:p>
      <w:pPr>
        <w:pStyle w:val="ListBullet"/>
      </w:pPr>
      <w:r>
        <w:t>Проверены наценка, бонус, комиссии и условия отсрочки в пределах ваших прав.</w:t>
      </w:r>
    </w:p>
    <w:p>
      <w:pPr>
        <w:pStyle w:val="ListBullet"/>
      </w:pPr>
      <w:r>
        <w:t>Предварительный расчёт повторён после последних изменений; актуальная версия записана.</w:t>
      </w:r>
    </w:p>
    <w:p>
      <w:pPr>
        <w:pStyle w:val="ListBullet"/>
      </w:pPr>
      <w:r>
        <w:t>Общий срок поставки соответствует договорённости с покупателем и отражён в документе.</w:t>
      </w:r>
    </w:p>
    <w:p>
      <w:pPr>
        <w:pStyle w:val="ListBullet"/>
      </w:pPr>
      <w:r>
        <w:t>В PDF или XLSX проверены количества, цена, валюта, НДС, реквизиты, логотип и условия.</w:t>
      </w:r>
    </w:p>
    <w:p>
      <w:pPr>
        <w:pStyle w:val="Heading2"/>
      </w:pPr>
      <w:r>
        <w:t>Перед отправкой и завершением поставки</w:t>
      </w:r>
    </w:p>
    <w:p>
      <w:pPr>
        <w:pStyle w:val="ListBullet"/>
      </w:pPr>
      <w:r>
        <w:t>Принят состав покупателя и действует согласование нужной версии.</w:t>
      </w:r>
    </w:p>
    <w:p>
      <w:pPr>
        <w:pStyle w:val="ListBullet"/>
      </w:pPr>
      <w:r>
        <w:t>Количество распределено в нужную волну без превышения принятого остатка.</w:t>
      </w:r>
    </w:p>
    <w:p>
      <w:pPr>
        <w:pStyle w:val="ListBullet"/>
      </w:pPr>
      <w:r>
        <w:t>Подтверждённые и распределённые платежи обеспечивают требуемое финансирование отправки.</w:t>
      </w:r>
    </w:p>
    <w:p>
      <w:pPr>
        <w:pStyle w:val="ListBullet"/>
      </w:pPr>
      <w:r>
        <w:t>Реальные события движения записаны с количеством и временем.</w:t>
      </w:r>
    </w:p>
    <w:p>
      <w:pPr>
        <w:pStyle w:val="ListBullet"/>
      </w:pPr>
      <w:r>
        <w:t>Сверены доставленный объём, задолженность, аванс и открытые претензии.</w:t>
      </w:r>
    </w:p>
    <w:p>
      <w:bookmarkStart w:id="15" w:name="chapter_15"/>
      <w:pPr>
        <w:pStyle w:val="Heading1"/>
      </w:pPr>
      <w:r>
        <w:t>Приложение. Термины</w:t>
      </w:r>
      <w:bookmarkEnd w:id="15"/>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10" w:type="dxa"/>
          <w:right w:w="110" w:type="dxa"/>
        </w:tblCellMar>
      </w:tblPr>
      <w:tblGrid>
        <w:gridCol w:w="3402"/>
        <w:gridCol w:w="6463"/>
      </w:tblGrid>
      <w:tr>
        <w:trPr>
          <w:cantSplit/>
          <w:tblHeader/>
        </w:trPr>
        <w:tc>
          <w:tcPr>
            <w:tcW w:type="dxa" w:w="3402"/>
            <w:vAlign w:val="center"/>
            <w:shd w:fill="DCE7F0"/>
          </w:tcPr>
          <w:p>
            <w:pPr>
              <w:keepNext/>
              <w:spacing w:after="0" w:before="0" w:line="254" w:lineRule="auto"/>
              <w:jc w:val="left"/>
            </w:pPr>
            <w:r>
              <w:rPr>
                <w:b/>
                <w:sz w:val="19"/>
              </w:rPr>
              <w:t>Термин</w:t>
            </w:r>
          </w:p>
        </w:tc>
        <w:tc>
          <w:tcPr>
            <w:tcW w:type="dxa" w:w="6463"/>
            <w:vAlign w:val="center"/>
            <w:shd w:fill="DCE7F0"/>
          </w:tcPr>
          <w:p>
            <w:pPr>
              <w:keepNext/>
              <w:spacing w:after="0" w:before="0" w:line="254" w:lineRule="auto"/>
              <w:jc w:val="left"/>
            </w:pPr>
            <w:r>
              <w:rPr>
                <w:b/>
                <w:sz w:val="19"/>
              </w:rPr>
              <w:t>Значение</w:t>
            </w:r>
          </w:p>
        </w:tc>
      </w:tr>
      <w:tr>
        <w:trPr>
          <w:cantSplit/>
        </w:trPr>
        <w:tc>
          <w:tcPr>
            <w:tcW w:type="dxa" w:w="3402"/>
            <w:vAlign w:val="center"/>
            <w:shd w:fill="FFFFFF"/>
          </w:tcPr>
          <w:p>
            <w:pPr>
              <w:keepNext w:val="0"/>
              <w:spacing w:after="0" w:before="0" w:line="254" w:lineRule="auto"/>
              <w:jc w:val="left"/>
            </w:pPr>
            <w:r>
              <w:rPr>
                <w:sz w:val="19"/>
              </w:rPr>
              <w:t>Исходная потребность</w:t>
            </w:r>
          </w:p>
        </w:tc>
        <w:tc>
          <w:tcPr>
            <w:tcW w:type="dxa" w:w="6463"/>
            <w:vAlign w:val="center"/>
            <w:shd w:fill="FFFFFF"/>
          </w:tcPr>
          <w:p>
            <w:pPr>
              <w:keepNext w:val="0"/>
              <w:spacing w:after="0" w:before="0" w:line="254" w:lineRule="auto"/>
              <w:jc w:val="left"/>
            </w:pPr>
            <w:r>
              <w:rPr>
                <w:sz w:val="19"/>
              </w:rPr>
              <w:t>Таблица или описание того, что покупатель запросил до уточнения товара</w:t>
            </w:r>
          </w:p>
        </w:tc>
      </w:tr>
      <w:tr>
        <w:trPr>
          <w:cantSplit/>
        </w:trPr>
        <w:tc>
          <w:tcPr>
            <w:tcW w:type="dxa" w:w="3402"/>
            <w:vAlign w:val="center"/>
            <w:shd w:fill="FFFFFF"/>
          </w:tcPr>
          <w:p>
            <w:pPr>
              <w:keepNext w:val="0"/>
              <w:spacing w:after="0" w:before="0" w:line="254" w:lineRule="auto"/>
              <w:jc w:val="left"/>
            </w:pPr>
            <w:r>
              <w:rPr>
                <w:sz w:val="19"/>
              </w:rPr>
              <w:t>Номенклатура</w:t>
            </w:r>
          </w:p>
        </w:tc>
        <w:tc>
          <w:tcPr>
            <w:tcW w:type="dxa" w:w="6463"/>
            <w:vAlign w:val="center"/>
            <w:shd w:fill="FFFFFF"/>
          </w:tcPr>
          <w:p>
            <w:pPr>
              <w:keepNext w:val="0"/>
              <w:spacing w:after="0" w:before="0" w:line="254" w:lineRule="auto"/>
              <w:jc w:val="left"/>
            </w:pPr>
            <w:r>
              <w:rPr>
                <w:sz w:val="19"/>
              </w:rPr>
              <w:t>Конкретный товар с артикулом, производителем, характеристиками и группой</w:t>
            </w:r>
          </w:p>
        </w:tc>
      </w:tr>
      <w:tr>
        <w:trPr>
          <w:cantSplit/>
        </w:trPr>
        <w:tc>
          <w:tcPr>
            <w:tcW w:type="dxa" w:w="3402"/>
            <w:vAlign w:val="center"/>
            <w:shd w:fill="FFFFFF"/>
          </w:tcPr>
          <w:p>
            <w:pPr>
              <w:keepNext w:val="0"/>
              <w:spacing w:after="0" w:before="0" w:line="254" w:lineRule="auto"/>
              <w:jc w:val="left"/>
            </w:pPr>
            <w:r>
              <w:rPr>
                <w:sz w:val="19"/>
              </w:rPr>
              <w:t>Фасовка</w:t>
            </w:r>
          </w:p>
        </w:tc>
        <w:tc>
          <w:tcPr>
            <w:tcW w:type="dxa" w:w="6463"/>
            <w:vAlign w:val="center"/>
            <w:shd w:fill="FFFFFF"/>
          </w:tcPr>
          <w:p>
            <w:pPr>
              <w:keepNext w:val="0"/>
              <w:spacing w:after="0" w:before="0" w:line="254" w:lineRule="auto"/>
              <w:jc w:val="left"/>
            </w:pPr>
            <w:r>
              <w:rPr>
                <w:sz w:val="19"/>
              </w:rPr>
              <w:t>Одна упаковка товара с числом и единицей, к которой относится цена</w:t>
            </w:r>
          </w:p>
        </w:tc>
      </w:tr>
      <w:tr>
        <w:trPr>
          <w:cantSplit/>
        </w:trPr>
        <w:tc>
          <w:tcPr>
            <w:tcW w:type="dxa" w:w="3402"/>
            <w:vAlign w:val="center"/>
            <w:shd w:fill="FFFFFF"/>
          </w:tcPr>
          <w:p>
            <w:pPr>
              <w:keepNext w:val="0"/>
              <w:spacing w:after="0" w:before="0" w:line="254" w:lineRule="auto"/>
              <w:jc w:val="left"/>
            </w:pPr>
            <w:r>
              <w:rPr>
                <w:sz w:val="19"/>
              </w:rPr>
              <w:t>Квота</w:t>
            </w:r>
          </w:p>
        </w:tc>
        <w:tc>
          <w:tcPr>
            <w:tcW w:type="dxa" w:w="6463"/>
            <w:vAlign w:val="center"/>
            <w:shd w:fill="FFFFFF"/>
          </w:tcPr>
          <w:p>
            <w:pPr>
              <w:keepNext w:val="0"/>
              <w:spacing w:after="0" w:before="0" w:line="254" w:lineRule="auto"/>
              <w:jc w:val="left"/>
            </w:pPr>
            <w:r>
              <w:rPr>
                <w:sz w:val="19"/>
              </w:rPr>
              <w:t>Зафиксированное предложение конкретного поставщика</w:t>
            </w:r>
          </w:p>
        </w:tc>
      </w:tr>
      <w:tr>
        <w:trPr>
          <w:cantSplit/>
        </w:trPr>
        <w:tc>
          <w:tcPr>
            <w:tcW w:type="dxa" w:w="3402"/>
            <w:vAlign w:val="center"/>
            <w:shd w:fill="FFFFFF"/>
          </w:tcPr>
          <w:p>
            <w:pPr>
              <w:keepNext w:val="0"/>
              <w:spacing w:after="0" w:before="0" w:line="254" w:lineRule="auto"/>
              <w:jc w:val="left"/>
            </w:pPr>
            <w:r>
              <w:rPr>
                <w:sz w:val="19"/>
              </w:rPr>
              <w:t>Таможенная стоимость</w:t>
            </w:r>
          </w:p>
        </w:tc>
        <w:tc>
          <w:tcPr>
            <w:tcW w:type="dxa" w:w="6463"/>
            <w:vAlign w:val="center"/>
            <w:shd w:fill="FFFFFF"/>
          </w:tcPr>
          <w:p>
            <w:pPr>
              <w:keepNext w:val="0"/>
              <w:spacing w:after="0" w:before="0" w:line="254" w:lineRule="auto"/>
              <w:jc w:val="left"/>
            </w:pPr>
            <w:r>
              <w:rPr>
                <w:sz w:val="19"/>
              </w:rPr>
              <w:t>Закупка в RUB плюс международная логистика, включённая в себестоимость в текущей модели</w:t>
            </w:r>
          </w:p>
        </w:tc>
      </w:tr>
      <w:tr>
        <w:trPr>
          <w:cantSplit/>
        </w:trPr>
        <w:tc>
          <w:tcPr>
            <w:tcW w:type="dxa" w:w="3402"/>
            <w:vAlign w:val="center"/>
            <w:shd w:fill="FFFFFF"/>
          </w:tcPr>
          <w:p>
            <w:pPr>
              <w:keepNext w:val="0"/>
              <w:spacing w:after="0" w:before="0" w:line="254" w:lineRule="auto"/>
              <w:jc w:val="left"/>
            </w:pPr>
            <w:r>
              <w:rPr>
                <w:sz w:val="19"/>
              </w:rPr>
              <w:t>Пошлина</w:t>
            </w:r>
          </w:p>
        </w:tc>
        <w:tc>
          <w:tcPr>
            <w:tcW w:type="dxa" w:w="6463"/>
            <w:vAlign w:val="center"/>
            <w:shd w:fill="FFFFFF"/>
          </w:tcPr>
          <w:p>
            <w:pPr>
              <w:keepNext w:val="0"/>
              <w:spacing w:after="0" w:before="0" w:line="254" w:lineRule="auto"/>
              <w:jc w:val="left"/>
            </w:pPr>
            <w:r>
              <w:rPr>
                <w:sz w:val="19"/>
              </w:rPr>
              <w:t>Сумма по правилу товарной группы</w:t>
            </w:r>
          </w:p>
        </w:tc>
      </w:tr>
      <w:tr>
        <w:trPr>
          <w:cantSplit/>
        </w:trPr>
        <w:tc>
          <w:tcPr>
            <w:tcW w:type="dxa" w:w="3402"/>
            <w:vAlign w:val="center"/>
            <w:shd w:fill="FFFFFF"/>
          </w:tcPr>
          <w:p>
            <w:pPr>
              <w:keepNext w:val="0"/>
              <w:spacing w:after="0" w:before="0" w:line="254" w:lineRule="auto"/>
              <w:jc w:val="left"/>
            </w:pPr>
            <w:r>
              <w:rPr>
                <w:sz w:val="19"/>
              </w:rPr>
              <w:t>Таможенный сбор</w:t>
            </w:r>
          </w:p>
        </w:tc>
        <w:tc>
          <w:tcPr>
            <w:tcW w:type="dxa" w:w="6463"/>
            <w:vAlign w:val="center"/>
            <w:shd w:fill="FFFFFF"/>
          </w:tcPr>
          <w:p>
            <w:pPr>
              <w:keepNext w:val="0"/>
              <w:spacing w:after="0" w:before="0" w:line="254" w:lineRule="auto"/>
              <w:jc w:val="left"/>
            </w:pPr>
            <w:r>
              <w:rPr>
                <w:sz w:val="19"/>
              </w:rPr>
              <w:t>Сумма из диапазона профиля, рассчитанная для волны и распределённая по количеству</w:t>
            </w:r>
          </w:p>
        </w:tc>
      </w:tr>
      <w:tr>
        <w:trPr>
          <w:cantSplit/>
        </w:trPr>
        <w:tc>
          <w:tcPr>
            <w:tcW w:type="dxa" w:w="3402"/>
            <w:vAlign w:val="center"/>
            <w:shd w:fill="FFFFFF"/>
          </w:tcPr>
          <w:p>
            <w:pPr>
              <w:keepNext w:val="0"/>
              <w:spacing w:after="0" w:before="0" w:line="254" w:lineRule="auto"/>
              <w:jc w:val="left"/>
            </w:pPr>
            <w:r>
              <w:rPr>
                <w:sz w:val="19"/>
              </w:rPr>
              <w:t>Чистая стоимость</w:t>
            </w:r>
          </w:p>
        </w:tc>
        <w:tc>
          <w:tcPr>
            <w:tcW w:type="dxa" w:w="6463"/>
            <w:vAlign w:val="center"/>
            <w:shd w:fill="FFFFFF"/>
          </w:tcPr>
          <w:p>
            <w:pPr>
              <w:keepNext w:val="0"/>
              <w:spacing w:after="0" w:before="0" w:line="254" w:lineRule="auto"/>
              <w:jc w:val="left"/>
            </w:pPr>
            <w:r>
              <w:rPr>
                <w:sz w:val="19"/>
              </w:rPr>
              <w:t>Таможенная стоимость плюс пошлина и ввозной НДС в режиме без вычета; база наценки</w:t>
            </w:r>
          </w:p>
        </w:tc>
      </w:tr>
      <w:tr>
        <w:trPr>
          <w:cantSplit/>
        </w:trPr>
        <w:tc>
          <w:tcPr>
            <w:tcW w:type="dxa" w:w="3402"/>
            <w:vAlign w:val="center"/>
            <w:shd w:fill="FFFFFF"/>
          </w:tcPr>
          <w:p>
            <w:pPr>
              <w:keepNext w:val="0"/>
              <w:spacing w:after="0" w:before="0" w:line="254" w:lineRule="auto"/>
              <w:jc w:val="left"/>
            </w:pPr>
            <w:r>
              <w:rPr>
                <w:sz w:val="19"/>
              </w:rPr>
              <w:t>Снимок расчёта</w:t>
            </w:r>
          </w:p>
        </w:tc>
        <w:tc>
          <w:tcPr>
            <w:tcW w:type="dxa" w:w="6463"/>
            <w:vAlign w:val="center"/>
            <w:shd w:fill="FFFFFF"/>
          </w:tcPr>
          <w:p>
            <w:pPr>
              <w:keepNext w:val="0"/>
              <w:spacing w:after="0" w:before="0" w:line="254" w:lineRule="auto"/>
              <w:jc w:val="left"/>
            </w:pPr>
            <w:r>
              <w:rPr>
                <w:sz w:val="19"/>
              </w:rPr>
              <w:t>Сохранённые входные данные, профиль и результат конкретной версии</w:t>
            </w:r>
          </w:p>
        </w:tc>
      </w:tr>
      <w:tr>
        <w:trPr>
          <w:cantSplit/>
        </w:trPr>
        <w:tc>
          <w:tcPr>
            <w:tcW w:type="dxa" w:w="3402"/>
            <w:vAlign w:val="center"/>
            <w:shd w:fill="FFFFFF"/>
          </w:tcPr>
          <w:p>
            <w:pPr>
              <w:keepNext w:val="0"/>
              <w:spacing w:after="0" w:before="0" w:line="254" w:lineRule="auto"/>
              <w:jc w:val="left"/>
            </w:pPr>
            <w:r>
              <w:rPr>
                <w:sz w:val="19"/>
              </w:rPr>
              <w:t>Волна</w:t>
            </w:r>
          </w:p>
        </w:tc>
        <w:tc>
          <w:tcPr>
            <w:tcW w:type="dxa" w:w="6463"/>
            <w:vAlign w:val="center"/>
            <w:shd w:fill="FFFFFF"/>
          </w:tcPr>
          <w:p>
            <w:pPr>
              <w:keepNext w:val="0"/>
              <w:spacing w:after="0" w:before="0" w:line="254" w:lineRule="auto"/>
              <w:jc w:val="left"/>
            </w:pPr>
            <w:r>
              <w:rPr>
                <w:sz w:val="19"/>
              </w:rPr>
              <w:t>Общий план и состав товаров для совместного перемещения</w:t>
            </w:r>
          </w:p>
        </w:tc>
      </w:tr>
      <w:tr>
        <w:trPr>
          <w:cantSplit/>
        </w:trPr>
        <w:tc>
          <w:tcPr>
            <w:tcW w:type="dxa" w:w="3402"/>
            <w:vAlign w:val="center"/>
            <w:shd w:fill="FFFFFF"/>
          </w:tcPr>
          <w:p>
            <w:pPr>
              <w:keepNext w:val="0"/>
              <w:spacing w:after="0" w:before="0" w:line="254" w:lineRule="auto"/>
              <w:jc w:val="left"/>
            </w:pPr>
            <w:r>
              <w:rPr>
                <w:sz w:val="19"/>
              </w:rPr>
              <w:t>Позиция исполнения</w:t>
            </w:r>
          </w:p>
        </w:tc>
        <w:tc>
          <w:tcPr>
            <w:tcW w:type="dxa" w:w="6463"/>
            <w:vAlign w:val="center"/>
            <w:shd w:fill="FFFFFF"/>
          </w:tcPr>
          <w:p>
            <w:pPr>
              <w:keepNext w:val="0"/>
              <w:spacing w:after="0" w:before="0" w:line="254" w:lineRule="auto"/>
              <w:jc w:val="left"/>
            </w:pPr>
            <w:r>
              <w:rPr>
                <w:sz w:val="19"/>
              </w:rPr>
              <w:t>Принятое покупателем количество, по которому ведутся согласование и поставка</w:t>
            </w:r>
          </w:p>
        </w:tc>
      </w:tr>
      <w:tr>
        <w:trPr>
          <w:cantSplit/>
        </w:trPr>
        <w:tc>
          <w:tcPr>
            <w:tcW w:type="dxa" w:w="3402"/>
            <w:vAlign w:val="center"/>
            <w:shd w:fill="FFFFFF"/>
          </w:tcPr>
          <w:p>
            <w:pPr>
              <w:keepNext w:val="0"/>
              <w:spacing w:after="0" w:before="0" w:line="254" w:lineRule="auto"/>
              <w:jc w:val="left"/>
            </w:pPr>
            <w:r>
              <w:rPr>
                <w:sz w:val="19"/>
              </w:rPr>
              <w:t>Денежная потребность</w:t>
            </w:r>
          </w:p>
        </w:tc>
        <w:tc>
          <w:tcPr>
            <w:tcW w:type="dxa" w:w="6463"/>
            <w:vAlign w:val="center"/>
            <w:shd w:fill="FFFFFF"/>
          </w:tcPr>
          <w:p>
            <w:pPr>
              <w:keepNext w:val="0"/>
              <w:spacing w:after="0" w:before="0" w:line="254" w:lineRule="auto"/>
              <w:jc w:val="left"/>
            </w:pPr>
            <w:r>
              <w:rPr>
                <w:sz w:val="19"/>
              </w:rPr>
              <w:t>Расчётная сумма средств для закупки и затрат, включая сам ввозной НДС</w:t>
            </w:r>
          </w:p>
        </w:tc>
      </w:tr>
    </w:tbl>
    <w:p>
      <w:pPr>
        <w:spacing w:after="0" w:before="0" w:line="96" w:lineRule="auto"/>
      </w:pPr>
      <w:r>
        <w:rPr>
          <w:sz w:val="6"/>
        </w:rPr>
      </w:r>
    </w:p>
    <w:sectPr w:rsidR="00FC693F" w:rsidRPr="0006063C" w:rsidSect="00034616">
      <w:headerReference w:type="default" r:id="rId9"/>
      <w:footerReference w:type="default" r:id="rId10"/>
      <w:pgSz w:w="11906" w:h="16838"/>
      <w:pgMar w:top="1020" w:right="1020" w:bottom="1020" w:left="1020"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865" w:val="right"/>
      </w:tabs>
      <w:spacing w:after="0"/>
    </w:pPr>
    <w:r>
      <w:rPr>
        <w:sz w:val="16"/>
      </w:rPr>
      <w:t>Редакция 2 · 2 октября 2026 года</w:t>
      <w:tab/>
    </w:r>
    <w:fldSimple w:instr="PAGE">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pPr>
    <w:r>
      <w:rPr>
        <w:sz w:val="16"/>
      </w:rPr>
      <w:t>Реактив CRM · Руководство пользователя</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lvl w:ilvl="0">
      <w:start w:val="1"/>
      <w:numFmt w:val="decimal"/>
      <w:lvlText w:val="%1."/>
      <w:lvlJc w:val="left"/>
      <w:pPr>
        <w:ind w:left="425" w:hanging="425"/>
        <w:tabs>
          <w:tab w:val="num" w:pos="425"/>
        </w:tabs>
      </w:pPr>
    </w:lvl>
  </w:abstractNum>
  <w:num w:numId="10">
    <w:abstractNumId w:val="9"/>
  </w:num>
  <w:abstractNum w:abstractNumId="10">
    <w:lvl w:ilvl="0">
      <w:start w:val="1"/>
      <w:numFmt w:val="decimal"/>
      <w:lvlText w:val="%1."/>
      <w:lvlJc w:val="left"/>
      <w:pPr>
        <w:ind w:left="425" w:hanging="425"/>
        <w:tabs>
          <w:tab w:val="num" w:pos="425"/>
        </w:tabs>
      </w:pPr>
    </w:lvl>
  </w:abstractNum>
  <w:num w:numId="11">
    <w:abstractNumId w:val="10"/>
  </w:num>
  <w:abstractNum w:abstractNumId="11">
    <w:lvl w:ilvl="0">
      <w:start w:val="1"/>
      <w:numFmt w:val="decimal"/>
      <w:lvlText w:val="%1."/>
      <w:lvlJc w:val="left"/>
      <w:pPr>
        <w:ind w:left="425" w:hanging="425"/>
        <w:tabs>
          <w:tab w:val="num" w:pos="425"/>
        </w:tabs>
      </w:pPr>
    </w:lvl>
  </w:abstractNum>
  <w:num w:numId="12">
    <w:abstractNumId w:val="11"/>
  </w:num>
  <w:abstractNum w:abstractNumId="12">
    <w:lvl w:ilvl="0">
      <w:start w:val="1"/>
      <w:numFmt w:val="decimal"/>
      <w:lvlText w:val="%1."/>
      <w:lvlJc w:val="left"/>
      <w:pPr>
        <w:ind w:left="425" w:hanging="425"/>
        <w:tabs>
          <w:tab w:val="num" w:pos="425"/>
        </w:tabs>
      </w:pPr>
    </w:lvl>
  </w:abstractNum>
  <w:num w:numId="13">
    <w:abstractNumId w:val="12"/>
  </w:num>
  <w:abstractNum w:abstractNumId="13">
    <w:lvl w:ilvl="0">
      <w:start w:val="1"/>
      <w:numFmt w:val="decimal"/>
      <w:lvlText w:val="%1."/>
      <w:lvlJc w:val="left"/>
      <w:pPr>
        <w:ind w:left="425" w:hanging="425"/>
        <w:tabs>
          <w:tab w:val="num" w:pos="425"/>
        </w:tabs>
      </w:pPr>
    </w:lvl>
  </w:abstractNum>
  <w:num w:numId="14">
    <w:abstractNumId w:val="13"/>
  </w:num>
  <w:abstractNum w:abstractNumId="14">
    <w:lvl w:ilvl="0">
      <w:start w:val="1"/>
      <w:numFmt w:val="decimal"/>
      <w:lvlText w:val="%1."/>
      <w:lvlJc w:val="left"/>
      <w:pPr>
        <w:ind w:left="425" w:hanging="425"/>
        <w:tabs>
          <w:tab w:val="num" w:pos="425"/>
        </w:tabs>
      </w:pPr>
    </w:lvl>
  </w:abstractNum>
  <w:num w:numId="15">
    <w:abstractNumId w:val="14"/>
  </w:num>
  <w:abstractNum w:abstractNumId="15">
    <w:lvl w:ilvl="0">
      <w:start w:val="1"/>
      <w:numFmt w:val="decimal"/>
      <w:lvlText w:val="%1."/>
      <w:lvlJc w:val="left"/>
      <w:pPr>
        <w:ind w:left="425" w:hanging="425"/>
        <w:tabs>
          <w:tab w:val="num" w:pos="425"/>
        </w:tabs>
      </w:pPr>
    </w:lvl>
  </w:abstractNum>
  <w:num w:numId="16">
    <w:abstractNumId w:val="15"/>
  </w:num>
  <w:abstractNum w:abstractNumId="16">
    <w:lvl w:ilvl="0">
      <w:start w:val="1"/>
      <w:numFmt w:val="decimal"/>
      <w:lvlText w:val="%1."/>
      <w:lvlJc w:val="left"/>
      <w:pPr>
        <w:ind w:left="425" w:hanging="425"/>
        <w:tabs>
          <w:tab w:val="num" w:pos="425"/>
        </w:tabs>
      </w:pPr>
    </w:lvl>
  </w:abstractNum>
  <w:num w:numId="17">
    <w:abstractNumId w:val="16"/>
  </w:num>
  <w:abstractNum w:abstractNumId="17">
    <w:lvl w:ilvl="0">
      <w:start w:val="1"/>
      <w:numFmt w:val="decimal"/>
      <w:lvlText w:val="%1."/>
      <w:lvlJc w:val="left"/>
      <w:pPr>
        <w:ind w:left="425" w:hanging="425"/>
        <w:tabs>
          <w:tab w:val="num" w:pos="425"/>
        </w:tabs>
      </w:pPr>
    </w:lvl>
  </w:abstractNum>
  <w:num w:numId="18">
    <w:abstractNumId w:val="17"/>
  </w:num>
  <w:abstractNum w:abstractNumId="18">
    <w:lvl w:ilvl="0">
      <w:start w:val="1"/>
      <w:numFmt w:val="decimal"/>
      <w:lvlText w:val="%1."/>
      <w:lvlJc w:val="left"/>
      <w:pPr>
        <w:ind w:left="425" w:hanging="425"/>
        <w:tabs>
          <w:tab w:val="num" w:pos="425"/>
        </w:tabs>
      </w:pPr>
    </w:lvl>
  </w:abstractNum>
  <w:num w:numId="19">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64" w:lineRule="auto"/>
    </w:pPr>
    <w:rPr>
      <w:rFonts w:ascii="Arial" w:hAnsi="Arial" w:eastAsia="Arial" w:cs="Arial"/>
      <w:i w:val="0"/>
      <w:color w:val="000000"/>
      <w:sz w:val="21"/>
      <w:u w:val="none"/>
      <w:rFont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300" w:after="140" w:line="250" w:lineRule="auto"/>
      <w:outlineLvl w:val="0"/>
    </w:pPr>
    <w:rPr>
      <w:rFonts w:asciiTheme="majorHAnsi" w:eastAsiaTheme="majorEastAsia" w:hAnsiTheme="majorHAnsi" w:cstheme="majorBidi" w:ascii="Arial" w:hAnsi="Arial" w:eastAsia="Arial" w:cs="Arial"/>
      <w:b/>
      <w:bCs/>
      <w:i w:val="0"/>
      <w:color w:val="000000"/>
      <w:sz w:val="34"/>
      <w:szCs w:val="28"/>
      <w:u w:val="none"/>
      <w:rFonts/>
    </w:rPr>
  </w:style>
  <w:style w:type="paragraph" w:styleId="Heading2">
    <w:name w:val="heading 2"/>
    <w:basedOn w:val="Normal"/>
    <w:next w:val="Normal"/>
    <w:link w:val="Heading2Char"/>
    <w:uiPriority w:val="9"/>
    <w:unhideWhenUsed/>
    <w:qFormat/>
    <w:rsid w:val="00FC693F"/>
    <w:pPr>
      <w:keepNext/>
      <w:keepLines/>
      <w:widowControl/>
      <w:spacing w:before="200" w:after="100" w:line="250" w:lineRule="auto"/>
      <w:outlineLvl w:val="1"/>
    </w:pPr>
    <w:rPr>
      <w:rFonts w:asciiTheme="majorHAnsi" w:eastAsiaTheme="majorEastAsia" w:hAnsiTheme="majorHAnsi" w:cstheme="majorBidi" w:ascii="Arial" w:hAnsi="Arial" w:eastAsia="Arial" w:cs="Arial"/>
      <w:b/>
      <w:bCs/>
      <w:i w:val="0"/>
      <w:color w:val="000000"/>
      <w:sz w:val="24"/>
      <w:szCs w:val="26"/>
      <w:u w:val="none"/>
      <w:rFonts/>
    </w:rPr>
  </w:style>
  <w:style w:type="paragraph" w:styleId="Heading3">
    <w:name w:val="heading 3"/>
    <w:basedOn w:val="Normal"/>
    <w:next w:val="Normal"/>
    <w:link w:val="Heading3Char"/>
    <w:uiPriority w:val="9"/>
    <w:unhideWhenUsed/>
    <w:qFormat/>
    <w:rsid w:val="00FC693F"/>
    <w:pPr>
      <w:keepNext/>
      <w:keepLines/>
      <w:widowControl/>
      <w:spacing w:before="160" w:after="80" w:line="250" w:lineRule="auto"/>
      <w:outlineLvl w:val="2"/>
    </w:pPr>
    <w:rPr>
      <w:rFonts w:asciiTheme="majorHAnsi" w:eastAsiaTheme="majorEastAsia" w:hAnsiTheme="majorHAnsi" w:cstheme="majorBidi" w:ascii="Arial" w:hAnsi="Arial" w:eastAsia="Arial" w:cs="Arial"/>
      <w:b/>
      <w:bCs/>
      <w:i w:val="0"/>
      <w:color w:val="000000"/>
      <w:sz w:val="22"/>
      <w:u w:val="none"/>
      <w:rFont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keepLines/>
      <w:widowControl/>
      <w:spacing w:after="240" w:line="250" w:lineRule="auto" w:before="80"/>
      <w:contextualSpacing/>
    </w:pPr>
    <w:rPr>
      <w:rFonts w:asciiTheme="majorHAnsi" w:eastAsiaTheme="majorEastAsia" w:hAnsiTheme="majorHAnsi" w:cstheme="majorBidi" w:ascii="Arial" w:hAnsi="Arial" w:eastAsia="Arial" w:cs="Arial"/>
      <w:b/>
      <w:i w:val="0"/>
      <w:color w:val="000000"/>
      <w:spacing w:val="5"/>
      <w:kern w:val="28"/>
      <w:sz w:val="50"/>
      <w:szCs w:val="52"/>
      <w:u w:val="none"/>
      <w:rFonts/>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keepLines/>
      <w:widowControl/>
      <w:numPr>
        <w:ilvl w:val="1"/>
      </w:numPr>
      <w:spacing w:before="0" w:after="200" w:line="250" w:lineRule="auto"/>
    </w:pPr>
    <w:rPr>
      <w:rFonts w:asciiTheme="majorHAnsi" w:eastAsiaTheme="majorEastAsia" w:hAnsiTheme="majorHAnsi" w:cstheme="majorBidi" w:ascii="Arial" w:hAnsi="Arial" w:eastAsia="Arial" w:cs="Arial"/>
      <w:b/>
      <w:i w:val="0"/>
      <w:iCs/>
      <w:color w:val="000000"/>
      <w:spacing w:val="15"/>
      <w:sz w:val="26"/>
      <w:szCs w:val="24"/>
      <w:u w:val="none"/>
      <w:rFonts/>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widowControl/>
      <w:numPr>
        <w:numId w:val="1"/>
      </w:numPr>
      <w:spacing w:after="80" w:line="259" w:lineRule="auto"/>
      <w:ind w:left="425" w:hanging="425"/>
      <w:contextualSpacing/>
    </w:pPr>
    <w:rPr>
      <w:rFonts w:ascii="Arial" w:hAnsi="Arial" w:eastAsia="Arial" w:cs="Arial"/>
      <w:i w:val="0"/>
      <w:color w:val="000000"/>
      <w:sz w:val="21"/>
      <w:u w:val="none"/>
      <w:rFonts/>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widowControl/>
      <w:numPr>
        <w:numId w:val="5"/>
      </w:numPr>
      <w:spacing w:after="80" w:line="259" w:lineRule="auto"/>
      <w:ind w:left="425" w:hanging="425"/>
      <w:contextualSpacing/>
    </w:pPr>
    <w:rPr>
      <w:rFonts w:ascii="Arial" w:hAnsi="Arial" w:eastAsia="Arial" w:cs="Arial"/>
      <w:i w:val="0"/>
      <w:color w:val="000000"/>
      <w:sz w:val="21"/>
      <w:u w:val="none"/>
      <w:rFonts/>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Руководство пользователя Реактив CRM</dc:title>
  <dc:subject>Основные бизнес процессы и расчёты с обновлениями октября 2026</dc:subject>
  <dc:creator>Реактив CRM</dc:creator>
  <cp:keywords/>
  <dc:description/>
  <cp:lastModifiedBy>Реактив CRM</cp:lastModifiedBy>
  <cp:revision>1</cp:revision>
  <dcterms:created xsi:type="dcterms:W3CDTF">2013-12-23T23:15:00Z</dcterms:created>
  <dcterms:modified xsi:type="dcterms:W3CDTF">2013-12-23T23:15:00Z</dcterms:modified>
  <cp:category/>
  <cp:version>2.0</cp:version>
</cp:coreProperties>
</file>