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CRM для продаж и закупок химической продукции</w:t>
      </w:r>
    </w:p>
    <w:p>
      <w:r>
        <w:rPr>
          <w:b w:val="0"/>
          <w:sz w:val="18"/>
        </w:rPr>
        <w:t>Версия 1.0 для согласования • 11 сентября 2026 года</w:t>
      </w:r>
    </w:p>
    <w:p>
      <w:r>
        <w:rPr>
          <w:b w:val="0"/>
        </w:rPr>
        <w:t>Основание — предоставленная заказчиком расшифровка 1.txt. Название компании, ответственный за утверждение и исполнитель заполняются при согласовании. Документ предназначен для владельцев бизнеса, аналитика, разработчиков и QA-инженера.</w:t>
      </w:r>
    </w:p>
    <w:p>
      <w:r>
        <w:rPr>
          <w:b w:val="0"/>
        </w:rPr>
        <w:t>Система должна объединить работу с клиентами, обзвон, запросы на химическую продукцию, предложения поставщиков, расчёты стоимости, коммерческие предложения, счета, оплаты и поставки. Центральный объект — заявка клиента, из которой доступны все связанные позиции, документы, расчёты и события. По исходному описанию в компании три учредителя и два менеджера по продажам; требуется возможность увеличивать число сотрудников.</w:t>
      </w:r>
    </w:p>
    <w:p>
      <w:r>
        <w:rPr>
          <w:b w:val="0"/>
        </w:rPr>
        <w:t>Ключевой результат внедрения — единая актуальная история работы по каждой заявке и возможность проверить происхождение каждой цены, документа и решения. Руководитель контролирует продажи и распределяет оплаченные позиции по волнам поставки. Менеджер работает в одном интерфейсе и видит следующее действие по своим клиентам.</w:t>
      </w:r>
    </w:p>
    <w:p>
      <w:pPr>
        <w:pStyle w:val="Heading2"/>
      </w:pPr>
      <w:r>
        <w:t>Содержание</w:t>
      </w:r>
    </w:p>
    <w:p>
      <w:pPr>
        <w:spacing w:after="20" w:line="240" w:lineRule="auto"/>
      </w:pPr>
      <w:hyperlink w:anchor="section_1">
        <w:r>
          <w:rPr>
            <w:rFonts w:ascii="DejaVu Sans" w:hAnsi="DejaVu Sans"/>
            <w:color w:val="000000"/>
            <w:sz w:val="18"/>
          </w:rPr>
          <w:t>1  Статус требований и правила использования</w:t>
        </w:r>
      </w:hyperlink>
    </w:p>
    <w:p>
      <w:pPr>
        <w:spacing w:after="20" w:line="240" w:lineRule="auto"/>
      </w:pPr>
      <w:hyperlink w:anchor="section_2">
        <w:r>
          <w:rPr>
            <w:rFonts w:ascii="DejaVu Sans" w:hAnsi="DejaVu Sans"/>
            <w:color w:val="000000"/>
            <w:sz w:val="18"/>
          </w:rPr>
          <w:t>2  Реестр исходных требований</w:t>
        </w:r>
      </w:hyperlink>
    </w:p>
    <w:p>
      <w:pPr>
        <w:spacing w:after="20" w:line="240" w:lineRule="auto"/>
      </w:pPr>
      <w:hyperlink w:anchor="section_3">
        <w:r>
          <w:rPr>
            <w:rFonts w:ascii="DejaVu Sans" w:hAnsi="DejaVu Sans"/>
            <w:color w:val="000000"/>
            <w:sz w:val="18"/>
          </w:rPr>
          <w:t>3  Границы решения и очереди реализации</w:t>
        </w:r>
      </w:hyperlink>
    </w:p>
    <w:p>
      <w:pPr>
        <w:spacing w:after="20" w:line="240" w:lineRule="auto"/>
      </w:pPr>
      <w:hyperlink w:anchor="section_4">
        <w:r>
          <w:rPr>
            <w:rFonts w:ascii="DejaVu Sans" w:hAnsi="DejaVu Sans"/>
            <w:color w:val="000000"/>
            <w:sz w:val="18"/>
          </w:rPr>
          <w:t>4  Пользователи и права доступа</w:t>
        </w:r>
      </w:hyperlink>
    </w:p>
    <w:p>
      <w:pPr>
        <w:spacing w:after="20" w:line="240" w:lineRule="auto"/>
      </w:pPr>
      <w:hyperlink w:anchor="section_5">
        <w:r>
          <w:rPr>
            <w:rFonts w:ascii="DejaVu Sans" w:hAnsi="DejaVu Sans"/>
            <w:color w:val="000000"/>
            <w:sz w:val="18"/>
          </w:rPr>
          <w:t>5  Сквозной процесс и состояния</w:t>
        </w:r>
      </w:hyperlink>
    </w:p>
    <w:p>
      <w:pPr>
        <w:spacing w:after="20" w:line="240" w:lineRule="auto"/>
      </w:pPr>
      <w:hyperlink w:anchor="section_6">
        <w:r>
          <w:rPr>
            <w:rFonts w:ascii="DejaVu Sans" w:hAnsi="DejaVu Sans"/>
            <w:color w:val="000000"/>
            <w:sz w:val="18"/>
          </w:rPr>
          <w:t>6  Модель данных и связи</w:t>
        </w:r>
      </w:hyperlink>
    </w:p>
    <w:p>
      <w:pPr>
        <w:spacing w:after="20" w:line="240" w:lineRule="auto"/>
      </w:pPr>
      <w:hyperlink w:anchor="section_7">
        <w:r>
          <w:rPr>
            <w:rFonts w:ascii="DejaVu Sans" w:hAnsi="DejaVu Sans"/>
            <w:color w:val="000000"/>
            <w:sz w:val="18"/>
          </w:rPr>
          <w:t>7  Обзвон заявки и предложения поставщиков</w:t>
        </w:r>
      </w:hyperlink>
    </w:p>
    <w:p>
      <w:pPr>
        <w:spacing w:after="20" w:line="240" w:lineRule="auto"/>
      </w:pPr>
      <w:hyperlink w:anchor="section_8">
        <w:r>
          <w:rPr>
            <w:rFonts w:ascii="DejaVu Sans" w:hAnsi="DejaVu Sans"/>
            <w:color w:val="000000"/>
            <w:sz w:val="18"/>
          </w:rPr>
          <w:t>8  Расчёт себестоимости и цены продажи</w:t>
        </w:r>
      </w:hyperlink>
    </w:p>
    <w:p>
      <w:pPr>
        <w:spacing w:after="20" w:line="240" w:lineRule="auto"/>
      </w:pPr>
      <w:hyperlink w:anchor="section_9">
        <w:r>
          <w:rPr>
            <w:rFonts w:ascii="DejaVu Sans" w:hAnsi="DejaVu Sans"/>
            <w:color w:val="000000"/>
            <w:sz w:val="18"/>
          </w:rPr>
          <w:t>9  Коммерческие предложения счета и связи</w:t>
        </w:r>
      </w:hyperlink>
    </w:p>
    <w:p>
      <w:pPr>
        <w:spacing w:after="20" w:line="240" w:lineRule="auto"/>
      </w:pPr>
      <w:hyperlink w:anchor="section_10">
        <w:r>
          <w:rPr>
            <w:rFonts w:ascii="DejaVu Sans" w:hAnsi="DejaVu Sans"/>
            <w:color w:val="000000"/>
            <w:sz w:val="18"/>
          </w:rPr>
          <w:t>10  Оплата согласование и поставки</w:t>
        </w:r>
      </w:hyperlink>
    </w:p>
    <w:p>
      <w:pPr>
        <w:spacing w:after="20" w:line="240" w:lineRule="auto"/>
      </w:pPr>
      <w:hyperlink w:anchor="section_11">
        <w:r>
          <w:rPr>
            <w:rFonts w:ascii="DejaVu Sans" w:hAnsi="DejaVu Sans"/>
            <w:color w:val="000000"/>
            <w:sz w:val="18"/>
          </w:rPr>
          <w:t>11  Аналитика и контроль работы</w:t>
        </w:r>
      </w:hyperlink>
    </w:p>
    <w:p>
      <w:pPr>
        <w:spacing w:after="20" w:line="240" w:lineRule="auto"/>
      </w:pPr>
      <w:hyperlink w:anchor="section_12">
        <w:r>
          <w:rPr>
            <w:rFonts w:ascii="DejaVu Sans" w:hAnsi="DejaVu Sans"/>
            <w:color w:val="000000"/>
            <w:sz w:val="18"/>
          </w:rPr>
          <w:t>12  Задачи уведомления и внутреннее общение</w:t>
        </w:r>
      </w:hyperlink>
    </w:p>
    <w:p>
      <w:pPr>
        <w:spacing w:after="20" w:line="240" w:lineRule="auto"/>
      </w:pPr>
      <w:hyperlink w:anchor="section_13">
        <w:r>
          <w:rPr>
            <w:rFonts w:ascii="DejaVu Sans" w:hAnsi="DejaVu Sans"/>
            <w:color w:val="000000"/>
            <w:sz w:val="18"/>
          </w:rPr>
          <w:t>13  Сверка интеграции и аналитический помощник</w:t>
        </w:r>
      </w:hyperlink>
    </w:p>
    <w:p>
      <w:pPr>
        <w:spacing w:after="20" w:line="240" w:lineRule="auto"/>
      </w:pPr>
      <w:hyperlink w:anchor="section_14">
        <w:r>
          <w:rPr>
            <w:rFonts w:ascii="DejaVu Sans" w:hAnsi="DejaVu Sans"/>
            <w:color w:val="000000"/>
            <w:sz w:val="18"/>
          </w:rPr>
          <w:t>14  Интерфейс архитектура и API</w:t>
        </w:r>
      </w:hyperlink>
    </w:p>
    <w:p>
      <w:pPr>
        <w:spacing w:after="20" w:line="240" w:lineRule="auto"/>
      </w:pPr>
      <w:hyperlink w:anchor="section_15">
        <w:r>
          <w:rPr>
            <w:rFonts w:ascii="DejaVu Sans" w:hAnsi="DejaVu Sans"/>
            <w:color w:val="000000"/>
            <w:sz w:val="18"/>
          </w:rPr>
          <w:t>15  Нефункциональные требования</w:t>
        </w:r>
      </w:hyperlink>
    </w:p>
    <w:p>
      <w:pPr>
        <w:spacing w:after="20" w:line="240" w:lineRule="auto"/>
      </w:pPr>
      <w:hyperlink w:anchor="section_16">
        <w:r>
          <w:rPr>
            <w:rFonts w:ascii="DejaVu Sans" w:hAnsi="DejaVu Sans"/>
            <w:color w:val="000000"/>
            <w:sz w:val="18"/>
          </w:rPr>
          <w:t>16  Критерии приёмки</w:t>
        </w:r>
      </w:hyperlink>
    </w:p>
    <w:p>
      <w:pPr>
        <w:spacing w:after="20" w:line="240" w:lineRule="auto"/>
      </w:pPr>
      <w:hyperlink w:anchor="section_17">
        <w:r>
          <w:rPr>
            <w:rFonts w:ascii="DejaVu Sans" w:hAnsi="DejaVu Sans"/>
            <w:color w:val="000000"/>
            <w:sz w:val="18"/>
          </w:rPr>
          <w:t>17  Этапы работ и результаты</w:t>
        </w:r>
      </w:hyperlink>
    </w:p>
    <w:p>
      <w:pPr>
        <w:spacing w:after="20" w:line="240" w:lineRule="auto"/>
      </w:pPr>
      <w:hyperlink w:anchor="section_18">
        <w:r>
          <w:rPr>
            <w:rFonts w:ascii="DejaVu Sans" w:hAnsi="DejaVu Sans"/>
            <w:color w:val="000000"/>
            <w:sz w:val="18"/>
          </w:rPr>
          <w:t>18  Вопросы для согласования</w:t>
        </w:r>
      </w:hyperlink>
    </w:p>
    <w:p>
      <w:pPr>
        <w:spacing w:after="20" w:line="240" w:lineRule="auto"/>
      </w:pPr>
      <w:hyperlink w:anchor="section_19">
        <w:r>
          <w:rPr>
            <w:rFonts w:ascii="DejaVu Sans" w:hAnsi="DejaVu Sans"/>
            <w:color w:val="000000"/>
            <w:sz w:val="18"/>
          </w:rPr>
          <w:t>19  Использованные образцы и источники</w:t>
        </w:r>
      </w:hyperlink>
    </w:p>
    <w:p>
      <w:r>
        <w:br w:type="page"/>
      </w:r>
    </w:p>
    <w:p>
      <w:bookmarkStart w:id="1" w:name="section_1"/>
      <w:pPr>
        <w:pStyle w:val="Heading1"/>
      </w:pPr>
      <w:r>
        <w:t>1 Статус требований и правила использования документа</w:t>
      </w:r>
      <w:bookmarkEnd w:id="1"/>
    </w:p>
    <w:p>
      <w:r>
        <w:rPr>
          <w:b/>
        </w:rPr>
        <w:t>И — исходное требование.</w:t>
      </w:r>
      <w:r>
        <w:rPr>
          <w:b w:val="0"/>
        </w:rPr>
        <w:t xml:space="preserve"> Функция или ограничение прямо присутствует в расшифровке. Формулировки о том, что часть функций уже реализована, отражают слова автора; качество и полнота существующего прототипа ещё должны быть проверены по коду и демонстрации.</w:t>
      </w:r>
    </w:p>
    <w:p>
      <w:r>
        <w:rPr>
          <w:b/>
        </w:rPr>
        <w:t>Р — рекомендуемая детализация.</w:t>
      </w:r>
      <w:r>
        <w:rPr>
          <w:b w:val="0"/>
        </w:rPr>
        <w:t xml:space="preserve"> Предложенное правило, необходимое для однозначной реализации, либо дополнение по практике CRM и торговых систем. Все точные ограничения, поля, алгоритмы, роли, показатели производительности и состав очередей, которых нет в расшифровке, относятся к Р. После утверждения версии ТЗ они становятся обязательными в согласованном объёме.</w:t>
      </w:r>
    </w:p>
    <w:p>
      <w:r>
        <w:rPr>
          <w:b/>
        </w:rPr>
        <w:t>В — вопрос для согласования.</w:t>
      </w:r>
      <w:r>
        <w:rPr>
          <w:b w:val="0"/>
        </w:rPr>
        <w:t xml:space="preserve"> Решение, влияющее на бизнес-логику или стоимость работ. Такие вопросы собраны в разделе 18. Для них описан рабочий вариант, но он не заменяет решение заказчика.</w:t>
      </w:r>
    </w:p>
    <w:p>
      <w:r>
        <w:rPr>
          <w:b w:val="0"/>
        </w:rPr>
        <w:t>Ссылки И01–И18 ведут к реестру исходных требований в разделе 2. Идентификаторы F01–F19 обозначают функциональные требования, N01–N08 — технические требования, A01–A24 — приёмочные сценарии. Они используются в задачах разработки, тестах и протоколе приёмки.</w:t>
      </w:r>
    </w:p>
    <w:p>
      <w:r>
        <w:rPr>
          <w:b/>
        </w:rPr>
        <w:t>Термины.</w:t>
      </w:r>
      <w:r>
        <w:rPr>
          <w:b w:val="0"/>
        </w:rPr>
        <w:t xml:space="preserve"> CRM — система управления взаимодействием с клиентами. КП — коммерческое предложение. Квота — предложение поставщика по конкретной позиции и условиям; термин сохранён из расшифровки. Номенклатура — каталог продаваемых товарных вариантов. Волна поставки — объединённая отправка с собственным номером, маршрутом и сроками. Позиция исполнения — согласованная к закупке часть запроса клиента. УПД — универсальный передаточный документ; его формирование исключено исходным описанием.</w:t>
      </w:r>
    </w:p>
    <w:p>
      <w:r>
        <w:rPr>
          <w:b w:val="0"/>
        </w:rPr>
        <w:t>В тексте «касс-номер» интерпретирован как CAS-номер химического вещества, а «щита» — как счета. Название поставщика или маршрута, распознанное как «Аузиала», не переносится в справочник без уточнения. Сведения из записи не дополняются вымышленными реквизитами компании или фактическими ставками налогов.</w:t>
      </w:r>
    </w:p>
    <w:p>
      <w:bookmarkStart w:id="2" w:name="section_2"/>
      <w:pPr>
        <w:pStyle w:val="Heading1"/>
      </w:pPr>
      <w:r>
        <w:t>2 Реестр исходных требований</w:t>
      </w:r>
      <w:bookmarkEnd w:id="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5"/>
        <w:gridCol w:w="6696"/>
        <w:gridCol w:w="2563"/>
      </w:tblGrid>
      <w:tr>
        <w:trPr>
          <w:cantSplit/>
          <w:tblHeader w:val="true"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Содержание расшифровки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Отражение в ТЗ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И01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Три учредителя, два менеджера, разрозненные Excel-файлы; нужно общее пространство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Роли, единая база, миграция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И02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Обзвон, импорт базы из Excel по шаблону, история по каждой строке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F01–F03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И03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Заявка с отдельной вкладкой позиций запроса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F04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И04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Формирование Excel-запроса поставщику, специфические поля для химии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F05, F07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И05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Ввод квот нескольких поставщиков во второй вкладке заявки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F06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И06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Автоматическое создание номенклатуры при вводе нового товара и CAS-номера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F07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И07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Поставщик и производитель могут различаться; поставщик продаёт разные товары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F06–F07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И08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Менеджер выбирает позиции; одно КП ограничено одним поставщиком и одной валютой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F08, F10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И09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Живой расчёт с изменением наценки и процента дополнительного вознаграждения; права пока у автора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F08–F09, В03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И10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Международная логистика, пошлина, ввозной и отпускной НДС; общий и детальный расчёт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F08–F09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И11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Расчёт записывается; в заявке доступно дерево КП, счетов и расчётов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F09–F10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И12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Формирование КП и счёта; менеджер фиксирует оплату и передаёт заявку в работу — описано как план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F10–F11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И13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Согласование руководителем и распределение по волнам поставки; пример периодичности — две недели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F12–F13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И14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Анализ количества заявок, периода, результатов и соотношения результатов; контроль менеджеров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F14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И15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 перспективе вопросы нейросети по накопленным данным; упомянут доступ к резервной копии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F19, N06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И16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Внутренний мессенджер и обмен файлами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F15–F16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И17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Внутренний акт сверки предположительно нужен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F17, В09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И18</w:t>
            </w:r>
          </w:p>
        </w:tc>
        <w:tc>
          <w:tcPr>
            <w:tcW w:type="dxa" w:w="669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УПД не включать в программу</w:t>
            </w:r>
          </w:p>
        </w:tc>
        <w:tc>
          <w:tcPr>
            <w:tcW w:type="dxa" w:w="256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Границы решения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bookmarkStart w:id="3" w:name="section_3"/>
      <w:pPr>
        <w:pStyle w:val="Heading1"/>
      </w:pPr>
      <w:r>
        <w:t>3 Границы решения и очереди реализации</w:t>
      </w:r>
      <w:bookmarkEnd w:id="3"/>
    </w:p>
    <w:p>
      <w:r>
        <w:rPr>
          <w:b w:val="0"/>
        </w:rPr>
        <w:t>Рекомендуется создавать внутреннее веб-приложение для одной компании. Заказчик получает собственные бизнес-правила и данные. Настоящее ТЗ не предписывает разработку на платформе Битрикс24 или 1С: эти продукты используются как функциональные ориентиры.</w:t>
      </w:r>
    </w:p>
    <w:p>
      <w:r>
        <w:rPr>
          <w:b/>
        </w:rPr>
        <w:t>Первая очередь П1 — рабочий сквозной процесс.</w:t>
      </w:r>
      <w:r>
        <w:rPr>
          <w:b w:val="0"/>
        </w:rPr>
        <w:t xml:space="preserve"> Пользователи и права; контрагенты; импорт базы обзвона; звонки и задачи; заявки и позиции; Excel-запрос поставщику; квоты; номенклатура; расчёт и его версии; КП и счета; ручная регистрация и подтверждение оплат; согласование; волны и частичное исполнение; базовые отчёты; комментарии, личные и групповые чаты с файлами; аудит и резервное копирование. Частичные оплаты и поставки входят в рекомендуемую детализацию П1, поскольку влияют на модель данных и корректность остатков.</w:t>
      </w:r>
    </w:p>
    <w:p>
      <w:r>
        <w:rPr>
          <w:b/>
        </w:rPr>
        <w:t>Вторая очередь П2 — развитие учёта и интеграций.</w:t>
      </w:r>
      <w:r>
        <w:rPr>
          <w:b w:val="0"/>
        </w:rPr>
        <w:t xml:space="preserve"> Внутренний акт сверки после определения источника оборотов; обмен с бухгалтерской системой и банком; интеграции почты, телефонии и курсов валют; расширенные показатели плановой и фактической доходности; расширенный поиск и функции мессенджера. Перенос акта сверки в П2 — предложение, требующее согласования, а не исключение этой потребности.</w:t>
      </w:r>
    </w:p>
    <w:p>
      <w:r>
        <w:rPr>
          <w:b/>
        </w:rPr>
        <w:t>Третья очередь П3 — аналитический помощник.</w:t>
      </w:r>
      <w:r>
        <w:rPr>
          <w:b w:val="0"/>
        </w:rPr>
        <w:t xml:space="preserve"> Вопросы на естественном языке к разрешённым данным CRM. Реализация после накопления достоверных данных, определения провайдера и проверки качества ответов.</w:t>
      </w:r>
    </w:p>
    <w:p>
      <w:r>
        <w:rPr>
          <w:b/>
        </w:rPr>
        <w:t>Вне согласуемого базового объёма:</w:t>
      </w:r>
      <w:r>
        <w:rPr>
          <w:b w:val="0"/>
        </w:rPr>
        <w:t xml:space="preserve"> формирование УПД; полноценная бухгалтерия и налоговая отчётность; таможенное декларирование; складской учёт по ячейкам и партиям; производство; кадровый учёт; публичные кабинеты клиентов и поставщиков; мобильные приложения; видеозвонки. Автоматическая отправка писем, автоматический набор номера и распознавание КП поставщиков не подразумеваются наличием кнопок экспорта или журнала звонков.</w:t>
      </w:r>
    </w:p>
    <w:p>
      <w:r>
        <w:rPr>
          <w:b/>
        </w:rPr>
        <w:t>Преемственность.</w:t>
      </w:r>
      <w:r>
        <w:rPr>
          <w:b w:val="0"/>
        </w:rPr>
        <w:t xml:space="preserve"> До разработки провести демонстрацию существующей реализации: импорт, заявки, квоты, расчёт, печатные формы и связи. Зафиксировать, какие компоненты сохраняются, дорабатываются или заменяются. Доступные старые расчёты и документы включить в контрольные примеры; неподтверждённые формулы не переносить механически.</w:t>
      </w:r>
    </w:p>
    <w:p>
      <w:bookmarkStart w:id="4" w:name="section_4"/>
      <w:pPr>
        <w:pStyle w:val="Heading1"/>
      </w:pPr>
      <w:r>
        <w:t>4 Пользователи и права доступа</w:t>
      </w:r>
      <w:bookmarkEnd w:id="4"/>
    </w:p>
    <w:p>
      <w:pPr>
        <w:keepNext/>
      </w:pPr>
      <w:r>
        <w:rPr>
          <w:b w:val="0"/>
        </w:rPr>
        <w:t>Основание — И01, И09, И13, И14. Предлагаемые роли обозначают функции, а не обязательные отдельные штатные единицы. Один человек может совмещать несколько ролей. Учредитель не получает право изменять финансовые параметры только по признаку участия в компании.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301"/>
      </w:tblGrid>
      <w:tr>
        <w:trPr>
          <w:cantSplit/>
          <w:tblHeader w:val="true"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Основные полномочия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Руководитель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Все заявки, назначение ответственных, согласование запуска и волн, общая аналитика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Владелец расчётов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Закупочные цены, формулы, коэффициенты, наценка, финансовые версии и их утверждение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Менеджер продаж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Свои заявки и предоставленные ему совместные заявки, обзвон, позиции, выбор квот, КП, счета, заявление об оплате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Закупщик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Запросы поставщикам, квоты, поставщики, товарные варианты; доступ к закупочным ценам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Логист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Согласованные позиции, волны, сроки, статусы перевозки и фактическое исполнение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Финансовый контролёр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Подтверждение и корректировка оплат, распределение платежей, данные для сверки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Администратор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Учётные записи, роли, справочники и технические настройки; финансовые действия — только при отдельном назначении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/>
        </w:rPr>
        <w:t>F01 Управление доступом и ответственностью — Р, П1.</w:t>
      </w:r>
      <w:r>
        <w:rPr>
          <w:b w:val="0"/>
        </w:rPr>
        <w:t xml:space="preserve"> Для каждого объекта и действия задавать разрешение и область: свои, явно предоставленные или все. Отдельно управлять просмотром закупочных цен, детального расчёта, вознаграждений, экспортом, подтверждением оплат и изменением шаблонов. По умолчанию закрывать операции без разрешения. При совмещении ролей объединять выданные разрешения; явный персональный запрет имеет приоритет. В интерфейсе администратора показывать итоговые права конкретного сотрудника.</w:t>
      </w:r>
    </w:p>
    <w:p>
      <w:r>
        <w:rPr>
          <w:b w:val="0"/>
        </w:rPr>
        <w:t>Менеджер выбирает квоты в пределах назначенных заявок. По умолчанию ему доступны описание, поставщик, производитель, количество и сроки; закупочные цены и исходные КП поставщика доступны только с отдельным финансовым разрешением. Общая форма расчёта показывает доступные цены продажи и итог для клиента. Состав закрытых полей утверждается по В04.</w:t>
      </w:r>
    </w:p>
    <w:p>
      <w:r>
        <w:rPr>
          <w:b w:val="0"/>
        </w:rPr>
        <w:t>Проверять права на сервере при каждом чтении, изменении, скачивании и экспорте. Закрытые поля не возвращать в ответах API, уведомлениях, поисковых подсказках и сообщениях об ошибках. Вложение с исходным КП поставщика наследует ограничения закупочных данных. Ссылка в чате не расширяет доступ к документу.</w:t>
      </w:r>
    </w:p>
    <w:p>
      <w:r>
        <w:rPr>
          <w:b w:val="0"/>
        </w:rPr>
        <w:t>После блокировки сотрудника завершать его активные сеансы и запрещать новые обращения. Его заявки, звонки, сообщения и действия сохранять с исходным автором; незавершённые задачи передавать выбранному ответственному. Переназначение фиксировать в истории с автором, временем и причиной.</w:t>
      </w:r>
    </w:p>
    <w:p>
      <w:bookmarkStart w:id="5" w:name="section_5"/>
      <w:pPr>
        <w:pStyle w:val="Heading1"/>
      </w:pPr>
      <w:r>
        <w:t>5 Сквозной процесс и состояния</w:t>
      </w:r>
      <w:bookmarkEnd w:id="5"/>
    </w:p>
    <w:p>
      <w:pPr>
        <w:pStyle w:val="Heading2"/>
      </w:pPr>
      <w:r>
        <w:t>5 1 Последовательность работы</w:t>
      </w:r>
    </w:p>
    <w:p>
      <w:pPr>
        <w:ind w:left="259" w:hanging="259"/>
      </w:pPr>
      <w:r>
        <w:rPr>
          <w:b w:val="0"/>
        </w:rPr>
        <w:t>1. Менеджер импортирует базу или открывает существующего клиента, проводит звонок, записывает результат и следующее действие.</w:t>
      </w:r>
    </w:p>
    <w:p>
      <w:pPr>
        <w:ind w:left="259" w:hanging="259"/>
      </w:pPr>
      <w:r>
        <w:rPr>
          <w:b w:val="0"/>
        </w:rPr>
        <w:t>2. При появлении потребности создаёт заявку, выбирает клиента и заполняет позиции запроса. Повторная заявка использует ту же карточку клиента.</w:t>
      </w:r>
    </w:p>
    <w:p>
      <w:pPr>
        <w:ind w:left="259" w:hanging="259"/>
      </w:pPr>
      <w:r>
        <w:rPr>
          <w:b w:val="0"/>
        </w:rPr>
        <w:t>3. Закупщик формирует отдельные запросы поставщикам, выгружает Excel и фиксирует отправку. Ответы поставщиков вводит как квоты с приложенными первоисточниками.</w:t>
      </w:r>
    </w:p>
    <w:p>
      <w:pPr>
        <w:ind w:left="259" w:hanging="259"/>
      </w:pPr>
      <w:r>
        <w:rPr>
          <w:b w:val="0"/>
        </w:rPr>
        <w:t>4. Менеджер выбирает квоты. Система проверяет состав группы для одного КП. Владелец расчётов задаёт финансовые параметры и записывает утверждённую версию расчёта.</w:t>
      </w:r>
    </w:p>
    <w:p>
      <w:pPr>
        <w:ind w:left="259" w:hanging="259"/>
      </w:pPr>
      <w:r>
        <w:rPr>
          <w:b w:val="0"/>
        </w:rPr>
        <w:t>5. Из записанной версии формируется КП. После согласования состава с клиентом фиксируются принятые позиции и формируется счёт. Альтернативные КП остаются в истории.</w:t>
      </w:r>
    </w:p>
    <w:p>
      <w:pPr>
        <w:ind w:left="259" w:hanging="259"/>
      </w:pPr>
      <w:r>
        <w:rPr>
          <w:b w:val="0"/>
        </w:rPr>
        <w:t>6. Менеджер заявляет об оплате. Финансовый контролёр подтверждает поступление и распределение суммы по счетам. Менеджер передаёт подготовленный состав исполнения руководителю.</w:t>
      </w:r>
    </w:p>
    <w:p>
      <w:pPr>
        <w:ind w:left="259" w:hanging="259"/>
      </w:pPr>
      <w:r>
        <w:rPr>
          <w:b w:val="0"/>
        </w:rPr>
        <w:t>7. Руководитель одобряет закупку и назначает позиции в открытые волны. До одобрения заявка находится на согласовании; окончательный запуск в работу происходит после решения руководителя.</w:t>
      </w:r>
    </w:p>
    <w:p>
      <w:pPr>
        <w:ind w:left="259" w:hanging="259"/>
      </w:pPr>
      <w:r>
        <w:rPr>
          <w:b w:val="0"/>
        </w:rPr>
        <w:t>8. Логист фиксирует движение и передачу товара. Завершение отдельных позиций обновляет прогресс заявки. Отчёты отражают состояние, оплаты и результаты по установленным правилам.</w:t>
      </w:r>
    </w:p>
    <w:p>
      <w:pPr>
        <w:pStyle w:val="Heading2"/>
      </w:pPr>
      <w:r>
        <w:t>5 2 Независимые состояния</w:t>
      </w:r>
    </w:p>
    <w:p>
      <w:r>
        <w:rPr>
          <w:b w:val="0"/>
        </w:rPr>
        <w:t>У заявки разделять коммерческий этап, исполнение и оплату. Это необходимо, например, когда первая партия уже оплачена и едет, а по остальным позициям ещё согласуют предложения.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301"/>
      </w:tblGrid>
      <w:tr>
        <w:trPr>
          <w:cantSplit/>
          <w:tblHeader w:val="true"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Измерение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Предлагаемые состояния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Коммерческий этап заявки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Новая; уточнение; сбор квот; расчёт; КП отправлено; согласован состав; ожидается оплата; продажа подтверждена; закрыта без продажи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Исполнение согласованного состава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Не передано; на согласовании; возвращено; согласовано; в работе; частично исполнено; исполнено; отменено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Оплата счёта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Не оплачено; частично оплачено; оплачено. Переплата показывается отдельно как нераспределённый остаток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Волна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Планируется; комплектуется; закрыта для добавления; отправлена; прибыла; завершена; отменена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Версия КП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Черновик; выпущено; отправлено; принято; отклонено; истекло; заменено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 w:val="0"/>
        </w:rPr>
        <w:t>Коммерческий этап может уточняться менеджером с проверкой обязательных условий. Состояния оплаты вычисляются по подтверждённым распределениям и не редактируются вручную. Состояние исполнения вычисляется по согласованным количествам и событиям позиций; ручные исключения выполняет уполномоченная роль с причиной.</w:t>
      </w:r>
    </w:p>
    <w:p>
      <w:r>
        <w:rPr>
          <w:b/>
        </w:rPr>
        <w:t>Инварианты — Р.</w:t>
      </w:r>
      <w:r>
        <w:rPr>
          <w:b w:val="0"/>
        </w:rPr>
        <w:t xml:space="preserve"> Записанный расчёт обязателен для выпуска КП. Счёт ссылается на принятую версию КП и согласованные количества. Для передачи в закупку нужны подтверждённое финансирование по правилам В08, действующие условия квот и решение руководителя. Волну нельзя отправить с несогласованными позициями. Закрытие без продажи требует причины; отмена оплаченного состава требует отдельного решения по средствам и уже заказанным товарам.</w:t>
      </w:r>
    </w:p>
    <w:p>
      <w:r>
        <w:rPr>
          <w:b w:val="0"/>
        </w:rPr>
        <w:t>Заявку считать полностью исполненной, когда все утверждённые количества доставлены либо отменены согласованным решением. Незакрытая претензия блокирует окончательное завершение. Коммерческий результат и состояние взаиморасчётов показывать рядом: физическое исполнение само по себе не означает отсутствие задолженности.</w:t>
      </w:r>
    </w:p>
    <w:p>
      <w:r>
        <w:rPr>
          <w:b w:val="0"/>
        </w:rPr>
        <w:t>Для расчёта конверсии дата коммерческого закрытия фиксируется, когда по всем запрошенным количествам принято итоговое решение, а весь принятый состав согласован к исполнению. При полном отказе используется дата закрытия без продажи. Пока часть потребности не решена, заявка остаётся коммерчески открытой даже после первой продажи. Повторное открытие и повторное закрытие сохраняются отдельными событиями; стандартный отчёт по закрытым заявкам использует последнее действующее закрытие.</w:t>
      </w:r>
    </w:p>
    <w:p>
      <w:bookmarkStart w:id="6" w:name="section_6"/>
      <w:pPr>
        <w:pStyle w:val="Heading1"/>
      </w:pPr>
      <w:r>
        <w:t>6 Модель данных и связи</w:t>
      </w:r>
      <w:bookmarkEnd w:id="6"/>
    </w:p>
    <w:p>
      <w:r>
        <w:rPr>
          <w:b w:val="0"/>
        </w:rPr>
        <w:t>Ниже приведены минимальные сущности. Полный словарь полей, обязательность по этапам и ограничения должны быть приложены исполнителем к проекту API до начала реализации интерфейсов.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301"/>
      </w:tblGrid>
      <w:tr>
        <w:trPr>
          <w:cantSplit/>
          <w:tblHeader w:val="true"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Сущность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Ключевые данные и связи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Организация продавца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Название, реквизиты, банковские счета, валюта управленческого учёта, шаблоны; фиксируется в документах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Контрагент и контакт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Клиент, поставщик или обе роли; страна, реквизиты, адреса, телефоны, почта; у организации несколько контактов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Запись обзвона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Контрагент, контакт, результат, время, сотрудник, комментарий, следующая задача, источник импорта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Заявка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Номер, клиент, контакт, ответственный, дата, этап, сроки, причина завершения, участники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Позиция запроса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Заявка, исходное описание, CAS при наличии, количество, единица, фасовка, качество, допустимость аналога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Запрос поставщику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Поставщик, версия, отправляемые позиции, срок ответа, файл Excel, дата и способ отправки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Вещество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Внутренний идентификатор, CAS при наличии, названия и синонимы, статус проверки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Товарный вариант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Вещество, производитель, артикул, чистота или марка, фасовка, единица, спецификация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Квота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Позиция запроса, товарный вариант, поставщик, цена, база цены, валюта, доступное количество, сроки, условия, версия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Версия расчёта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Выбранные квоты и количества, снимок параметров и курсов, строки затрат, результаты, версия алгоритма, автор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КП и его строки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Заявка, версия расчёта, поставщик, валюты, клиентские условия, сроки действия, статус, файл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Позиция исполнения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Принятая строка КП, квота и её версия, согласованное количество, клиентский срок, отменённое и доставленное количество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Счёт и его строки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Организация, клиент, версия КП, позиции исполнения, сумма и валюта, налоговые поля, срок оплаты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Платёж и распределение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Реквизиты поступления, валюта, сумма, подтверждение; отдельные связи с одним или несколькими счетами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Волна и распределение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Номер, маршрут, сроки, ответственный; количество каждой позиции исполнения в волне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Событие исполнения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Позиция, волна, количество, тип события, дата, автор, подтверждающий файл; записи корректировки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Задача и обсуждение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Связанный объект, участники, исполнитель, срок, сообщения, вложения, уведомления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Файл и событие аудита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Владелец, тип доступа, версия, контрольная сумма; отдельно автор, действие, время, объект и изменения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/>
        </w:rPr>
        <w:t>Связность.</w:t>
      </w:r>
      <w:r>
        <w:rPr>
          <w:b w:val="0"/>
        </w:rPr>
        <w:t xml:space="preserve"> Один клиент имеет множество заявок, заявка — множество позиций, позиция — множество квот. Один расчёт содержит выбранные количества из нескольких квот одной разрешённой группы. У заявки может быть несколько альтернативных и принятых КП. Позиции исполнения создаются только из принятого состава; несколько версий одного КП не образуют несколько продаж автоматически.</w:t>
      </w:r>
    </w:p>
    <w:p>
      <w:r>
        <w:rPr>
          <w:b w:val="0"/>
        </w:rPr>
        <w:t>Платежи связаны со счетами через распределения, а позиции исполнения с волнами — через распределённые количества. Одна заявка может ехать несколькими волнами; одна волна объединяет позиции нескольких заявок. Дерево в интерфейсе является представлением этих связей и не создаёт дубли данных.</w:t>
      </w:r>
    </w:p>
    <w:p>
      <w:r>
        <w:rPr>
          <w:b w:val="0"/>
        </w:rPr>
        <w:t>Для связей использовать неизменяемые внутренние идентификаторы. Номера документов и внешние идентификаторы хранить отдельно. Архивирование справочников не удаляет связанные исторические записи. Даты событий сохранять с часовым поясом; интерфейс и отчёты используют согласованный часовой пояс компании.</w:t>
      </w:r>
    </w:p>
    <w:p>
      <w:bookmarkStart w:id="7" w:name="section_7"/>
      <w:pPr>
        <w:pStyle w:val="Heading1"/>
      </w:pPr>
      <w:r>
        <w:t>7 Обзвон заявки и предложения поставщиков</w:t>
      </w:r>
      <w:bookmarkEnd w:id="7"/>
    </w:p>
    <w:p>
      <w:pPr>
        <w:pStyle w:val="Heading2"/>
      </w:pPr>
      <w:r>
        <w:t>7 1 F02 Клиентская база и импорт Excel</w:t>
      </w:r>
    </w:p>
    <w:p>
      <w:pPr>
        <w:keepNext/>
      </w:pPr>
      <w:r>
        <w:rPr>
          <w:b w:val="0"/>
        </w:rPr>
        <w:t>Основание — И01–И02. Детализация — Р. Очередь — П1.</w:t>
      </w:r>
    </w:p>
    <w:p>
      <w:r>
        <w:rPr>
          <w:b w:val="0"/>
        </w:rPr>
        <w:t>Предоставить версионируемый шаблон XLSX: внешний идентификатор строки, организация, страна, идентификатор контрагента при наличии, контактное лицо, телефон, электронная почта, источник, комментарий, ответственный. Обязательны название организации или контакта и хотя бы один способ связи. Реквизиты и телефоны читать как строки, сохраняя ведущие нули.</w:t>
      </w:r>
    </w:p>
    <w:p>
      <w:r>
        <w:rPr>
          <w:b w:val="0"/>
        </w:rPr>
        <w:t>Импорт выполнять через предварительный просмотр: сопоставление колонок, проверка обязательных значений, нормализация телефонов и почты, поиск совпадений, сводка новых записей, обновлений и ошибок. Одинаковый телефон сам по себе не является основанием автоматически объединять разные организации. При конфликте показать кандидатов и потребовать выбор пользователя.</w:t>
      </w:r>
    </w:p>
    <w:p>
      <w:r>
        <w:rPr>
          <w:b w:val="0"/>
        </w:rPr>
        <w:t>После проверки сохранять корректные строки подтверждённой партии и возвращать файл ошибок с номером строки, полем и причиной. Повтор той же операции не должен создавать вторую партию; повтор исправленного файла использует внешние идентификаторы строк. Без идентификатора или однозначного совпадения обновление существующей карточки требует явного сопоставления. Сохранять автора, время, исходный файл и отчёт партии. Формулы и макросы в импортируемом файле не исполнять.</w:t>
      </w:r>
    </w:p>
    <w:p>
      <w:pPr>
        <w:pStyle w:val="Heading2"/>
      </w:pPr>
      <w:r>
        <w:t>7 2 F03 История обзвона и следующие действия</w:t>
      </w:r>
    </w:p>
    <w:p>
      <w:pPr>
        <w:keepNext/>
      </w:pPr>
      <w:r>
        <w:rPr>
          <w:b w:val="0"/>
        </w:rPr>
        <w:t>Основание — И02, И14. Детализация — Р. Очередь — П1.</w:t>
      </w:r>
    </w:p>
    <w:p>
      <w:r>
        <w:rPr>
          <w:b w:val="0"/>
        </w:rPr>
        <w:t>В строке базы показывать ответственного, последний контакт, результат, дату следующего действия и число просроченных задач. Открытие строки выводит хронологическую историю. Минимальный результат звонка: не дозвонились, перезвонить, интерес есть, запрос получен, отказ, неверный контакт. Справочник результатов настраивает администратор.</w:t>
      </w:r>
    </w:p>
    <w:p>
      <w:r>
        <w:rPr>
          <w:b w:val="0"/>
        </w:rPr>
        <w:t>Событие звонка содержит сотрудника, контакт, дату и время, результат, комментарий; длительность необязательна при ручном вводе. Для «перезвонить» обязательны дата и новая задача, для отказа — причина. Следующее действие должно иметь отдельного исполнителя и срок. Исправление результата сохраняется в истории; отменённое событие исключается из рабочих счётчиков, но остаётся в аудите.</w:t>
      </w:r>
    </w:p>
    <w:p>
      <w:r>
        <w:rPr>
          <w:b w:val="0"/>
        </w:rPr>
        <w:t>Создание заявки из результата «запрос получен» связывает клиента, контакт и исходный звонок. История обзвона сохраняется и доступна из заявки. В П1 звонки фиксируются вручную: факт заполнения журнала не подтверждает реальный телефонный разговор. Автоматическое получение длительности и записи относится к интеграции телефонии П2.</w:t>
      </w:r>
    </w:p>
    <w:p>
      <w:pPr>
        <w:pStyle w:val="Heading2"/>
      </w:pPr>
      <w:r>
        <w:t>7 3 F04 Заявка и позиции запроса</w:t>
      </w:r>
    </w:p>
    <w:p>
      <w:pPr>
        <w:keepNext/>
      </w:pPr>
      <w:r>
        <w:rPr>
          <w:b w:val="0"/>
        </w:rPr>
        <w:t>Основание — И03, И11. Детализация — Р. Очередь — П1.</w:t>
      </w:r>
    </w:p>
    <w:p>
      <w:r>
        <w:rPr>
          <w:b w:val="0"/>
        </w:rPr>
        <w:t>В карточке заявки предусмотреть вкладки: обзор; позиции запроса; запросы поставщикам; квоты; расчёты; КП и счета; оплаты; исполнение и волны; история и обсуждение. На обзоре постоянно доступны клиент, ответственный, этапы, следующее действие и связанные документы.</w:t>
      </w:r>
    </w:p>
    <w:p>
      <w:r>
        <w:rPr>
          <w:b w:val="0"/>
        </w:rPr>
        <w:t>Каждая позиция содержит исходное наименование клиента, требуемое количество, единицу, желаемую фасовку, чистоту или марку, CAS при наличии, желаемый срок, примечание и допустимость аналога. Исходный запрос хранить отдельно от нормализованного товара: выбор аналога не должен незаметно менять потребность клиента. Разрешать создание черновой строки с неполными данными; перед отправкой поставщику проверять обязательность по утверждённому шаблону.</w:t>
      </w:r>
    </w:p>
    <w:p>
      <w:r>
        <w:rPr>
          <w:b w:val="0"/>
        </w:rPr>
        <w:t>Поддержать добавление, копирование и архивирование строк, поиск, сортировку и выделение нескольких позиций. Изменение строки, уже использованной в квоте, расчёте или КП, создаёт редакцию потребности и помечает связанные незавершённые объекты как требующие проверки. Выпущенные документы не переписываются.</w:t>
      </w:r>
    </w:p>
    <w:p>
      <w:pPr>
        <w:pStyle w:val="Heading2"/>
      </w:pPr>
      <w:r>
        <w:t>7 4 F05 Запросы поставщикам</w:t>
      </w:r>
    </w:p>
    <w:p>
      <w:pPr>
        <w:keepNext/>
      </w:pPr>
      <w:r>
        <w:rPr>
          <w:b w:val="0"/>
        </w:rPr>
        <w:t>Основание — И04. Детализация — Р. Очередь — П1.</w:t>
      </w:r>
    </w:p>
    <w:p>
      <w:r>
        <w:rPr>
          <w:b w:val="0"/>
        </w:rPr>
        <w:t>Пользователь выбирает позиции и поставщика; система создаёт запрос с версией и формирует XLSX. Минимальные колонки: номер строки, наименование, CAS, качество, фасовка, количество, единица и комментарий. Поля закупочной цены других поставщиков, клиентской наценки и внутреннего вознаграждения в файл не включать. Язык и окончательный состав шаблона согласовать по В05.</w:t>
      </w:r>
    </w:p>
    <w:p>
      <w:r>
        <w:rPr>
          <w:b w:val="0"/>
        </w:rPr>
        <w:t>Один запрос адресуется одному поставщику. Для нескольких поставщиков создавать самостоятельные запросы с общими ссылками на позиции клиента. Сохранять отправленный файл неизменным, дату, адресата и статус ответа. В П1 пользователь отправляет скачанный файл самостоятельно и отмечает факт отправки; нажатие «Скачать» не выставляет статус «Отправлено».</w:t>
      </w:r>
    </w:p>
    <w:p>
      <w:r>
        <w:rPr>
          <w:b w:val="0"/>
        </w:rPr>
        <w:t>Повторная отправка уточнённого запроса создаёт новую версию. Квота должна ссылаться на ту редакцию позиции и запроса, на которую ответил поставщик. При регистрации ответа показывать изменившиеся требования и не считать ответ автоматически подходящим новой редакции.</w:t>
      </w:r>
    </w:p>
    <w:p>
      <w:pPr>
        <w:pStyle w:val="Heading2"/>
      </w:pPr>
      <w:r>
        <w:t>7 5 F06 Ввод и сравнение квот</w:t>
      </w:r>
    </w:p>
    <w:p>
      <w:pPr>
        <w:keepNext/>
      </w:pPr>
      <w:r>
        <w:rPr>
          <w:b w:val="0"/>
        </w:rPr>
        <w:t>Основание — И05, И07–И08. Детализация — Р. Очередь — П1.</w:t>
      </w:r>
    </w:p>
    <w:p>
      <w:r>
        <w:rPr>
          <w:b w:val="0"/>
        </w:rPr>
        <w:t>Квота содержит поставщика, производителя отдельно, товарный вариант, цену и единицу цены, валюту, количество и фасовку, минимальный заказ, кратность, срок готовности или поставки, срок действия цены, условия поставки и оплаты, исходное КП поставщика. Условия поставки хранить с согласованным базисом и указанным местом; неизвестные значения не подставлять автоматически. Обязательные для расчёта поля: товар, количество, единица цены, цена, валюта, поставщик и срок действия либо явный признак «требует подтверждения».</w:t>
      </w:r>
    </w:p>
    <w:p>
      <w:r>
        <w:rPr>
          <w:b w:val="0"/>
        </w:rPr>
        <w:t>Разрешить несколько вариантов квот на одну позицию: разные производители, фасовки и сроки. Сравнивать варианты в таблице по доступным пользователю полям. Отличия от запроса выделять явно. Аналог может быть включён в принятое КП только после записи решения клиента; автор и основание решения сохраняются.</w:t>
      </w:r>
    </w:p>
    <w:p>
      <w:r>
        <w:rPr>
          <w:b w:val="0"/>
        </w:rPr>
        <w:t>Показывать истёкшие квоты и недостаточное доступное количество. Их можно изучать, но нельзя автоматически использовать для нового выпуска КП или запуска закупки. Продление цены оформляется новой версией квоты с подтверждением поставщика; ранее записанный расчёт остаётся связан с прежней версией.</w:t>
      </w:r>
    </w:p>
    <w:p>
      <w:r>
        <w:rPr>
          <w:b w:val="0"/>
        </w:rPr>
        <w:t>Сохранение квоты не означает принятие заказа поставщиком или резервирование товара. Подтверждение закупки и исполнения учитывается отдельными событиями. Если из одного предложения обслуживаются несколько заявок, общий доступный остаток контролируется по подтверждённому лимиту; без такого лимита интерфейс не обещает резерв.</w:t>
      </w:r>
    </w:p>
    <w:p>
      <w:pPr>
        <w:pStyle w:val="Heading2"/>
      </w:pPr>
      <w:r>
        <w:t>7 6 F07 Номенклатура химической продукции</w:t>
      </w:r>
    </w:p>
    <w:p>
      <w:pPr>
        <w:keepNext/>
      </w:pPr>
      <w:r>
        <w:rPr>
          <w:b w:val="0"/>
        </w:rPr>
        <w:t>Основание — И04, И06–И07. Детализация — Р. Очередь — П1.</w:t>
      </w:r>
    </w:p>
    <w:p>
      <w:r>
        <w:rPr>
          <w:b w:val="0"/>
        </w:rPr>
        <w:t>CAS-номер идентифицирует вещество; товарный вариант дополнительно характеризуется производителем, артикулом, качеством и фасовкой. Поэтому одинаковый CAS не является достаточным основанием для объединения продаваемых вариантов. Это решение опирается на назначение CAS RN в официальном описании CAS [S4].</w:t>
      </w:r>
    </w:p>
    <w:p>
      <w:r>
        <w:rPr>
          <w:b w:val="0"/>
        </w:rPr>
        <w:t>При сохранении квоты искать вещество по нормализованному CAS и товарный вариант по составному набору признаков: вещество, производитель, артикул при наличии, чистота или марка, фасовка и базовая единица. При точном совпадении связывать существующий вариант. При новом наборе создавать вариант автоматически. При неполном или противоречивом наборе создавать запись «требует проверки»; такие записи запрещены для выпуска КП до проверки ответственным.</w:t>
      </w:r>
    </w:p>
    <w:p>
      <w:r>
        <w:rPr>
          <w:b w:val="0"/>
        </w:rPr>
        <w:t>CAS проверять по структуре групп и контрольной цифре. Корректность формата не доказывает соответствие номера указанному веществу. Для смесей и товаров без известного CAS разрешить отсутствие номера с причиной; вымышленные значения и подстановку номера по похожему названию запретить. Наличие CAS не должно быть единственным условием возможности вести заявку. Формат проверки описан CAS [S5].</w:t>
      </w:r>
    </w:p>
    <w:p>
      <w:r>
        <w:rPr>
          <w:b w:val="0"/>
        </w:rPr>
        <w:t>При одновременном сохранении одинакового варианта двумя сотрудниками сервер должен создать одну карточку и связать с ней обе квоты. Отдельно хранить производителя и продавца: предложение дилера не создаёт нового производителя и не дублирует товар только из-за смены поставщика.</w:t>
      </w:r>
    </w:p>
    <w:p>
      <w:r>
        <w:rPr>
          <w:b w:val="0"/>
        </w:rPr>
        <w:t>Поддержать количество упаковок и содержимое упаковки. Перевод г в кг допустим по справочнику; перевод массы в объём запрещён без явно заданного коэффициента и основания. Для фасовки 25 г и заказа 100 г показывать четыре упаковки, если допустима соответствующая кратность. При необходимости хранить спецификацию, паспорт качества и паспорт безопасности; обязательность документов и специальных логистических признаков задаётся товарной категорией после В06.</w:t>
      </w:r>
    </w:p>
    <w:p>
      <w:bookmarkStart w:id="8" w:name="section_8"/>
      <w:pPr>
        <w:pStyle w:val="Heading1"/>
      </w:pPr>
      <w:r>
        <w:t>8 Расчёт себестоимости и цены продажи</w:t>
      </w:r>
      <w:bookmarkEnd w:id="8"/>
    </w:p>
    <w:p>
      <w:pPr>
        <w:pStyle w:val="Heading2"/>
      </w:pPr>
      <w:r>
        <w:t>8 1 F08 Состав расчёта и ограничения выбора</w:t>
      </w:r>
    </w:p>
    <w:p>
      <w:pPr>
        <w:keepNext/>
      </w:pPr>
      <w:r>
        <w:rPr>
          <w:b w:val="0"/>
        </w:rPr>
        <w:t>Основание — И08–И10. Детализация — Р. Очередь — П1.</w:t>
      </w:r>
    </w:p>
    <w:p>
      <w:r>
        <w:rPr>
          <w:b w:val="0"/>
        </w:rPr>
        <w:t>Расчёт создаётся из выбранных квот одной заявки. Все строки одного КП должны относиться к одному поставщику и одной валюте исходных квот. Разные производители в такой группе разрешены. При нарушении система показывает конфликтующие строки и предлагает разделить выбор на группы; без подтверждения пользователя документы не создаются. Проверку выполнять и в интерфейсе, и на сервере.</w:t>
      </w:r>
    </w:p>
    <w:p>
      <w:r>
        <w:rPr>
          <w:b/>
        </w:rPr>
        <w:t>Предлагаемая трактовка валют — В05.</w:t>
      </w:r>
      <w:r>
        <w:rPr>
          <w:b w:val="0"/>
        </w:rPr>
        <w:t xml:space="preserve"> Валюту закупочной квоты, управленческую валюту и валюту продажи хранить отдельно. Для одного КП допустима только одна валюта продажи. Преобразование в валюту продажи не разрешает объединять квоты разных исходных валют. Если заказчик подразумевает полное совпадение валюты квот и КП, соответствующее ограничение включается настройкой до начала эксплуатации.</w:t>
      </w:r>
    </w:p>
    <w:p>
      <w:r>
        <w:rPr>
          <w:b w:val="0"/>
        </w:rPr>
        <w:t>В расчёт включать выбранное количество, цену закупки, международную логистику, таможенную пошлину, ввозной НДС, дополнительные согласованные расходы, наценку, параметр дополнительного вознаграждения и отпускной НДС. Внутреннюю логистику, страхование и сборы предусмотреть как отдельные настраиваемые статьи — Р. Для каждой статьи хранить валюту, основание, метод распределения и признак включения в себестоимость или денежную потребность.</w:t>
      </w:r>
    </w:p>
    <w:p>
      <w:r>
        <w:rPr>
          <w:b w:val="0"/>
        </w:rPr>
        <w:t>Курс фиксировать с валютной парой, направлением пересчёта, датой, источником и числом единиц котировки. Не допускать неоднозначности «курс 10»: должно быть понятно, сколько управленческих денежных единиц приходится на одну единицу исходной валюты. Ручной курс имеет автора и причину; автоматическая загрузка курсов относится к П2. Новый курс не пересчитывает уже выпущенные документы.</w:t>
      </w:r>
    </w:p>
    <w:p>
      <w:pPr>
        <w:pStyle w:val="Heading2"/>
      </w:pPr>
      <w:r>
        <w:t>8 2 Алгоритм и порядок вычислений</w:t>
      </w:r>
    </w:p>
    <w:p>
      <w:r>
        <w:rPr>
          <w:b w:val="0"/>
        </w:rPr>
        <w:t>Наличие перечисленных статей следует из расшифровки. Точные формулы, налоговые базы, ставки и режим учёта не заданы и подлежат согласованию по В02. Исполнитель должен получить существующий расчёт и набор контрольных примеров, описать алгоритм в отдельной версионируемой спецификации и согласовать его до выпуска финансовых документов.</w:t>
      </w:r>
    </w:p>
    <w:p>
      <w:pPr>
        <w:ind w:left="259" w:hanging="259"/>
      </w:pPr>
      <w:r>
        <w:rPr>
          <w:b w:val="0"/>
        </w:rPr>
        <w:t>1. Привести выбранное количество к единице закупочной цены. Проверить фасовку, кратность и доступность. Определить закупочную сумму умножением согласованного количества на цену в валюте квоты.</w:t>
      </w:r>
    </w:p>
    <w:p>
      <w:pPr>
        <w:ind w:left="259" w:hanging="259"/>
      </w:pPr>
      <w:r>
        <w:rPr>
          <w:b w:val="0"/>
        </w:rPr>
        <w:t>2. Пересчитать закупку и каждую валютную статью в управленческую валюту по зафиксированным курсам. Не применять курс одной валютной пары к другой.</w:t>
      </w:r>
    </w:p>
    <w:p>
      <w:pPr>
        <w:ind w:left="259" w:hanging="259"/>
      </w:pPr>
      <w:r>
        <w:rPr>
          <w:b w:val="0"/>
        </w:rPr>
        <w:t>3. Распределить общие расходы по строкам выбранным методом: по закупочной стоимости, массе, объёму или вручную. Метод и основание сохраняются. При нулевой базе автоматическое распределение блокируется; система запрашивает другой метод.</w:t>
      </w:r>
    </w:p>
    <w:p>
      <w:pPr>
        <w:ind w:left="259" w:hanging="259"/>
      </w:pPr>
      <w:r>
        <w:rPr>
          <w:b w:val="0"/>
        </w:rPr>
        <w:t>4. Рассчитать таможенную базу, пошлину и ввозной НДС по утверждённому профилю. Отдельно хранить таможенную стоимость и управленческую себестоимость: состав этих величин может различаться. Для специфической или комбинированной пошлины профиль обязан задавать единицы и формулу; неподдерживаемый вариант не заменяется процентом.</w:t>
      </w:r>
    </w:p>
    <w:p>
      <w:pPr>
        <w:ind w:left="259" w:hanging="259"/>
      </w:pPr>
      <w:r>
        <w:rPr>
          <w:b w:val="0"/>
        </w:rPr>
        <w:t>5. Определить себестоимость и денежную потребность. Возмещаемый ввозной НДС в согласованном профиле показывается отдельно от себестоимости, но учитывается в планируемых денежных выплатах. Невозмещаемая часть включается по утверждённому правилу. Профиль применяется с датой действия; систему не считать автоматическим определителем налогового режима.</w:t>
      </w:r>
    </w:p>
    <w:p>
      <w:pPr>
        <w:ind w:left="259" w:hanging="259"/>
      </w:pPr>
      <w:r>
        <w:rPr>
          <w:b w:val="0"/>
        </w:rPr>
        <w:t>6. Получить цену продажи без отпускного НДС по утверждённой базе наценки. Наценку на себестоимость и маржу от выручки обозначать разными показателями. Предлагаемый базовый режим — наценка на себестоимость; иной режим требует отдельного именованного профиля.</w:t>
      </w:r>
    </w:p>
    <w:p>
      <w:pPr>
        <w:ind w:left="259" w:hanging="259"/>
      </w:pPr>
      <w:r>
        <w:rPr>
          <w:b w:val="0"/>
        </w:rPr>
        <w:t>7. Применить согласованное правило вознаграждения, вычислить отпускной НДС и итог клиентского документа. У каждой строки хранить налоговую ставку или категорию освобождения, базу и налог. Смешанные категории в одном документе отражаются отдельными итогами.</w:t>
      </w:r>
    </w:p>
    <w:p>
      <w:pPr>
        <w:ind w:left="259" w:hanging="259"/>
      </w:pPr>
      <w:r>
        <w:rPr>
          <w:b w:val="0"/>
        </w:rPr>
        <w:t>8. Рассчитать плановый финансовый результат и проверить контрольные суммы. Итог расчёта, сумма строк КП и сумма счёта для того же состава должны совпадать по правилам округления.</w:t>
      </w:r>
    </w:p>
    <w:p>
      <w:r>
        <w:rPr>
          <w:b w:val="0"/>
        </w:rPr>
        <w:t>Налоговые ставки, таможенные базы, допустимые расходы и способы учёта не фиксируются в программном коде без версии и даты действия. Регламент расчёта утверждают владелец финансовой модели и ответственный за учёт. Эта процедура относится к готовности конкретного алгоритма, а не к утверждению макетов всей CRM.</w:t>
      </w:r>
    </w:p>
    <w:p>
      <w:r>
        <w:rPr>
          <w:b/>
        </w:rPr>
        <w:t>Дополнительное вознаграждение — В03.</w:t>
      </w:r>
      <w:r>
        <w:rPr>
          <w:b w:val="0"/>
        </w:rPr>
        <w:t xml:space="preserve"> В расшифровке использован термин «процент отката». Его экономический смысл неизвестен. Требуется определить назначение, получателя, основание, процентную базу, валюту, влияние на цену и прибыль, а также доступ к данным. До определения смысла параметр отключён для рабочих документов. Его нельзя автоматически считать скидкой клиенту или комиссией менеджеру. После согласования использовать точное утверждённое наименование; все изменения фиксировать в аудите.</w:t>
      </w:r>
    </w:p>
    <w:p>
      <w:pPr>
        <w:pStyle w:val="Heading2"/>
      </w:pPr>
      <w:r>
        <w:t>8 3 Точность и контрольные правила</w:t>
      </w:r>
    </w:p>
    <w:p>
      <w:r>
        <w:rPr>
          <w:b w:val="0"/>
        </w:rPr>
        <w:t>Все денежные вычисления выполнять десятичной арифметикой без двоичной плавающей точки. Количество — до шести десятичных знаков, курсы и коэффициенты — до восьми; это предлагаемые ограничения. Точность денежного итога задаётся валютой. Для первой реализации предложено округление половины вверх: налог округляется по строке, итоги документа складываются из округлённых сумм строк. Окончательный порядок согласуется вместе с бухгалтерскими шаблонами.</w:t>
      </w:r>
    </w:p>
    <w:p>
      <w:r>
        <w:rPr>
          <w:b w:val="0"/>
        </w:rPr>
        <w:t>Остаток распределения общих расходов из-за округления добавлять к строке с наибольшей базой; при равенстве — к строке с меньшим постоянным идентификатором. Сумма распределённых расходов должна точно равняться распределяемой статье. Повторный расчёт одинакового набора данных и версии алгоритма даёт одинаковые результаты.</w:t>
      </w:r>
    </w:p>
    <w:p>
      <w:r>
        <w:rPr>
          <w:b w:val="0"/>
        </w:rPr>
        <w:t>Блокировать отрицательные количество и закупочную цену, нулевой или отрицательный курс, отсутствующую базу пошлины, деление на ноль и неполные обязательные параметры. Нулевая стоимость допускается только для явно обозначенного образца по согласованному правилу. При цене ниже установленного порога требовать утверждение владельца расчётов с причиной. Не менять введённые коэффициенты скрыто.</w:t>
      </w:r>
    </w:p>
    <w:p>
      <w:pPr>
        <w:pStyle w:val="Heading2"/>
      </w:pPr>
      <w:r>
        <w:t>8 4 Условный арифметический пример</w:t>
      </w:r>
    </w:p>
    <w:p>
      <w:r>
        <w:rPr>
          <w:b w:val="0"/>
        </w:rPr>
        <w:t>Пример проверяет только работу программного алгоритма. Все валюты, налоговые ставки и состав баз условны и не описывают действующие правила конкретной страны. Вознаграждение равно нулю, ввозной налог по тестовому профилю считается возмещаемым.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301"/>
      </w:tblGrid>
      <w:tr>
        <w:trPr>
          <w:cantSplit/>
          <w:tblHeader w:val="true"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Данные или ожидаемый результат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Закупка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10 единиц по 100 единиц валюты А = 1 000 А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Курс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2 управленческие денежные единицы за 1 А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Закупочная сумма после пересчёта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2 000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Международная логистика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Тестовая таможенная база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2 200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Пошлина по тестовой ставке 5 процентов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110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Сборы и внутренняя доставка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40 и 150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База тестового ввозного налога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2 310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Ввозной налог по тестовой ставке 10 процентов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231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Себестоимость без возмещаемого ввозного налога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2 500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Денежная потребность с ввозным налогом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2 731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Наценка на себестоимость 25 процентов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625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Продажа без отпускного налога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3 125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Отпускной налог по тестовой ставке 15 процентов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468,75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Итог клиенту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3 593,75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Плановый результат до прочих расходов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625; маржа от продажи без налога — 20 процентов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8 5 F09 Живой расчёт и неизменяемые версии</w:t>
      </w:r>
    </w:p>
    <w:p>
      <w:pPr>
        <w:keepNext/>
      </w:pPr>
      <w:r>
        <w:rPr>
          <w:b w:val="0"/>
        </w:rPr>
        <w:t>Основание — И09–И11. Детализация — Р. Очередь — П1.</w:t>
      </w:r>
    </w:p>
    <w:p>
      <w:r>
        <w:rPr>
          <w:b w:val="0"/>
        </w:rPr>
        <w:t>Владелец расчётов изменяет разрешённые параметры и видит предварительные итоги без перезагрузки страницы. Предварительный результат помечается как несохранённый. Сервер повторно вычисляет и проверяет итог при записи; клиентский расчёт не является источником истины. Предусмотреть режим общего результата и подробную раскладку каждого этапа с исходными значениями.</w:t>
      </w:r>
    </w:p>
    <w:p>
      <w:r>
        <w:rPr>
          <w:b w:val="0"/>
        </w:rPr>
        <w:t>Команда «Записать расчёт» создаёт неизменяемую версию: снимок квот, количеств, товарных описаний, курсов, статей затрат, коэффициентов, метода распределения, формул и их версии, округления, результатов, автора и времени. Если перед записью другой сотрудник изменил исходную квоту или заявку, показать конфликт и потребовать повторной проверки.</w:t>
      </w:r>
    </w:p>
    <w:p>
      <w:r>
        <w:rPr>
          <w:b w:val="0"/>
        </w:rPr>
        <w:t>Исправление записанного расчёта выполняется созданием новой версии с причиной. Система показывает отличия. КП и счета продолжают ссылаться на использованную версию, даже если у заявки появился новый расчёт. Удалять версию, на которую ссылается документ, нельзя. Повторный клик по команде записи с тем же идентификатором операции не создаёт вторую версию.</w:t>
      </w:r>
    </w:p>
    <w:p>
      <w:bookmarkStart w:id="9" w:name="section_9"/>
      <w:pPr>
        <w:pStyle w:val="Heading1"/>
      </w:pPr>
      <w:r>
        <w:t>9 Коммерческие предложения счета и связи</w:t>
      </w:r>
      <w:bookmarkEnd w:id="9"/>
    </w:p>
    <w:p>
      <w:pPr>
        <w:pStyle w:val="Heading2"/>
      </w:pPr>
      <w:r>
        <w:t>9 1 F10 Формирование документов</w:t>
      </w:r>
    </w:p>
    <w:p>
      <w:pPr>
        <w:keepNext/>
      </w:pPr>
      <w:r>
        <w:rPr>
          <w:b w:val="0"/>
        </w:rPr>
        <w:t>Основание — И08, И11–И12, И18. Детализация — Р. Очередь — П1.</w:t>
      </w:r>
    </w:p>
    <w:p>
      <w:r>
        <w:rPr>
          <w:b w:val="0"/>
        </w:rPr>
        <w:t>КП формировать из записанного расчёта. Минимальные реквизиты: номер и версия, дата, организация продавца, клиент и контакт, срок действия, валюта, наименование товара, согласованная характеристика и фасовка, количество и единица, цена, сумма, налоговые итоги, срок и условия поставки, порядок оплаты. Производитель и CAS выводятся по утверждённому шаблону. Внутренний поставщик, закупочная цена, себестоимость, наценка и вознаграждение не выводятся в клиентскую форму по умолчанию.</w:t>
      </w:r>
    </w:p>
    <w:p>
      <w:r>
        <w:rPr>
          <w:b w:val="0"/>
        </w:rPr>
        <w:t>Предлагаемые форматы выдачи: PDF для отправки и XLSX для согласованной табличной формы. Точный состав форматов, язык, нумерация, подпись и оформление — В05. Формирование PDF и XLSX производится из одного снимка данных; неразрешённых расхождений в ценах и итогах быть не должно.</w:t>
      </w:r>
    </w:p>
    <w:p>
      <w:r>
        <w:rPr>
          <w:b w:val="0"/>
        </w:rPr>
        <w:t>В заявке допускаются несколько КП от разных поставщиков и несколько альтернатив на одни позиции. Принятие КП фиксирует выбранную редакцию и количество по каждой строке. Сумма принятых количеств по одной потребности не может превысить её актуальный согласованный объём без отдельного изменения запроса. Непринятые и заменённые альтернативы не увеличивают продажи в отчётах.</w:t>
      </w:r>
    </w:p>
    <w:p>
      <w:r>
        <w:rPr>
          <w:b w:val="0"/>
        </w:rPr>
        <w:t>Счёт создаётся для одной организации продавца, одного клиента, одной валюты и принятой версии КП. В П1 не объединять в одном счёте разные КП. Поддержать несколько счетов на согласованные части одного КП с контролем уже выставленного количества или суммы; график авансов, окончательный счёт и их взаимное закрытие уточнить по В08. Автоматическое выставление второго полного счёта на тот же состав запрещено.</w:t>
      </w:r>
    </w:p>
    <w:p>
      <w:r>
        <w:rPr>
          <w:b w:val="0"/>
        </w:rPr>
        <w:t>Реквизиты, цены, налоговые поля, версия шаблона и итоговый файл фиксируются при выпуске документа. Изменение реквизитов клиента или шаблона не меняет старый файл. Номер уникален в разрезе организации, типа документа и согласованного периода нумерации; параллельные выпуски не получают одинаковый номер. Повторное скачивание возвращает тот же файл. Отправка в П1 отмечается пользователем с датой и каналом, отдельно от формирования.</w:t>
      </w:r>
    </w:p>
    <w:p>
      <w:r>
        <w:rPr>
          <w:b w:val="0"/>
        </w:rPr>
        <w:t>Оплаченный или отправленный документ не редактируется незаметно. Создаётся исправляющая версия или согласованная операция отмены с сохранением связей. УПД в меню генерации отсутствует. Исходные документы внешних систем могут храниться вложениями, если это требуется для подтверждения исполнения.</w:t>
      </w:r>
    </w:p>
    <w:p>
      <w:pPr>
        <w:pStyle w:val="Heading2"/>
      </w:pPr>
      <w:r>
        <w:t>9 2 Представление связей</w:t>
      </w:r>
    </w:p>
    <w:p>
      <w:r>
        <w:rPr>
          <w:b w:val="0"/>
        </w:rPr>
        <w:t>На обзоре заявки показывать запросы поставщикам, квоты, расчёты, КП, счета, оплаты, позиции исполнения и волны. Для каждого узла доступны номер, версия, статус, дата, автор и переход. Финансовые суммы выводятся только при наличии прав и с валютой.</w:t>
      </w:r>
    </w:p>
    <w:p>
      <w:r>
        <w:rPr>
          <w:b w:val="0"/>
        </w:rPr>
        <w:t>Из счёта пользователь должен перейти к КП, из КП — к расчёту, из расчёта — к исходным квотам и позициям запроса. Для устаревших версий показывать признак замены. Если один платёж или одна волна связаны с несколькими объектами, интерфейс отображает повторные ссылки на одну запись, сохраняя её идентичность.</w:t>
      </w:r>
    </w:p>
    <w:p>
      <w:bookmarkStart w:id="10" w:name="section_10"/>
      <w:pPr>
        <w:pStyle w:val="Heading1"/>
      </w:pPr>
      <w:r>
        <w:t>10 Оплата согласование и поставки</w:t>
      </w:r>
      <w:bookmarkEnd w:id="10"/>
    </w:p>
    <w:p>
      <w:pPr>
        <w:pStyle w:val="Heading2"/>
      </w:pPr>
      <w:r>
        <w:t>10 1 F11 Регистрация и подтверждение оплат</w:t>
      </w:r>
    </w:p>
    <w:p>
      <w:pPr>
        <w:keepNext/>
      </w:pPr>
      <w:r>
        <w:rPr>
          <w:b w:val="0"/>
        </w:rPr>
        <w:t>Основание — И12. Детализация — Р. Очередь — П1.</w:t>
      </w:r>
    </w:p>
    <w:p>
      <w:r>
        <w:rPr>
          <w:b w:val="0"/>
        </w:rPr>
        <w:t>Менеджер регистрирует заявление об оплате: клиент, организация продавца, счёт, сумма, валюта, дата платежа, номер документа, комментарий и подтверждающий файл. До подтверждения финансовым контролёром такая запись не уменьшает сумму к оплате и не запускает закупку. Совмещение ролей в небольшой компании разрешено при явном назначении; автор и подтверждающий сотрудник фиксируются раздельно.</w:t>
      </w:r>
    </w:p>
    <w:p>
      <w:r>
        <w:rPr>
          <w:b w:val="0"/>
        </w:rPr>
        <w:t>Подтверждённый платёж можно распределить между несколькими счетами одного клиента, одной организации продавца и той же валюты. Сумма распределений не превышает сумму платежа, а зачисление на счёт — остаток к оплате. Излишек хранится как нераспределённый аванс, а не теряется и не маскируется отрицательной задолженностью. Расчёты в другой валюте требуют отдельного согласованного правила; в П1 прямое распределение между валютами запрещено.</w:t>
      </w:r>
    </w:p>
    <w:p>
      <w:r>
        <w:rPr>
          <w:b w:val="0"/>
        </w:rPr>
        <w:t>Частичная оплата отражается суммой и остатком. Оплаченные счета не получают повторное зачисление при повторном подтверждении. Возможный дубль выявляется по организации, банковскому или внешнему идентификатору; при отсутствии идентификатора показывать совпадения по дате, сумме, плательщику и номеру, не блокируя реальные одинаковые платежи без разбора.</w:t>
      </w:r>
    </w:p>
    <w:p>
      <w:r>
        <w:rPr>
          <w:b w:val="0"/>
        </w:rPr>
        <w:t>Корректировка подтверждённой оплаты выполняется обратной операцией и новой записью, а не удалением истории. Возврат и снятие распределения пересчитывают состояние счёта. Если закупка уже согласована, система уведомляет руководителя и финансового контролёра, помечает дефицит финансирования и не отменяет физически отправленный товар автоматически.</w:t>
      </w:r>
    </w:p>
    <w:p>
      <w:pPr>
        <w:pStyle w:val="Heading2"/>
      </w:pPr>
      <w:r>
        <w:t>10 2 F12 Передача на согласование</w:t>
      </w:r>
    </w:p>
    <w:p>
      <w:pPr>
        <w:keepNext/>
      </w:pPr>
      <w:r>
        <w:rPr>
          <w:b w:val="0"/>
        </w:rPr>
        <w:t>Основание — И12–И13. Детализация — Р. Очередь — П1.</w:t>
      </w:r>
    </w:p>
    <w:p>
      <w:r>
        <w:rPr>
          <w:b w:val="0"/>
        </w:rPr>
        <w:t>Менеджер формирует состав исполнения: принятые строки КП, количества, счета и подтверждённые оплаты. По умолчанию П1 требует полного покрытия передаваемого состава. Частичный запуск после предоплаты возможен только после утверждения правила В08 с порогом и ответственным за исключение.</w:t>
      </w:r>
    </w:p>
    <w:p>
      <w:r>
        <w:rPr>
          <w:b w:val="0"/>
        </w:rPr>
        <w:t>До отправки проверить неизменность принятого состава, доступность квот, обязательные характеристики, сроки, финансовый порог и отсутствие уже переданного количества. Руководитель видит заявку, документы, финансирование, выбранные позиции, предполагаемые сроки и предупреждения. Доступ к детальной экономике определяется его финансовыми разрешениями.</w:t>
      </w:r>
    </w:p>
    <w:p>
      <w:r>
        <w:rPr>
          <w:b w:val="0"/>
        </w:rPr>
        <w:t>Решения: согласовать; вернуть на доработку; отклонить. Возврат и отклонение требуют комментария. Согласование фиксирует конкретную версию состава и не распространяется на последующие изменения цены, поставщика, количества или ключевых сроков. Такие изменения требуют нового решения. Событие отправки на согласование создаёт одну задачу руководителю и уведомление менеджеру о результате.</w:t>
      </w:r>
    </w:p>
    <w:p>
      <w:pPr>
        <w:pStyle w:val="Heading2"/>
      </w:pPr>
      <w:r>
        <w:t>10 3 F13 Волны и частичное исполнение</w:t>
      </w:r>
    </w:p>
    <w:p>
      <w:pPr>
        <w:keepNext/>
      </w:pPr>
      <w:r>
        <w:rPr>
          <w:b w:val="0"/>
        </w:rPr>
        <w:t>Основание — И13. Детализация — Р. Очередь — П1.</w:t>
      </w:r>
    </w:p>
    <w:p>
      <w:r>
        <w:rPr>
          <w:b w:val="0"/>
        </w:rPr>
        <w:t>Волна содержит номер, маршрут и страну отправления, ответственного, дату закрытия для добавления, плановые и фактические даты отправления и прибытия, комментарии и вложения. Интервал две недели из расшифровки считать примером расписания: даты редактируются и не зашиваются в код.</w:t>
      </w:r>
    </w:p>
    <w:p>
      <w:r>
        <w:rPr>
          <w:b w:val="0"/>
        </w:rPr>
        <w:t>Руководитель назначает согласованные позиции в открытые волны. Распределяется количество позиции исполнения, а не вся заявка одним неделимым объектом. Система показывает согласовано, распределено, не распределено, отправлено и доставлено по каждой позиции. Одно и то же количество нельзя одновременно включить в две активные волны. Операцию распределения выполнять транзакционно с защитой от параллельного назначения.</w:t>
      </w:r>
    </w:p>
    <w:p>
      <w:r>
        <w:rPr>
          <w:b w:val="0"/>
        </w:rPr>
        <w:t>Плановое распределение разрешено перенести в другую открытую волну с причиной. После фактической отправки перенос количества запрещён: исправление оформляется отдельным событием после проверки реального движения. Отмена плановой волны освобождает её распределения и возвращает позиции в очередь; отмена отправленной волны требует разбирательства и не стирает историю поставки.</w:t>
      </w:r>
    </w:p>
    <w:p>
      <w:r>
        <w:rPr>
          <w:b w:val="0"/>
        </w:rPr>
        <w:t>Фиксировать события подтверждения заказа поставщиком, готовности, отправки, прибытия и передачи клиенту. Указывать фактическое количество и подтверждающий документ. Нельзя доставить больше отправленного или отправить больше согласованного; недопоставка остаётся открытым остатком. Частичная поставка не завершает оставшуюся часть заявки. Изменение даты волны обновляет прогноз по связанным позициям и создаёт уведомление менеджеру, сохраняя отдельно обещанный клиенту срок.</w:t>
      </w:r>
    </w:p>
    <w:p>
      <w:r>
        <w:rPr>
          <w:b w:val="0"/>
        </w:rPr>
        <w:t>П1 не рассчитывает складские остатки автоматически по статусу «прибыла». Если требуется хранение, партии, сроки годности и складские движения, это добавляется отдельным объёмом по В10. Для общей логистики волны предусмотреть плановую сумму и распределение по позициям; фактические расходы и перерасчёт фактической доходности относятся к П2 и не изменяют старые клиентские цены.</w:t>
      </w:r>
    </w:p>
    <w:p>
      <w:bookmarkStart w:id="11" w:name="section_11"/>
      <w:pPr>
        <w:pStyle w:val="Heading1"/>
      </w:pPr>
      <w:r>
        <w:t>11 Аналитика и контроль работы</w:t>
      </w:r>
      <w:bookmarkEnd w:id="11"/>
    </w:p>
    <w:p>
      <w:pPr>
        <w:pStyle w:val="Heading2"/>
      </w:pPr>
      <w:r>
        <w:t>11 1 F14 Отчёты и определения показателей</w:t>
      </w:r>
    </w:p>
    <w:p>
      <w:pPr>
        <w:keepNext/>
      </w:pPr>
      <w:r>
        <w:rPr>
          <w:b w:val="0"/>
        </w:rPr>
        <w:t>Основание — И14. Детализация — Р. Очередь — базовые отчёты П1; фактическая доходность П2.</w:t>
      </w:r>
    </w:p>
    <w:p>
      <w:r>
        <w:rPr>
          <w:b w:val="0"/>
        </w:rPr>
        <w:t>Руководителю предоставить панели по заявкам, этапам, результатам, сотрудникам, клиентам, поставщикам и волнам. Каждый показатель открывает список исходных записей с теми же фильтрами. Менеджер видит свои и разрешённые совместные записи; финансовые показатели ограничиваются правами. Не считать ручные записи звонков подтверждённой активностью телефонной системы.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301"/>
      </w:tblGrid>
      <w:tr>
        <w:trPr>
          <w:cantSplit/>
          <w:tblHeader w:val="true"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Правило расчёта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Новые заявки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Число уникальных заявок с датой создания в выбранном периоде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Распределение результатов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Для заявок, созданных в периоде, текущее состояние на момент отчёта; доля каждой группы от числа таких заявок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Завершённые продажи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Заявки с первым подтверждением продажи в периоде по принятому критерию; повторные версии КП не учитываются как новые продажи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Конверсия закрытых заявок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Продажи среди заявок, закрытых в периоде, делённые на все закрытые в периоде. Незавершённые исключаются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Причины потерь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Число и доля закрытых без продажи по справочнику причин, с переходом к заявкам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Скорость работы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Медиана и 90-й процентиль времени от создания до первого КП и до подтверждения продажи; незавершённые отдельно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Работа менеджера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Звонки по результатам, новые заявки, выданные КП, просроченные задачи, заявки без следующего действия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Сумма к оплате по счетам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Итоги действующих счетов за вычетом подтверждённых распределений; отдельно по валютам и срокам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Поступления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Подтверждённые платежи по дате поступления, возвраты и нераспределённые авансы отдельно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Плановая доходность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Цена принятого состава без отпускного налога минус соответствующая плановая себестоимость и согласованные вознаграждения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Исполнение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Нераспределённые, задержанные, частично и полностью доставленные количества по волнам и заявкам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/>
        </w:rPr>
        <w:t>Критерий продажи — В11.</w:t>
      </w:r>
      <w:r>
        <w:rPr>
          <w:b w:val="0"/>
        </w:rPr>
        <w:t xml:space="preserve"> Для проекта предложено первое согласование к исполнению оплаченного состава. Если заказчик считает продажей принятие КП, оплату либо полную поставку, закрепить другой критерий до внедрения отчёта. Полная отмена сделки отражается как отмена, а историческое событие подтверждения остаётся в журнале; показатели возвратов и отмен выводятся отдельно.</w:t>
      </w:r>
    </w:p>
    <w:p>
      <w:r>
        <w:rPr>
          <w:b w:val="0"/>
        </w:rPr>
        <w:t>У каждого отчёта явно показывать основу периода: дата создания, события, платежа или закрытия; часовой пояс; время формирования и фильтры. Для статистики менеджеров ответственность на дату события и текущая ответственность являются разными полями. Передача заявки другому сотруднику не должна переписывать автора старых результатов.</w:t>
      </w:r>
    </w:p>
    <w:p>
      <w:r>
        <w:rPr>
          <w:b w:val="0"/>
        </w:rPr>
        <w:t>Не суммировать суммы разных валют без указанного режима пересчёта. Для управленческого итога использовать сохранённые курсы соответствующих операций, а режим пересчёта на выбранную дату показывать отдельно. Пустую выборку отображать без деления на ноль. Архивирование не исключает реальные события из исторических отчётов; тестовые данные исключаются явным фильтром.</w:t>
      </w:r>
    </w:p>
    <w:p>
      <w:r>
        <w:rPr>
          <w:b w:val="0"/>
        </w:rPr>
        <w:t>Выгрузка XLSX должна совпадать с видимыми фильтрами, итогами и правами. Плановая доходность не называется фактической прибылью, пока отсутствуют подтверждённые расходы и движения. Расширенная аналитика П2 добавляет сравнение плановых и фактических расходов на той же структуре данных.</w:t>
      </w:r>
    </w:p>
    <w:p>
      <w:bookmarkStart w:id="12" w:name="section_12"/>
      <w:pPr>
        <w:pStyle w:val="Heading1"/>
      </w:pPr>
      <w:r>
        <w:t>12 Задачи уведомления и внутреннее общение</w:t>
      </w:r>
      <w:bookmarkEnd w:id="12"/>
    </w:p>
    <w:p>
      <w:pPr>
        <w:pStyle w:val="Heading2"/>
      </w:pPr>
      <w:r>
        <w:t>12 1 F15 Задачи и уведомления</w:t>
      </w:r>
    </w:p>
    <w:p>
      <w:pPr>
        <w:keepNext/>
      </w:pPr>
      <w:r>
        <w:rPr>
          <w:b w:val="0"/>
        </w:rPr>
        <w:t>Основание — потребность в контроле из И14; конкретные механизмы — Р. Очередь — П1.</w:t>
      </w:r>
    </w:p>
    <w:p>
      <w:r>
        <w:rPr>
          <w:b w:val="0"/>
        </w:rPr>
        <w:t>Задача содержит название, связанный объект, исполнителя, постановщика, срок, приоритет, статус и результат. Минимальные статусы: назначена, выполняется, завершена, отменена. Завершение требует результата, отмена — причины. Задача следующего звонка видна в личном списке и в клиентской истории.</w:t>
      </w:r>
    </w:p>
    <w:p>
      <w:r>
        <w:rPr>
          <w:b w:val="0"/>
        </w:rPr>
        <w:t>Встроенные уведомления создаются при назначении задачи, приближении и нарушении срока, запросе согласования, возврате заявки, подтверждении или отмене оплаты, изменении волны и упоминании в обсуждении. Интервалы напоминаний настраиваются; рекомендуемое начальное правило — за один рабочий день и при наступлении просрочки. Рабочий календарь и часовой пояс требуют настройки.</w:t>
      </w:r>
    </w:p>
    <w:p>
      <w:r>
        <w:rPr>
          <w:b w:val="0"/>
        </w:rPr>
        <w:t>Повторная обработка одного события не создаёт несколько одинаковых уведомлений. Показывать непрочитанные, прочитанные и ссылку на объект. Уведомление не содержит закрытых сумм и недоступных файлов. При изменении доступа ссылка повторно проверяет права. Доставка уведомления и создание бизнес-операции должны быть связаны надёжным механизмом повторной обработки.</w:t>
      </w:r>
    </w:p>
    <w:p>
      <w:pPr>
        <w:pStyle w:val="Heading2"/>
      </w:pPr>
      <w:r>
        <w:t>12 2 F16 Мессенджер и файлы</w:t>
      </w:r>
    </w:p>
    <w:p>
      <w:pPr>
        <w:keepNext/>
      </w:pPr>
      <w:r>
        <w:rPr>
          <w:b w:val="0"/>
        </w:rPr>
        <w:t>Основание — И16. Детализация — Р. Очередь — базовые функции П1.</w:t>
      </w:r>
    </w:p>
    <w:p>
      <w:r>
        <w:rPr>
          <w:b w:val="0"/>
        </w:rPr>
        <w:t>Поддержать личные и групповые чаты сотрудников, текст, вложения, упоминания, отметку непрочитанного и уведомления. У заявки и волны предусмотреть связанное обсуждение. Сообщение содержит отправителя, время и стабильный идентификатор; повтор при сетевом сбое не создаёт дубль. После восстановления соединения клиент догружает пропущенные сообщения.</w:t>
      </w:r>
    </w:p>
    <w:p>
      <w:r>
        <w:rPr>
          <w:b w:val="0"/>
        </w:rPr>
        <w:t>Комментарии заявки доступны действующим участникам с правом чтения заявки. Личные чаты доступны участникам; роль руководителя сама по себе не открывает всю личную переписку. Для групповых чатов П1 новый участник получает историю группы, о чём инициатору показывается предупреждение; исключённый участник теряет доступ к чату. Политика истории при изменении состава должна быть подтверждена по В14.</w:t>
      </w:r>
    </w:p>
    <w:p>
      <w:r>
        <w:rPr>
          <w:b w:val="0"/>
        </w:rPr>
        <w:t>Файлы хранить централизованно с именем, размером, типом, автором, временем и контрольной суммой. Ограничить допустимые типы и размер; начальный предел — 25 МБ на файл с возможностью настройки. Проверять соответствие фактического типа заявленному, выполнять проверку вредоносного содержимого и изолировать файл до её завершения. Не открывать исполняемый HTML или скрипты в контексте приложения.</w:t>
      </w:r>
    </w:p>
    <w:p>
      <w:r>
        <w:rPr>
          <w:b w:val="0"/>
        </w:rPr>
        <w:t>Вложение в чате может быть самостоятельным файлом либо ссылкой на документ CRM. Ссылка сохраняет права исходного документа. Загрузка копии финансового документа в общий чат не должна быть штатным способом обхода ограничений; финансовые выгрузки доступны только уполномоченным ролям. Полнотекстовый поиск по содержимому файлов, редактор документов, голосовые сообщения и видеозвонки в П1 не входят.</w:t>
      </w:r>
    </w:p>
    <w:p>
      <w:bookmarkStart w:id="13" w:name="section_13"/>
      <w:pPr>
        <w:pStyle w:val="Heading1"/>
      </w:pPr>
      <w:r>
        <w:t>13 Внутренняя сверка интеграции и аналитический помощник</w:t>
      </w:r>
      <w:bookmarkEnd w:id="13"/>
    </w:p>
    <w:p>
      <w:pPr>
        <w:pStyle w:val="Heading2"/>
      </w:pPr>
      <w:r>
        <w:t>13 1 F17 Внутренний акт сверки</w:t>
      </w:r>
    </w:p>
    <w:p>
      <w:pPr>
        <w:keepNext/>
      </w:pPr>
      <w:r>
        <w:rPr>
          <w:b w:val="0"/>
        </w:rPr>
        <w:t>Основание — И17, функция обозначена предположительно. Детализация — Р. Очередь — П2 после В09.</w:t>
      </w:r>
    </w:p>
    <w:p>
      <w:r>
        <w:rPr>
          <w:b w:val="0"/>
        </w:rPr>
        <w:t>Перед реализацией определить, с кем выполняется сверка: покупателями, поставщиками или обоими типами; в какой системе находятся достоверные начисления, оплаты, возвраты и начальные остатки. Сам по себе выставленный счёт не является достаточным основанием для формирования оборота задолженности.</w:t>
      </w:r>
    </w:p>
    <w:p>
      <w:r>
        <w:rPr>
          <w:b w:val="0"/>
        </w:rPr>
        <w:t>Для внутренней формы требуются организация, контрагент, валюта, период, входящий остаток, движения с датами и основаниями, исходящий остаток. Каждое движение должно иметь первоисточник — подтверждённую реализацию, импортированную учётную операцию, оплату или корректировку. Исходящий остаток определяется входящим остатком и движениями с явно заданной стороной увеличения или уменьшения долга.</w:t>
      </w:r>
    </w:p>
    <w:p>
      <w:r>
        <w:rPr>
          <w:b w:val="0"/>
        </w:rPr>
        <w:t>Форма должна показывать полноту данных и дату последней загрузки. При отсутствии начислений или начального остатка вместо достоверной сверки показывать неполноту и блокировать выпуск окончательного акта; доступна только справка о зарегистрированных операциях. Шаблон и назначение внутренней формы согласуются с ответственным за учёт. Её создание не означает реализацию бухгалтерской системы или формирования УПД.</w:t>
      </w:r>
    </w:p>
    <w:p>
      <w:pPr>
        <w:pStyle w:val="Heading2"/>
      </w:pPr>
      <w:r>
        <w:t>13 2 F18 Интеграции и границы обмена</w:t>
      </w:r>
    </w:p>
    <w:p>
      <w:pPr>
        <w:keepNext/>
      </w:pPr>
      <w:r>
        <w:rPr>
          <w:b w:val="0"/>
        </w:rPr>
        <w:t>Основание — И02, И04 для Excel; остальные интеграции — Р. В П1 обязательны импорт клиентской базы XLSX и экспорт запросов; внешние подключения — П2.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301"/>
      </w:tblGrid>
      <w:tr>
        <w:trPr>
          <w:cantSplit/>
          <w:tblHeader w:val="true"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Обмен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Направление и источник истины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Бухгалтерская система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CRM передаёт согласованные данные продажи; бухгалтерия возвращает подтверждённые учётные операции. Точные объекты и приоритеты утверждаются по В09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Банк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Выписка поступает в CRM; банк — источник идентификатора и факта транзакции, CRM — источник её сопоставления со счетами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Почта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Отправка и получение с привязкой к клиенту и заявке; отправленность определяется ответом почтовой системы, а не созданием файла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Телефония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События вызова и ссылка на запись; CRM связывает их с контактом и заявкой. Хранение записей согласуется отдельно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Курсы валют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Внешний справочник обновляет доступные курсы; конкретный расчёт хранит свой зафиксированный снимок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 w:val="0"/>
        </w:rPr>
        <w:t>Для каждого обмена определить версию формата, обязательные поля, внешний идентификатор, сопоставление справочников, направление изменений, расписание, тайм-ауты и обработку ошибок. Событие обрабатывается повторяемо без дублирования платежей, документов и клиентов. Внешние данные сначала проверяются, затем применяются транзакционно. Ошибка интеграции видна ответственному с возможностью повторить именно неуспешную операцию.</w:t>
      </w:r>
    </w:p>
    <w:p>
      <w:r>
        <w:rPr>
          <w:b w:val="0"/>
        </w:rPr>
        <w:t>Не выполнять автоматическое сопоставление по одному имени организации. Коллизии реквизитов и неоднозначные платежи направлять на ручное решение. До запуска двустороннего обмена утверждать владельца каждого поля; правило «последнее изменение всегда побеждает» для финансовых данных недопустимо.</w:t>
      </w:r>
    </w:p>
    <w:p>
      <w:pPr>
        <w:pStyle w:val="Heading2"/>
      </w:pPr>
      <w:r>
        <w:t>13 3 F19 Аналитический помощник</w:t>
      </w:r>
    </w:p>
    <w:p>
      <w:pPr>
        <w:keepNext/>
      </w:pPr>
      <w:r>
        <w:rPr>
          <w:b w:val="0"/>
        </w:rPr>
        <w:t>Основание — И15, пожелание на перспективу. Архитектура доступа — Р. Очередь — П3.</w:t>
      </w:r>
    </w:p>
    <w:p>
      <w:r>
        <w:rPr>
          <w:b w:val="0"/>
        </w:rPr>
        <w:t>Поддержать вопросы вида «сколько заявок за полгода», «почему изменился результат продаж», «где задерживаются поставки». Ответ должен содержать период, использованные фильтры, время актуальности, числовые основания и ссылки на доступные пользователю заявки или отчёты. Выводы и предположения обозначаются отдельно от фактов.</w:t>
      </w:r>
    </w:p>
    <w:p>
      <w:r>
        <w:rPr>
          <w:b w:val="0"/>
        </w:rPr>
        <w:t>Рекомендуемый источник данных — ограниченный интерфейс аналитики с проверкой прав пользователя и подготовленными представлениями. Резервные копии остаются средством восстановления; прямой доступ модели к ним по IP не реализовывать. Помощник не получает произвольный доступ к базе, паролям, токенам, закрытой переписке и финансовым полям без разрешения.</w:t>
      </w:r>
    </w:p>
    <w:p>
      <w:r>
        <w:rPr>
          <w:b w:val="0"/>
        </w:rPr>
        <w:t>В первой версии помощник только читает: не меняет коэффициенты, не подтверждает оплаты, не создаёт заказы и не отправляет сообщения от имени сотрудников. Числовые показатели вычисляются серверными запросами и сверяются с обычными отчётами. Текст заявки или вложения считается данными и не может менять правила доступа помощника.</w:t>
      </w:r>
    </w:p>
    <w:p>
      <w:r>
        <w:rPr>
          <w:b w:val="0"/>
        </w:rPr>
        <w:t>До запуска определить провайдера, место обработки данных, разрешённый состав передаваемой информации, бюджет запросов, пределы времени и объёма выборок. На согласованном наборе вопросов проверить совпадение чисел с отчётами, отсутствие раскрытия закрытых записей и корректное сообщение о недостатке данных. Недоступность помощника не блокирует основную CRM.</w:t>
      </w:r>
    </w:p>
    <w:p>
      <w:bookmarkStart w:id="14" w:name="section_14"/>
      <w:pPr>
        <w:pStyle w:val="Heading1"/>
      </w:pPr>
      <w:r>
        <w:t>14 Интерфейс архитектура и API</w:t>
      </w:r>
      <w:bookmarkEnd w:id="14"/>
    </w:p>
    <w:p>
      <w:pPr>
        <w:pStyle w:val="Heading2"/>
      </w:pPr>
      <w:r>
        <w:t>14 1 Обязательные рабочие экраны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301"/>
      </w:tblGrid>
      <w:tr>
        <w:trPr>
          <w:cantSplit/>
          <w:tblHeader w:val="true"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Экран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Обязательное содержимое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Рабочий стол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Личные задачи, просрочки, заявки без следующего действия, уведомления и быстрый переход к работе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База обзвона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Таблица клиентов, импорт, фильтры, история звонков и форма следующего контакта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Реестр заявок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Таблица и доска этапов, фильтры, ответственный, сроки, финансовые и исполнительские признаки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Карточка заявки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Вкладки раздела 7, состав позиций, история и дерево связанных объектов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Сравнение квот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Варианты по позициям, поставщики и производители, характеристики, сроки, доступные цены и ограничения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Расчёт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Редактируемые параметры по правам, общий и детальный режим, предварительный итог, запись и сравнение версий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Документы и оплаты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КП и счета по версиям, файлы, распределения платежей, остатки и история подтверждения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Согласования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Очередь решений, состав и финансирование, комментарий, одобрение или возврат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Волны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Расписание, состав с количествами, нераспределённые позиции, плановые и фактические даты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Аналитика и общение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Отчёты с детализацией, чаты, связанные обсуждения и файлы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Администрирование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Пользователи, итоговые права, справочники, шаблоны, профили расчёта, журнал ошибок и аудит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 w:val="0"/>
        </w:rPr>
        <w:t>Интерфейс — на русском языке. В числах и датах использовать единый согласованный формат, валюту и единицу показывать рядом со значением. В таблицах поддержать поиск, сортировку, пагинацию и сохранённые фильтры. Несохранённые изменения не теряются без предупреждения при закрытии формы. Ошибки связывать с конкретными полями и объяснять действие для исправления.</w:t>
      </w:r>
    </w:p>
    <w:p>
      <w:r>
        <w:rPr>
          <w:b w:val="0"/>
        </w:rPr>
        <w:t>Полные табличные операции рассчитаны на рабочее место с экраном от 1280 пикселей по ширине. На телефоне от 390 пикселей обеспечить просмотр заявки, задач, уведомлений и чатов; большие таблицы имеют управляемую горизонтальную прокрутку. Конкретную матрицу браузеров зафиксировать при старте: рекомендуются две последние стабильные версии Chrome и Edge, актуальные Safari на macOS и iOS. Управление основными формами должно быть доступно с клавиатуры, ошибки не обозначаются только цветом.</w:t>
      </w:r>
    </w:p>
    <w:p>
      <w:pPr>
        <w:pStyle w:val="Heading2"/>
      </w:pPr>
      <w:r>
        <w:t>14 2 Предлагаемая архитектура</w:t>
      </w:r>
    </w:p>
    <w:p>
      <w:r>
        <w:rPr>
          <w:b w:val="0"/>
        </w:rPr>
        <w:t>Для исходного масштаба рекомендовано одно серверное приложение с самостоятельными модулями клиентов, закупок, расчётов, документов, платежей, поставок и коммуникаций. Общая транзакционная реляционная база хранит бизнес-объекты; защищённое файловое хранилище — вложения и выпущенные документы; фоновые задачи — импорт, генерацию файлов, уведомления и обмены.</w:t>
      </w:r>
    </w:p>
    <w:p>
      <w:r>
        <w:rPr>
          <w:b w:val="0"/>
        </w:rPr>
        <w:t>Конкретные язык, серверный фреймворк и интерфейсная библиотека выбираются после аудита существующего прототипа. Обязательные условия: поддерживаемые версии компонентов, возможность воспроизвести сборку, отделение финансового алгоритма от экранов, автоматические проверки бизнес-правил и отсутствие зависимости данных от личного компьютера разработчика. Разделение на множество микросервисов для П1 не требуется.</w:t>
      </w:r>
    </w:p>
    <w:p>
      <w:r>
        <w:rPr>
          <w:b w:val="0"/>
        </w:rPr>
        <w:t>Проверки прав, расчёты, переходы состояний и контроль количества выполняются на сервере. Финансовые версии и документы должны быть воспроизводимы после обновления программы. Фоновые операции имеют статус, прогресс, идентификатор и повторяемую обработку. Уведомления создаются на основании уже сохранённых бизнес-событий с возможностью надёжной повторной доставки.</w:t>
      </w:r>
    </w:p>
    <w:p>
      <w:pPr>
        <w:pStyle w:val="Heading2"/>
      </w:pPr>
      <w:r>
        <w:t>14 3 Контракты API</w:t>
      </w:r>
    </w:p>
    <w:p>
      <w:r>
        <w:rPr>
          <w:b w:val="0"/>
        </w:rPr>
        <w:t>API — программный интерфейс между экраном и сервером. До реализации подготовить машиночитаемую спецификацию OpenAPI с примерами запросов, ответов и ошибок. Ниже приведены рекомендуемые операции; точные маршруты могут быть уточнены без изменения бизнес-правил.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301"/>
      </w:tblGrid>
      <w:tr>
        <w:trPr>
          <w:cantSplit/>
          <w:tblHeader w:val="true"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Операция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Пример маршрута и обязательный результат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Создание заявки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POST /api/v1/requests — идентификатор, номер, версия записи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Квоты позиции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POST /api/v1/request-items/{id}/quotes — сохранённая версия квоты и товарный вариант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Предварительный расчёт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POST /api/v1/calculations/preview — строки и итоги без выпуска документа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Запись расчёта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POST /api/v1/calculations — неизменяемая версия и ссылки на исходные версии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Выпуск КП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POST /api/v1/proposals — ссылка на расчёт, номер, версия и статус генерации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Подтверждение оплаты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POST /api/v1/payments/{id}/confirm — состояние и подтверждённые распределения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Решение руководителя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POST /api/v1/approvals/{id}/decision — решение по версии состава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Назначение волны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POST /api/v1/waves/{id}/allocations — принятые количества и актуальные остатки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 w:val="0"/>
        </w:rPr>
        <w:t>Передавать количества, курсы и денежные величины десятичными строками с явными валютой и единицей. Запись содержит номер версии. Изменение устаревшей версии возвращает конфликт 409 и не затирает чужие данные. Ошибка входных данных содержит код, поле, понятное сообщение и идентификатор запроса; нарушение прав не раскрывает закрытые объекты.</w:t>
      </w:r>
    </w:p>
    <w:p>
      <w:r>
        <w:rPr>
          <w:b w:val="0"/>
        </w:rPr>
        <w:t>Для выпуска документов, подтверждения оплаты, распределения количества и отправки решения использовать ключ повторяемости операции. Одинаковый ключ с тем же содержимым возвращает прежний результат; с другим содержимым — конфликт. Уникальные ограничения и транзакции защищают от параллельного создания дублей. Массовое изменение статуса через общий метод редактирования не должно обходить проверку переходов.</w:t>
      </w:r>
    </w:p>
    <w:p>
      <w:bookmarkStart w:id="15" w:name="section_15"/>
      <w:pPr>
        <w:pStyle w:val="Heading1"/>
      </w:pPr>
      <w:r>
        <w:t>15 Нефункциональные требования</w:t>
      </w:r>
      <w:bookmarkEnd w:id="15"/>
    </w:p>
    <w:p>
      <w:r>
        <w:rPr>
          <w:b w:val="0"/>
        </w:rPr>
        <w:t>Все числовые показатели этого раздела — предлагаемые цели Р. Заказчик и исполнитель уточняют объёмы, инфраструктуру и стоимость их достижения до утверждения П1.</w:t>
      </w:r>
    </w:p>
    <w:p>
      <w:pPr>
        <w:pStyle w:val="Heading2"/>
      </w:pPr>
      <w:r>
        <w:t>15 1 N01 Нагрузка и скорость</w:t>
      </w:r>
    </w:p>
    <w:p>
      <w:r>
        <w:rPr>
          <w:b w:val="0"/>
        </w:rPr>
        <w:t>Проектный профиль П1: 50 заведённых сотрудников, до 30 одновременно работающих; 100 000 контрагентов, 50 000 заявок, до 500 000 квот; до 100 позиций в обычной заявке и до 100 строк в одном расчёте. Это запас на рост, а не сведения о текущем объёме компании.</w:t>
      </w:r>
    </w:p>
    <w:p>
      <w:r>
        <w:rPr>
          <w:b w:val="0"/>
        </w:rPr>
        <w:t>На согласованном испытательном окружении при этом профиле: 95 процентов обычных открытий карточек и фильтраций — не дольше 2 секунд; предварительный расчёт до 100 строк — не дольше 1 секунды серверного времени; базовый отчёт за год — не дольше 5 секунд; PDF до 100 строк — до 30 секунд; импорт 10 000 строк — до 120 секунд как фоновая операция. Время передачи крупных файлов через интернет измеряется отдельно. Для каждого показателя в протоколе указывать конфигурацию сервера, набор данных, сценарий и параллельность.</w:t>
      </w:r>
    </w:p>
    <w:p>
      <w:pPr>
        <w:pStyle w:val="Heading2"/>
      </w:pPr>
      <w:r>
        <w:t>15 2 N02 Целостность и совместная работа</w:t>
      </w:r>
    </w:p>
    <w:p>
      <w:r>
        <w:rPr>
          <w:b w:val="0"/>
        </w:rPr>
        <w:t>При разрыве соединения или повторе запроса не дублировать документы, оплаты, чаты и распределения. Не допускать потери подтверждённых операций при перезапуске приложения. Для финансовых операций использовать атомарные транзакции. Конфликт изменения показывается пользователю с возможностью перечитать актуальную запись.</w:t>
      </w:r>
    </w:p>
    <w:p>
      <w:r>
        <w:rPr>
          <w:b w:val="0"/>
        </w:rPr>
        <w:t>Сохранять связи после изменения справочников и архивирования пользователей. Контрольные суммы файлов выявляют повреждение. Несуществующие связи, превышенные количества и отрицательные остатки должны блокироваться независимо от способа вызова API.</w:t>
      </w:r>
    </w:p>
    <w:p>
      <w:pPr>
        <w:pStyle w:val="Heading2"/>
      </w:pPr>
      <w:r>
        <w:t>15 3 N03 Авторизация и защита</w:t>
      </w:r>
    </w:p>
    <w:p>
      <w:r>
        <w:rPr>
          <w:b w:val="0"/>
        </w:rPr>
        <w:t>Доступ только для приглашённых сотрудников через защищённое соединение. Для привилегированных ролей предусмотреть второй фактор. Ограничивать попытки входа, хранить пароли в виде стойких проверочных значений, токены и ключи интеграций — вне клиентского кода и журналов. Смена роли и блокировка применяются к последующим обращениям без ожидания нового входа.</w:t>
      </w:r>
    </w:p>
    <w:p>
      <w:r>
        <w:rPr>
          <w:b w:val="0"/>
        </w:rPr>
        <w:t>Экспорт и массовое скачивание — отдельные разрешения с записью в аудит. Документы не публикуются по бессрочным открытым ссылкам; при скачивании проверяются права либо выдаётся короткоживущая ссылка после проверки. Тестовая среда использует обезличенные данные и самостоятельные ключи. Страну размещения, состав персональных данных и обязательные сроки хранения определить по В13.</w:t>
      </w:r>
    </w:p>
    <w:p>
      <w:pPr>
        <w:pStyle w:val="Heading2"/>
      </w:pPr>
      <w:r>
        <w:t>15 4 N04 Аудит</w:t>
      </w:r>
    </w:p>
    <w:p>
      <w:r>
        <w:rPr>
          <w:b w:val="0"/>
        </w:rPr>
        <w:t>Записывать создание и изменение заявок, квот, параметров расчёта, документов, оплат, согласований, волн, прав доступа, экспорт и архивирование. Событие содержит объект, действие, автора, время, исходное и новое значение допустимых для аудита полей, причину и идентификатор операции. В журнал не попадают пароли и токены.</w:t>
      </w:r>
    </w:p>
    <w:p>
      <w:r>
        <w:rPr>
          <w:b w:val="0"/>
        </w:rPr>
        <w:t>Обычный пользователь и прикладной администратор не могут исправлять события аудита. Просмотр журнала ограничивается полномочиями. Предлагаемый минимальный срок хранения журнала — 12 месяцев, окончательный срок согласуется по В13. Историю финансовых объектов и выпущенные документы не удалять автоматически до утверждения политики хранения.</w:t>
      </w:r>
    </w:p>
    <w:p>
      <w:pPr>
        <w:pStyle w:val="Heading2"/>
      </w:pPr>
      <w:r>
        <w:t>15 5 N05 Доступность и наблюдаемость</w:t>
      </w:r>
    </w:p>
    <w:p>
      <w:r>
        <w:rPr>
          <w:b w:val="0"/>
        </w:rPr>
        <w:t>Целевая доступность — 99,5 процента в месяц; окно плановых работ и правила учёта недоступности согласовать отдельно. Система предоставляет проверку состояния, технические журналы, метрики очередей, ошибок генерации, интеграций и задержек расчёта. У ответственного за сопровождение есть уведомления о критических ошибках и неуспешной резервной копии.</w:t>
      </w:r>
    </w:p>
    <w:p>
      <w:r>
        <w:rPr>
          <w:b w:val="0"/>
        </w:rPr>
        <w:t>Ошибки, связанные с бизнес-операциями, находятся по идентификатору из интерфейса. Сообщение пользователю не содержит технических секретов. Отказ интеграции или аналитического помощника не блокирует просмотр заявок и доступ к уже выпущенным документам.</w:t>
      </w:r>
    </w:p>
    <w:p>
      <w:pPr>
        <w:pStyle w:val="Heading2"/>
      </w:pPr>
      <w:r>
        <w:t>15 6 N06 Резервное копирование и восстановление</w:t>
      </w:r>
    </w:p>
    <w:p>
      <w:pPr>
        <w:keepNext/>
      </w:pPr>
      <w:r>
        <w:rPr>
          <w:b w:val="0"/>
        </w:rPr>
        <w:t>Основание — И15 для необходимости резервирования. Детализация — Р. Очередь — П1.</w:t>
      </w:r>
    </w:p>
    <w:p>
      <w:r>
        <w:rPr>
          <w:b w:val="0"/>
        </w:rPr>
        <w:t>Целевая допустимая потеря данных при восстановлении — не более одного часа; восстановление работоспособности — не более четырёх часов на согласованном объёме. Копии базы, файлов и конфигурации должны позволять восстановить согласованное состояние. Одной ежедневной копии недостаточно для часовой цели: дополнительно нужны журналы изменений либо более частое резервирование.</w:t>
      </w:r>
    </w:p>
    <w:p>
      <w:r>
        <w:rPr>
          <w:b w:val="0"/>
        </w:rPr>
        <w:t>Хранить копии отдельно от рабочего приложения с отдельными полномочиями и защитой содержимого. Предлагаемый срок ежедневных точек — 30 дней; частые точки за последние сутки. Временные выгрузки удалять по согласованному сроку, рекомендуемое значение — 24 часа. Резервные копии не доступны сотрудникам через обычный интерфейс и не используются как источник для нейросети.</w:t>
      </w:r>
    </w:p>
    <w:p>
      <w:r>
        <w:rPr>
          <w:b w:val="0"/>
        </w:rPr>
        <w:t>До запуска выполнить восстановление на отдельной среде и проверить заявки, версии расчётов, документы, оплаты и вложения. Повторять учебное восстановление не реже раза в квартал. Наличие файла копии без проверки восстановления не считается выполнением требования.</w:t>
      </w:r>
    </w:p>
    <w:p>
      <w:pPr>
        <w:pStyle w:val="Heading2"/>
      </w:pPr>
      <w:r>
        <w:t>15 7 N07 Развёртывание и сопровождение</w:t>
      </w:r>
    </w:p>
    <w:p>
      <w:r>
        <w:rPr>
          <w:b w:val="0"/>
        </w:rPr>
        <w:t>Подготовить отдельные среды разработки, тестирования и эксплуатации, автоматизированную сборку, инструкции запуска, миграции базы и план отката релиза. Обновление структуры базы должно сохранять действующие документы и исторические версии. Исполнитель предоставляет перечень зависимостей, лицензий и внешних сервисов, схему конфигурации и порядок обновлений.</w:t>
      </w:r>
    </w:p>
    <w:p>
      <w:r>
        <w:rPr>
          <w:b w:val="0"/>
        </w:rPr>
        <w:t>Перед внедрением согласовать владельца серверов и домена, ответственного за копии, правила доступа разработчиков к эксплуатации, порядок регистрации инцидентов и часы поддержки. Общие личные аккаунты для сотрудников не использовать.</w:t>
      </w:r>
    </w:p>
    <w:p>
      <w:pPr>
        <w:pStyle w:val="Heading2"/>
      </w:pPr>
      <w:r>
        <w:t>15 8 N08 Миграция существующих данных</w:t>
      </w:r>
    </w:p>
    <w:p>
      <w:r>
        <w:rPr>
          <w:b w:val="0"/>
        </w:rPr>
        <w:t>Собрать реестр Excel-файлов, справочников и данных прототипа, назначить владельцев колонок и источники истины. Определить, какие исторические документы и расчёты переносятся структурированно, а какие остаются архивными файлами с привязкой к клиенту и заявке.</w:t>
      </w:r>
    </w:p>
    <w:p>
      <w:r>
        <w:rPr>
          <w:b w:val="0"/>
        </w:rPr>
        <w:t>Выполнить пробный перенос, сопоставление дублей, контроль числа записей и сумм по валютам. Старые расчёты без полного состава формул и курсов обозначать как архивные; не пересчитывать их новым алгоритмом и не выдавать за восстановленные версии. Перед окончательным переносом зафиксировать момент прекращения изменений в старых источниках либо процедуру переноса дельты. Подготовить отчёт расхождений и возможность вернуться к исходным файлам до принятия миграции.</w:t>
      </w:r>
    </w:p>
    <w:p>
      <w:bookmarkStart w:id="16" w:name="section_16"/>
      <w:pPr>
        <w:pStyle w:val="Heading1"/>
      </w:pPr>
      <w:r>
        <w:t>16 Критерии приёмки</w:t>
      </w:r>
      <w:bookmarkEnd w:id="16"/>
    </w:p>
    <w:p>
      <w:r>
        <w:rPr>
          <w:b w:val="0"/>
        </w:rPr>
        <w:t>Приёмка выполняется на отдельной среде и согласованных данных. Для П1 обязательны A01–A22; A23 проверяется при поставке F17, A24 — при поставке F19. Все сценарии — Р и становятся контрольными после утверждения ТЗ. Для расчёта дополнительно обязателен набор реальных примеров заказчика по В02.</w:t>
      </w:r>
    </w:p>
    <w:p>
      <w:pPr>
        <w:pStyle w:val="Heading2"/>
      </w:pPr>
      <w:r>
        <w:t>16 1 A01 Импорт без дублей</w:t>
      </w:r>
    </w:p>
    <w:p>
      <w:r>
        <w:rPr>
          <w:b w:val="0"/>
        </w:rPr>
        <w:t>Предусловие: файл из 100 строк, среди которых 90 новых корректных записей, пять строк с уже сопоставленными внешними идентификаторами и пять ошибочных. Действие: выполнить просмотр и подтверждённый импорт, затем повторить ту же операцию. Ожидается: 90 созданий, пять обновлений и пять ошибок с причинами; повтор не создаёт дополнительные записи. Источник и история звонков существующих клиентов сохраняются. Покрывает F02.</w:t>
      </w:r>
    </w:p>
    <w:p>
      <w:pPr>
        <w:pStyle w:val="Heading2"/>
      </w:pPr>
      <w:r>
        <w:t>16 2 A02 Обзвон и создание заявки</w:t>
      </w:r>
    </w:p>
    <w:p>
      <w:r>
        <w:rPr>
          <w:b w:val="0"/>
        </w:rPr>
        <w:t>Предусловие: клиент назначен менеджеру. Действие: зарегистрировать звонок с результатом «перезвонить», назначить срок, затем из следующего успешного звонка создать заявку. Ожидается: задача с нужным сроком, два события истории, одна карточка клиента и связанная заявка. Покрывает F03–F04.</w:t>
      </w:r>
    </w:p>
    <w:p>
      <w:pPr>
        <w:pStyle w:val="Heading2"/>
      </w:pPr>
      <w:r>
        <w:t>16 3 A03 Правильный запрос поставщику</w:t>
      </w:r>
    </w:p>
    <w:p>
      <w:r>
        <w:rPr>
          <w:b w:val="0"/>
        </w:rPr>
        <w:t>Предусловие: в заявке три позиции с CAS, фасовкой и количеством. Действие: выбрать две и сформировать файл для поставщика. Ожидается: только выбранные строки и разрешённые поля; исходный запрос сохранён версией, скачивание не означает отправку. Покрывает F05.</w:t>
      </w:r>
    </w:p>
    <w:p>
      <w:pPr>
        <w:pStyle w:val="Heading2"/>
      </w:pPr>
      <w:r>
        <w:t>16 4 A04 Создание товарного варианта</w:t>
      </w:r>
    </w:p>
    <w:p>
      <w:r>
        <w:rPr>
          <w:b w:val="0"/>
        </w:rPr>
        <w:t>Предусловие: вещество и фасовка 25 г уже существуют. Действие: два пользователя одновременно сохраняют квоты на одинаковый новый вариант 100 г. Ожидается: один новый вариант, две квоты и неизменённая карточка 25 г. Смена поставщика при том же производителе и товаре не создаёт дубль. Покрывает F06–F07, N02.</w:t>
      </w:r>
    </w:p>
    <w:p>
      <w:pPr>
        <w:pStyle w:val="Heading2"/>
      </w:pPr>
      <w:r>
        <w:t>16 5 A05 CAS и единицы</w:t>
      </w:r>
    </w:p>
    <w:p>
      <w:r>
        <w:rPr>
          <w:b w:val="0"/>
        </w:rPr>
        <w:t>Предусловие: строка без CAS и строка с неверной контрольной цифрой. Действие: оформить первую с причиной отсутствия номера, вторую попытаться подтвердить; отдельно рассчитать 100 г из упаковок по 25 г. Ожидается: отсутствие CAS обрабатывается явно, неверный номер не принимается как проверенный, количество упаковок равно четырём. Пересчёт массы в объём без коэффициента запрещён. Покрывает F07.</w:t>
      </w:r>
    </w:p>
    <w:p>
      <w:pPr>
        <w:pStyle w:val="Heading2"/>
      </w:pPr>
      <w:r>
        <w:t>16 6 A06 Группа одного КП</w:t>
      </w:r>
    </w:p>
    <w:p>
      <w:r>
        <w:rPr>
          <w:b w:val="0"/>
        </w:rPr>
        <w:t>Предусловие: квоты двух поставщиков и двух валют, включая товары разных производителей у одного поставщика. Действие: выбрать смешанный состав, затем однородный. Ожидается: смешанный состав блокируется или делится после подтверждения; разные производители у одного поставщика и в одной валюте допустимы. Прямой API-вызов не обходит правило. Покрывает F08, F10.</w:t>
      </w:r>
    </w:p>
    <w:p>
      <w:pPr>
        <w:pStyle w:val="Heading2"/>
      </w:pPr>
      <w:r>
        <w:t>16 7 A07 Истёкшая квота и аналог</w:t>
      </w:r>
    </w:p>
    <w:p>
      <w:r>
        <w:rPr>
          <w:b w:val="0"/>
        </w:rPr>
        <w:t>Предусловие: одна квота истекла, другая предлагает несогласованный аналог. Действие: попытаться выпустить КП и запустить закупку. Ожидается: точное объяснение блокировки; после новой подтверждённой квоты и решения по аналогу выпуск доступен. Покрывает F06, F08, F12.</w:t>
      </w:r>
    </w:p>
    <w:p>
      <w:pPr>
        <w:pStyle w:val="Heading2"/>
      </w:pPr>
      <w:r>
        <w:t>16 8 A08 Арифметика и распределение</w:t>
      </w:r>
    </w:p>
    <w:p>
      <w:r>
        <w:rPr>
          <w:b w:val="0"/>
        </w:rPr>
        <w:t>Предусловие: тестовый профиль раздела 8 4. Действие: выполнить расчёт, затем распределить расход с округлением на три строки. Ожидается: себестоимость 2 500, денежная потребность 2 731, итог клиенту 3 593,75; сумма распределений точно равна расходу. Сценарии с нулевой базой, отрицательным курсом и неполным профилем блокируются. Покрывает F08, N02.</w:t>
      </w:r>
    </w:p>
    <w:p>
      <w:pPr>
        <w:pStyle w:val="Heading2"/>
      </w:pPr>
      <w:r>
        <w:t>16 9 A09 Запись и сохранность версии</w:t>
      </w:r>
    </w:p>
    <w:p>
      <w:r>
        <w:rPr>
          <w:b w:val="0"/>
        </w:rPr>
        <w:t>Предусловие: записан расчёт и выпущено КП. Действие: изменить курс, цену квоты, реквизиты клиента и шаблон, затем повторно открыть старые документы. Ожидается: старые значения и файл сохранены; новый расчёт имеет другой номер версии и показывает отличия. Покрывает F09–F10.</w:t>
      </w:r>
    </w:p>
    <w:p>
      <w:pPr>
        <w:pStyle w:val="Heading2"/>
      </w:pPr>
      <w:r>
        <w:t>16 10 A10 Конфликт и повтор команды</w:t>
      </w:r>
    </w:p>
    <w:p>
      <w:r>
        <w:rPr>
          <w:b w:val="0"/>
        </w:rPr>
        <w:t>Предусловие: два пользователя открыли одну версию записи. Действие: один сохраняет изменения, второй отправляет устаревшие; отдельно повторить команду выпуска документа с тем же ключом. Ожидается: конфликт без потери изменений и ровно один выпущенный документ. Покрывает F09–F10, N02.</w:t>
      </w:r>
    </w:p>
    <w:p>
      <w:pPr>
        <w:pStyle w:val="Heading2"/>
      </w:pPr>
      <w:r>
        <w:t>16 11 A11 Альтернативы и частичное принятие</w:t>
      </w:r>
    </w:p>
    <w:p>
      <w:r>
        <w:rPr>
          <w:b w:val="0"/>
        </w:rPr>
        <w:t>Предусловие: запрос на 10 единиц и два альтернативных КП. Действие: принять шесть единиц из первого, четыре из второго, затем попробовать принять ещё одну. Ожидается: два состава исполнения суммарно на 10 единиц; превышение блокируется, непринятые альтернативы не увеличивают объём продажи. Покрывает F10, F14.</w:t>
      </w:r>
    </w:p>
    <w:p>
      <w:pPr>
        <w:pStyle w:val="Heading2"/>
      </w:pPr>
      <w:r>
        <w:t>16 12 A12 Счёт и неизменяемый файл</w:t>
      </w:r>
    </w:p>
    <w:p>
      <w:r>
        <w:rPr>
          <w:b w:val="0"/>
        </w:rPr>
        <w:t>Предусловие: принято КП и заполнены обязательные реквизиты. Действие: выпустить счёт, повторить скачивание и попытаться выставить второй полный счёт на тот же состав. Ожидается: корректные суммы и единая валюта, тот же файл при скачивании, запрет повторного полного выставления. Закупочные цены и вознаграждение отсутствуют в клиентских формах. Покрывает F10.</w:t>
      </w:r>
    </w:p>
    <w:p>
      <w:pPr>
        <w:pStyle w:val="Heading2"/>
      </w:pPr>
      <w:r>
        <w:t>16 13 A13 Подтверждение частичной оплаты</w:t>
      </w:r>
    </w:p>
    <w:p>
      <w:r>
        <w:rPr>
          <w:b w:val="0"/>
        </w:rPr>
        <w:t>Предусловие: счёт на 1 000 денежных единиц. Действие: менеджер заявляет 400, контролёр подтверждает, затем повторяет подтверждение. Ожидается: до подтверждения остаток 1 000, после — 600; повтор не зачисляет ещё 400. Передача полного состава в закупку блокируется при базовом правиле полного покрытия. Покрывает F11–F12.</w:t>
      </w:r>
    </w:p>
    <w:p>
      <w:pPr>
        <w:pStyle w:val="Heading2"/>
      </w:pPr>
      <w:r>
        <w:t>16 14 A14 Переплата и распределение</w:t>
      </w:r>
    </w:p>
    <w:p>
      <w:r>
        <w:rPr>
          <w:b w:val="0"/>
        </w:rPr>
        <w:t>Предусловие: остаток счёта 600, новый подтверждённый платёж 700. Действие: распределить платёж на счёт, затем попробовать распределить излишек на счёт другой валюты. Ожидается: счёт оплачен, 100 остаётся нераспределённым авансом; операция между валютами запрещена. Покрывает F11.</w:t>
      </w:r>
    </w:p>
    <w:p>
      <w:pPr>
        <w:pStyle w:val="Heading2"/>
      </w:pPr>
      <w:r>
        <w:t>16 15 A15 Отмена оплаты после согласования</w:t>
      </w:r>
    </w:p>
    <w:p>
      <w:r>
        <w:rPr>
          <w:b w:val="0"/>
        </w:rPr>
        <w:t>Предусловие: платёж подтверждён и закупка согласована. Действие: уполномоченный сотрудник оформляет обратную операцию. Ожидается: история сохранена, остаток пересчитан, руководитель уведомлён, выявлен дефицит финансирования; отправленные позиции не исчезают. Покрывает F11–F13.</w:t>
      </w:r>
    </w:p>
    <w:p>
      <w:pPr>
        <w:pStyle w:val="Heading2"/>
      </w:pPr>
      <w:r>
        <w:t>16 16 A16 Возврат и повторное согласование</w:t>
      </w:r>
    </w:p>
    <w:p>
      <w:r>
        <w:rPr>
          <w:b w:val="0"/>
        </w:rPr>
        <w:t>Предусловие: состав передан руководителю. Действие: вернуть его с причиной, изменить поставщика и повторно направить. Ожидается: отдельные версии и решения; старое одобрение не разрешает закупку изменённого состава. Покрывает F12.</w:t>
      </w:r>
    </w:p>
    <w:p>
      <w:pPr>
        <w:pStyle w:val="Heading2"/>
      </w:pPr>
      <w:r>
        <w:t>16 17 A17 Распределение по волнам</w:t>
      </w:r>
    </w:p>
    <w:p>
      <w:r>
        <w:rPr>
          <w:b w:val="0"/>
        </w:rPr>
        <w:t>Предусловие: согласовано 10 единиц. Действие: распределить шесть в третью волну и четыре в четвёртую; два сотрудника параллельно пытаются добавить ещё единицу. Ожидается: суммарно распределено 10, лишние операции отвергнуты, нераспределённый остаток нулевой. Покрывает F13, N02.</w:t>
      </w:r>
    </w:p>
    <w:p>
      <w:pPr>
        <w:pStyle w:val="Heading2"/>
      </w:pPr>
      <w:r>
        <w:t>16 18 A18 Частичная доставка и перенос</w:t>
      </w:r>
    </w:p>
    <w:p>
      <w:r>
        <w:rPr>
          <w:b w:val="0"/>
        </w:rPr>
        <w:t>Предусловие: шесть единиц отправлены и доставлены, четыре остаются в плановой волне. Действие: перенести плановую часть в следующую волну. Ожидается: заявка частично исполнена, четыре единицы имеют новую волну, история сохранена; перенос отправленной части запрещён. Покрывает F13.</w:t>
      </w:r>
    </w:p>
    <w:p>
      <w:pPr>
        <w:pStyle w:val="Heading2"/>
      </w:pPr>
      <w:r>
        <w:t>16 19 A19 Отчёты и проверка чисел</w:t>
      </w:r>
    </w:p>
    <w:p>
      <w:r>
        <w:rPr>
          <w:b w:val="0"/>
        </w:rPr>
        <w:t>Предусловие: согласованный набор заявок с разными датами, результатами, валютами, альтернативными КП и переназначением менеджера. Действие: построить отчёты и открыть детализацию. Ожидается: точное совпадение с ручной контрольной выборкой, явный период и знаменатель конверсии, отсутствие двойного учёта альтернатив и прямого сложения разных валют. Покрывает F14.</w:t>
      </w:r>
    </w:p>
    <w:p>
      <w:pPr>
        <w:pStyle w:val="Heading2"/>
      </w:pPr>
      <w:r>
        <w:t>16 20 A20 Ограничение финансового доступа</w:t>
      </w:r>
    </w:p>
    <w:p>
      <w:r>
        <w:rPr>
          <w:b w:val="0"/>
        </w:rPr>
        <w:t>Предусловие: менеджер без разрешения на закупочные цены. Действие: открыть заявку, запросить API, экспорт, историю расчёта, исходное КП поставщика и ссылку на него в чате. Ожидается: закрытые поля и файлы недоступны на всех путях; отказ не раскрывает значения. После блокировки сотрудника активный сеанс не позволяет продолжать работу. Покрывает F01, F16, N03.</w:t>
      </w:r>
    </w:p>
    <w:p>
      <w:pPr>
        <w:pStyle w:val="Heading2"/>
      </w:pPr>
      <w:r>
        <w:t>16 21 A21 Задачи чаты и уведомления</w:t>
      </w:r>
    </w:p>
    <w:p>
      <w:r>
        <w:rPr>
          <w:b w:val="0"/>
        </w:rPr>
        <w:t>Предусловие: создана задача согласования и чат заявки. Действие: повторно обработать событие, отправить сообщение при обрыве связи и восстановить соединение. Ожидается: одна задача, одно уведомление, одно сообщение; пропущенные сообщения загружены, непрочитанные показаны. Сотрудник без доступа к заявке не читает её обсуждение. Покрывает F15–F16.</w:t>
      </w:r>
    </w:p>
    <w:p>
      <w:pPr>
        <w:pStyle w:val="Heading2"/>
      </w:pPr>
      <w:r>
        <w:t>16 22 A22 Восстановление и эксплуатационная готовность</w:t>
      </w:r>
    </w:p>
    <w:p>
      <w:r>
        <w:rPr>
          <w:b w:val="0"/>
        </w:rPr>
        <w:t>Предусловие: копия содержит связанные заявки, расчёты, оплаты, документы и файлы. Действие: восстановить отдельную среду и провести нагрузочные сценарии. Ожидается: целостность всех связей и файлов, достижение согласованных показателей N01 и N06, протокол времени восстановления. Проверены сценарий отката и контрольные итоги миграции. Покрывает N01–N08.</w:t>
      </w:r>
    </w:p>
    <w:p>
      <w:pPr>
        <w:pStyle w:val="Heading2"/>
      </w:pPr>
      <w:r>
        <w:t>16 23 A23 Достоверная внутренняя сверка</w:t>
      </w:r>
    </w:p>
    <w:p>
      <w:r>
        <w:rPr>
          <w:b w:val="0"/>
        </w:rPr>
        <w:t>Предусловие: известны начальный остаток, начисления, оплаты и возврат за период. Действие: сформировать акт и повторить после удаления источника одного начисления в тестовой выборке. Ожидается: точное совпадение полного набора с контрольным итогом; при неполноте выпуск окончательной формы блокируется. Счёт сам по себе не создаёт начисление. Покрывает F17, П2.</w:t>
      </w:r>
    </w:p>
    <w:p>
      <w:pPr>
        <w:pStyle w:val="Heading2"/>
      </w:pPr>
      <w:r>
        <w:t>16 24 A24 Аналитический помощник</w:t>
      </w:r>
    </w:p>
    <w:p>
      <w:r>
        <w:rPr>
          <w:b w:val="0"/>
        </w:rPr>
        <w:t>Предусловие: контрольные вопросы и две роли с разным доступом. Действие: спросить о заявках за полгода, закрытой марже и данных недоступного клиента; добавить в текст заявки команду изменить права. Ожидается: разрешённые числа совпадают с обычным отчётом, есть ссылки и период; закрытые данные не раскрываются, команды из текста не выполняются. Покрывает F19, П3.</w:t>
      </w:r>
    </w:p>
    <w:p>
      <w:r>
        <w:rPr>
          <w:b/>
        </w:rPr>
        <w:t>Общий критерий приёмки П1.</w:t>
      </w:r>
      <w:r>
        <w:rPr>
          <w:b w:val="0"/>
        </w:rPr>
        <w:t xml:space="preserve"> Выполнен согласованный сквозной сценарий, все обязательные A01–A22 пройдены; отсутствуют дефекты, вызывающие потерю данных, неверные финансовые итоги, раскрытие закрытых данных, блокировку ключевого процесса или невозможность восстановления. Остальные замечания фиксируются с согласованным решением и сроком. Заказчику переданы все результаты раздела 17.</w:t>
      </w:r>
    </w:p>
    <w:p>
      <w:bookmarkStart w:id="17" w:name="section_17"/>
      <w:pPr>
        <w:pStyle w:val="Heading1"/>
      </w:pPr>
      <w:r>
        <w:t>17 Этапы работ и передаваемые результаты</w:t>
      </w:r>
      <w:bookmarkEnd w:id="1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301"/>
      </w:tblGrid>
      <w:tr>
        <w:trPr>
          <w:cantSplit/>
          <w:tblHeader w:val="true"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Результат и условие завершения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Обследование и аудит прототипа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Демонстрация, перечень сохранённых компонентов, согласованные процессы, закрытые вопросы В01–В08 и финансовые примеры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Проектирование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Макеты основных экранов, словарь данных, модель прав, алгоритм расчёта, схема состояний и OpenAPI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Реализация ядра П1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Развёрнутая система со всеми функциями П1 и автоматическими проверками критических правил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Проверка и миграция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Протокол A01–A22, контрольная миграция, тест восстановления, проверка нагрузки и устранённые блокирующие дефекты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Пилот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Работа на реальных согласованных заявках с участием менеджера и руководителя; реестр замечаний и обучение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Ввод в эксплуатацию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Принятая миграция, назначенное сопровождение, резервирование, доступы и подписанный протокол приёмки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Развитие П2 и П3</w:t>
            </w:r>
          </w:p>
        </w:tc>
        <w:tc>
          <w:tcPr>
            <w:tcW w:type="dxa" w:w="7301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Самостоятельные согласованные объёмы, контракты интеграций и соответствующие приёмочные проверки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 w:val="0"/>
        </w:rPr>
        <w:t>Исполнитель передаёт исходный код и историю изменений, схему базы и миграции, инструкции сборки и развёртывания, документацию API, описание формул и версий, настройки ролей, исходники шаблонов, тестовые данные и результаты проверок, инструкции пользователя и администратора, порядок резервирования и восстановления. Права владения проектом, репозиторием и инфраструктурой закрепляются при согласовании работ.</w:t>
      </w:r>
    </w:p>
    <w:p>
      <w:r>
        <w:rPr>
          <w:b w:val="0"/>
        </w:rPr>
        <w:t>В автоматических проверках приоритетны финансовая арифметика, округление, неизменяемые версии, контроль прав, повторные запросы, параллельное распределение денег и количества, а также переходы состояний. Проверки должны подтверждать бизнес-результат, а не только открытие экранов.</w:t>
      </w:r>
    </w:p>
    <w:p>
      <w:r>
        <w:rPr>
          <w:b w:val="0"/>
        </w:rPr>
        <w:t>Календарный срок и стоимость определяются после аудита прототипа, утверждения формул, числа печатных шаблонов и объёма миграции. Отдельно оценить П1, каждую интеграцию П2 и помощника П3. Назначать общий срок только по объёму устного описания недостаточно для согласования обязательств.</w:t>
      </w:r>
    </w:p>
    <w:p>
      <w:bookmarkStart w:id="18" w:name="section_18"/>
      <w:pPr>
        <w:pStyle w:val="Heading1"/>
      </w:pPr>
      <w:r>
        <w:t>18 Вопросы и решения для согласования</w:t>
      </w:r>
      <w:bookmarkEnd w:id="18"/>
    </w:p>
    <w:p>
      <w:r>
        <w:rPr>
          <w:b w:val="0"/>
        </w:rPr>
        <w:t>Следующие вопросы не требуют остановки проектирования всех модулей. Они задают конкретные точки, до которых соответствующее решение должно быть утверждено. Ответы фиксируются в следующей версии ТЗ.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35"/>
        <w:gridCol w:w="7056"/>
        <w:gridCol w:w="2333"/>
      </w:tblGrid>
      <w:tr>
        <w:trPr>
          <w:cantSplit/>
          <w:tblHeader w:val="true"/>
        </w:trPr>
        <w:tc>
          <w:tcPr>
            <w:tcW w:type="dxa" w:w="83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/>
                <w:sz w:val="18"/>
              </w:rPr>
              <w:t>Код</w:t>
            </w:r>
          </w:p>
        </w:tc>
        <w:tc>
          <w:tcPr>
            <w:tcW w:type="dxa" w:w="705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Что требуется решить</w:t>
            </w:r>
          </w:p>
        </w:tc>
        <w:tc>
          <w:tcPr>
            <w:tcW w:type="dxa" w:w="233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DCE6EE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/>
                <w:sz w:val="18"/>
              </w:rPr>
              <w:t>Когда необходимо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В01</w:t>
            </w:r>
          </w:p>
        </w:tc>
        <w:tc>
          <w:tcPr>
            <w:tcW w:type="dxa" w:w="705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Какая часть уже работает, где код и данные, что сохранять; какие Excel являются первичными источниками</w:t>
            </w:r>
          </w:p>
        </w:tc>
        <w:tc>
          <w:tcPr>
            <w:tcW w:type="dxa" w:w="233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До оценки и выбора стека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В02</w:t>
            </w:r>
          </w:p>
        </w:tc>
        <w:tc>
          <w:tcPr>
            <w:tcW w:type="dxa" w:w="705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Полные формулы, налоговый режим и страна ввоза, базы пошлин, курсы, округление, распределение затрат; минимум 10 реальных расчётов с ожидаемыми итогами</w:t>
            </w:r>
          </w:p>
        </w:tc>
        <w:tc>
          <w:tcPr>
            <w:tcW w:type="dxa" w:w="233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До разработки расчётного ядра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В03</w:t>
            </w:r>
          </w:p>
        </w:tc>
        <w:tc>
          <w:tcPr>
            <w:tcW w:type="dxa" w:w="705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Значение термина «откат», назначение и получатель, основание, база процента и влияние на цену; точное название параметра</w:t>
            </w:r>
          </w:p>
        </w:tc>
        <w:tc>
          <w:tcPr>
            <w:tcW w:type="dxa" w:w="233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До включения параметра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В04</w:t>
            </w:r>
          </w:p>
        </w:tc>
        <w:tc>
          <w:tcPr>
            <w:tcW w:type="dxa" w:w="705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Кто из учредителей и сотрудников видит закупочные цены и прибыль; кто меняет коэффициенты, подтверждает оплату и может совмещать роли</w:t>
            </w:r>
          </w:p>
        </w:tc>
        <w:tc>
          <w:tcPr>
            <w:tcW w:type="dxa" w:w="233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До реализации прав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В05</w:t>
            </w:r>
          </w:p>
        </w:tc>
        <w:tc>
          <w:tcPr>
            <w:tcW w:type="dxa" w:w="705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Реальные шаблоны базы, запроса, КП и счёта; язык, реквизиты, нумерация, форматы; относится ли ограничение валюты к квотам и валюте продажи одновременно</w:t>
            </w:r>
          </w:p>
        </w:tc>
        <w:tc>
          <w:tcPr>
            <w:tcW w:type="dxa" w:w="233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До генерации документов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В06</w:t>
            </w:r>
          </w:p>
        </w:tc>
        <w:tc>
          <w:tcPr>
            <w:tcW w:type="dxa" w:w="705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Состав химических характеристик, случаи отсутствия CAS, идентификация вариантов, аналоги, обязательные паспорта и признаки специальных условий перевозки</w:t>
            </w:r>
          </w:p>
        </w:tc>
        <w:tc>
          <w:tcPr>
            <w:tcW w:type="dxa" w:w="233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До каталога и запуска закупок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В07</w:t>
            </w:r>
          </w:p>
        </w:tc>
        <w:tc>
          <w:tcPr>
            <w:tcW w:type="dxa" w:w="705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Кто подтверждает согласие клиента, допустима ли частичная покупка и несколько поставщиков для одной позиции, как учитывать замену и превышение объёма</w:t>
            </w:r>
          </w:p>
        </w:tc>
        <w:tc>
          <w:tcPr>
            <w:tcW w:type="dxa" w:w="233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До фиксации принятого состава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В08</w:t>
            </w:r>
          </w:p>
        </w:tc>
        <w:tc>
          <w:tcPr>
            <w:tcW w:type="dxa" w:w="705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Достаточна ли предоплата, её порог; правила авансовых и окончательных счетов, распределение оплаты на частичный запуск, возвраты и исключения</w:t>
            </w:r>
          </w:p>
        </w:tc>
        <w:tc>
          <w:tcPr>
            <w:tcW w:type="dxa" w:w="233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До финансового запуска П1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В09</w:t>
            </w:r>
          </w:p>
        </w:tc>
        <w:tc>
          <w:tcPr>
            <w:tcW w:type="dxa" w:w="705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Нужен ли акт сверки в П1; по каким контрагентам; где начисления и начальные остатки; какая бухгалтерская система и версия</w:t>
            </w:r>
          </w:p>
        </w:tc>
        <w:tc>
          <w:tcPr>
            <w:tcW w:type="dxa" w:w="233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До оценки сверки и интеграции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В10</w:t>
            </w:r>
          </w:p>
        </w:tc>
        <w:tc>
          <w:tcPr>
            <w:tcW w:type="dxa" w:w="705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Поля волн, маршруты, предельная загрузка, кто подтверждает доставку; нужны ли склад, партии, сроки годности и фактическая себестоимость</w:t>
            </w:r>
          </w:p>
        </w:tc>
        <w:tc>
          <w:tcPr>
            <w:tcW w:type="dxa" w:w="233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До реализации исполнения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В11</w:t>
            </w:r>
          </w:p>
        </w:tc>
        <w:tc>
          <w:tcPr>
            <w:tcW w:type="dxa" w:w="705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Что считается продажей и завершением заявки, какие отчёты нужны, правила периода, часов и ответственности менеджера</w:t>
            </w:r>
          </w:p>
        </w:tc>
        <w:tc>
          <w:tcPr>
            <w:tcW w:type="dxa" w:w="233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До приёмки аналитики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В12</w:t>
            </w:r>
          </w:p>
        </w:tc>
        <w:tc>
          <w:tcPr>
            <w:tcW w:type="dxa" w:w="705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Реальные объёмы, рост, размеры файлов и инфраструктура; какие целевые показатели N01 и N05 утверждаются</w:t>
            </w:r>
          </w:p>
        </w:tc>
        <w:tc>
          <w:tcPr>
            <w:tcW w:type="dxa" w:w="233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До нагрузочной проверки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В13</w:t>
            </w:r>
          </w:p>
        </w:tc>
        <w:tc>
          <w:tcPr>
            <w:tcW w:type="dxa" w:w="705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Страна размещения, требования к данным, сроки хранения, допустимая потеря и время восстановления, владелец сопровождения</w:t>
            </w:r>
          </w:p>
        </w:tc>
        <w:tc>
          <w:tcPr>
            <w:tcW w:type="dxa" w:w="233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До эксплуатации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В14</w:t>
            </w:r>
          </w:p>
        </w:tc>
        <w:tc>
          <w:tcPr>
            <w:tcW w:type="dxa" w:w="705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Нужны ли личные и групповые чаты сразу, доступ нового участника к истории, редактирование и удаление сообщений</w:t>
            </w:r>
          </w:p>
        </w:tc>
        <w:tc>
          <w:tcPr>
            <w:tcW w:type="dxa" w:w="233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6F8FA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До приёмки мессенджера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b w:val="0"/>
                <w:sz w:val="18"/>
              </w:rPr>
              <w:t>В15</w:t>
            </w:r>
          </w:p>
        </w:tc>
        <w:tc>
          <w:tcPr>
            <w:tcW w:type="dxa" w:w="7056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Приоритеты и бюджет очередей; провайдеры банка, почты, телефонии, курсов и нейросети; состав разрешённых данных для обмена</w:t>
            </w:r>
          </w:p>
        </w:tc>
        <w:tc>
          <w:tcPr>
            <w:tcW w:type="dxa" w:w="2333"/>
            <w:vAlign w:val="center"/>
            <w:tcMar>
              <w:top w:w="60" w:type="dxa"/>
              <w:left w:w="75" w:type="dxa"/>
              <w:bottom w:w="60" w:type="dxa"/>
              <w:right w:w="75" w:type="dxa"/>
            </w:tcMar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b w:val="0"/>
                <w:sz w:val="18"/>
              </w:rPr>
              <w:t>До подключения соответствующих сервисов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b w:val="0"/>
        </w:rPr>
        <w:t>Для старта обследования достаточно предоставить демонстрацию прототипа, обезличенные исходные таблицы, примеры запроса поставщику и его ответа, действующие КП и счёт, расчёты с пояснениями, одну завершённую и одну частично исполненную заявку. Эти материалы позволяют проверить требования на реальном процессе.</w:t>
      </w:r>
    </w:p>
    <w:p>
      <w:bookmarkStart w:id="19" w:name="section_19"/>
      <w:pPr>
        <w:pStyle w:val="Heading1"/>
      </w:pPr>
      <w:r>
        <w:t>19 Использованные образцы и источники</w:t>
      </w:r>
      <w:bookmarkEnd w:id="19"/>
    </w:p>
    <w:p>
      <w:r>
        <w:rPr>
          <w:b w:val="0"/>
        </w:rPr>
        <w:t>Проверены официальные материалы по состоянию на 11 сентября 2026 года. Заимствуются организационные принципы и способы представления данных; конкретные отраслевые правила этой CRM определены расшифровкой и предлагаемой детализацией. Это функциональные ориентиры, а не рейтинг рынка или утверждение о готовности коробочного продукта закрыть все требования.</w:t>
      </w:r>
    </w:p>
    <w:p>
      <w:r>
        <w:rPr>
          <w:b/>
        </w:rPr>
        <w:t>S1 Битрикс24 и работа со сделками.</w:t>
      </w:r>
      <w:r>
        <w:rPr>
          <w:b w:val="0"/>
        </w:rPr>
        <w:t xml:space="preserve"> В официальном описании сделки объединяют сведения о клиенте, товарах, этапах и истории взаимодействий. Для этого проекта использованы принципы центральной карточки, этапов, следующего действия и перехода к истории; отраслевые квоты и волны описаны самостоятельно. </w:t>
      </w:r>
      <w:hyperlink r:id="rId10">
        <w:r>
          <w:rPr>
            <w:rFonts w:ascii="DejaVu Sans" w:hAnsi="DejaVu Sans"/>
            <w:color w:val="1E4B6E"/>
            <w:sz w:val="21"/>
            <w:u w:val="single"/>
          </w:rPr>
          <w:t>Сделки в Битрикс24</w:t>
        </w:r>
      </w:hyperlink>
      <w:r>
        <w:rPr>
          <w:b w:val="0"/>
        </w:rPr>
        <w:t>.</w:t>
      </w:r>
    </w:p>
    <w:p>
      <w:r>
        <w:rPr>
          <w:b/>
        </w:rPr>
        <w:t>S2 Битрикс24 и ролевая модель.</w:t>
      </w:r>
      <w:r>
        <w:rPr>
          <w:b w:val="0"/>
        </w:rPr>
        <w:t xml:space="preserve"> Официальная документация описывает разрешения по действиям и областям видимости, включая собственные записи и записи подразделения. В ТЗ предложены самостоятельные полномочия по закупочным ценам, расчётам и оплатам, соответствующие описанной компании. </w:t>
      </w:r>
      <w:hyperlink r:id="rId11">
        <w:r>
          <w:rPr>
            <w:rFonts w:ascii="DejaVu Sans" w:hAnsi="DejaVu Sans"/>
            <w:color w:val="1E4B6E"/>
            <w:sz w:val="21"/>
            <w:u w:val="single"/>
          </w:rPr>
          <w:t>Ролевая модель прав в CRM</w:t>
        </w:r>
      </w:hyperlink>
      <w:r>
        <w:rPr>
          <w:b w:val="0"/>
        </w:rPr>
        <w:t>.</w:t>
      </w:r>
    </w:p>
    <w:p>
      <w:r>
        <w:rPr>
          <w:b/>
        </w:rPr>
        <w:t>S3 1С Управление торговлей.</w:t>
      </w:r>
      <w:r>
        <w:rPr>
          <w:b w:val="0"/>
        </w:rPr>
        <w:t xml:space="preserve"> В официальном описании объединены торговые документы, управленческий учёт, планирование закупок и поставок, аналитика и передача данных в бухгалтерскую систему. Это ориентир для разделения продажи, исполнения и учётных операций; полноценный учёт 1С в объём П1 не переносится. </w:t>
      </w:r>
      <w:hyperlink r:id="rId12">
        <w:r>
          <w:rPr>
            <w:rFonts w:ascii="DejaVu Sans" w:hAnsi="DejaVu Sans"/>
            <w:color w:val="1E4B6E"/>
            <w:sz w:val="21"/>
            <w:u w:val="single"/>
          </w:rPr>
          <w:t>Возможности 1С Управление торговлей</w:t>
        </w:r>
      </w:hyperlink>
      <w:r>
        <w:rPr>
          <w:b w:val="0"/>
        </w:rPr>
        <w:t>.</w:t>
      </w:r>
    </w:p>
    <w:p>
      <w:r>
        <w:rPr>
          <w:b/>
        </w:rPr>
        <w:t>S4 CAS REGISTRY.</w:t>
      </w:r>
      <w:r>
        <w:rPr>
          <w:b w:val="0"/>
        </w:rPr>
        <w:t xml:space="preserve"> CAS определяет CAS RN как идентификатор конкретного вещества. На этой основе вещество и продаваемый товарный вариант разделены в модели; фасовка и производитель не объединяются только по номеру. </w:t>
      </w:r>
      <w:hyperlink r:id="rId13">
        <w:r>
          <w:rPr>
            <w:rFonts w:ascii="DejaVu Sans" w:hAnsi="DejaVu Sans"/>
            <w:color w:val="1E4B6E"/>
            <w:sz w:val="21"/>
            <w:u w:val="single"/>
          </w:rPr>
          <w:t>Описание CAS REGISTRY</w:t>
        </w:r>
      </w:hyperlink>
      <w:r>
        <w:rPr>
          <w:b w:val="0"/>
        </w:rPr>
        <w:t>.</w:t>
      </w:r>
    </w:p>
    <w:p>
      <w:r>
        <w:rPr>
          <w:b/>
        </w:rPr>
        <w:t>S5 Проверка CAS.</w:t>
      </w:r>
      <w:r>
        <w:rPr>
          <w:b w:val="0"/>
        </w:rPr>
        <w:t xml:space="preserve"> Официальное описание задаёт три группы цифр и контрольную цифру. Проверка записи номера используется отдельно от проверки соответствия веществу. </w:t>
      </w:r>
      <w:hyperlink r:id="rId14">
        <w:r>
          <w:rPr>
            <w:rFonts w:ascii="DejaVu Sans" w:hAnsi="DejaVu Sans"/>
            <w:color w:val="1E4B6E"/>
            <w:sz w:val="21"/>
            <w:u w:val="single"/>
          </w:rPr>
          <w:t>Проверка контрольной цифры CAS</w:t>
        </w:r>
      </w:hyperlink>
      <w:r>
        <w:rPr>
          <w:b w:val="0"/>
        </w:rPr>
        <w:t>.</w:t>
      </w:r>
    </w:p>
    <w:p>
      <w:r>
        <w:rPr>
          <w:b/>
        </w:rPr>
        <w:t>S6 Битрикс24 и права на документы.</w:t>
      </w:r>
      <w:r>
        <w:rPr>
          <w:b w:val="0"/>
        </w:rPr>
        <w:t xml:space="preserve"> В продукте различаются полномочия на документы, шаблоны и настройки. Для предлагаемой CRM это отражено отдельными разрешениями выпуска, просмотра, экспорта и изменения шаблонов. </w:t>
      </w:r>
      <w:hyperlink r:id="rId15">
        <w:r>
          <w:rPr>
            <w:rFonts w:ascii="DejaVu Sans" w:hAnsi="DejaVu Sans"/>
            <w:color w:val="1E4B6E"/>
            <w:sz w:val="21"/>
            <w:u w:val="single"/>
          </w:rPr>
          <w:t>Права доступа к документам CRM</w:t>
        </w:r>
      </w:hyperlink>
      <w:r>
        <w:rPr>
          <w:b w:val="0"/>
        </w:rPr>
        <w:t>.</w:t>
      </w:r>
    </w:p>
    <w:p>
      <w:r>
        <w:rPr>
          <w:b/>
        </w:rPr>
        <w:t>Источник требований И01–И18.</w:t>
      </w:r>
      <w:r>
        <w:rPr>
          <w:b w:val="0"/>
        </w:rPr>
        <w:t xml:space="preserve"> Файл 1.txt, предоставленный заказчиком в текущем обсуждении. Служебные рекламные строки транскрибатора не относятся к требованиям. В реестре раздела 2 сохранён смысл потребностей и явно обозначено предварительное состояние спорных функций.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DejaVu Sans" w:hAnsi="DejaVu Sans"/>
        <w:sz w:val="16"/>
      </w:rPr>
      <w:t xml:space="preserve">CRM  •  Техническое задание 1.0     </w:t>
    </w:r>
    <w:r>
      <w:rPr>
        <w:sz w:val="16"/>
      </w:rPr>
    </w:r>
    <w:fldSimple w:instr="PAGE"/>
    <w:r>
      <w:rPr>
        <w:sz w:val="16"/>
      </w:rPr>
      <w:t xml:space="preserve"> / </w:t>
    </w:r>
    <w:r>
      <w:rPr>
        <w:sz w:val="16"/>
      </w:rPr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54" w:lineRule="auto"/>
    </w:pPr>
    <w:rPr>
      <w:rFonts w:ascii="DejaVu Sans" w:hAnsi="DejaVu Sans" w:eastAsia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4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2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9" w:lineRule="auto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00"/>
    </w:pPr>
    <w:rPr>
      <w:rFonts w:asciiTheme="majorHAnsi" w:eastAsiaTheme="majorEastAsia" w:hAnsiTheme="majorHAnsi" w:cstheme="majorBidi" w:ascii="DejaVu Sans" w:hAnsi="DejaVu Sans" w:eastAsia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/>
      <w:contextualSpacing/>
    </w:pPr>
    <w:rPr>
      <w:rFonts w:ascii="DejaVu Sans" w:hAnsi="DejaVu Sans" w:eastAsia="DejaVu San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00"/>
      <w:contextualSpacing/>
    </w:pPr>
    <w:rPr>
      <w:rFonts w:ascii="DejaVu Sans" w:hAnsi="DejaVu Sans" w:eastAsia="DejaVu San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helpdesk.bitrix24.ru/open/26161116/" TargetMode="External"/><Relationship Id="rId11" Type="http://schemas.openxmlformats.org/officeDocument/2006/relationships/hyperlink" Target="https://helpdesk.bitrix24.ru/open/23240636/" TargetMode="External"/><Relationship Id="rId12" Type="http://schemas.openxmlformats.org/officeDocument/2006/relationships/hyperlink" Target="https://solutions.1c.ru/catalog/trade/features" TargetMode="External"/><Relationship Id="rId13" Type="http://schemas.openxmlformats.org/officeDocument/2006/relationships/hyperlink" Target="https://www.cas.org/cas-data/cas-registry" TargetMode="External"/><Relationship Id="rId14" Type="http://schemas.openxmlformats.org/officeDocument/2006/relationships/hyperlink" Target="https://www.cas.org/training/documentation/chemical-substances/checkdig" TargetMode="External"/><Relationship Id="rId15" Type="http://schemas.openxmlformats.org/officeDocument/2006/relationships/hyperlink" Target="https://helpdesk.bitrix24.ru/open/2711242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CRM для продаж и закупок химической продукции</dc:title>
  <dc:subject>Заявки поставщики расчёты документы оплаты волны поставки</dc:subject>
  <dc:creator/>
  <cp:keywords>CRM, техническое задание, химическая продукция, закупки, поставки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