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FY2026 Sales Performance and Growth Strategy</w:t>
      </w:r>
    </w:p>
    <w:p>
      <w:pPr>
        <w:jc w:val="center"/>
      </w:pPr>
      <w:r>
        <w:t>Reporting period 2026-01-05 to 2026-04-21 | Source: data/sales.db, table 'sales' | 8 transactions</w:t>
      </w:r>
    </w:p>
    <w:p>
      <w:r>
        <w:t>This strategy is derived entirely from the sales database. Every figure below was calculated from the sales table rather than estimated. Sections are ordered so that measured facts come first, followed by calculations, then interpretation, then recommended action.</w:t>
      </w:r>
    </w:p>
    <w:p>
      <w:pPr>
        <w:pStyle w:val="Heading1"/>
      </w:pPr>
      <w:r>
        <w:t>1. Measured Facts</w:t>
      </w:r>
    </w:p>
    <w:p>
      <w:r>
        <w:t>These values are read directly from the database. They involve no judgement.</w:t>
      </w:r>
    </w:p>
    <w:p>
      <w:pPr>
        <w:pStyle w:val="ListBullet"/>
      </w:pPr>
      <w:r>
        <w:t>Total revenue recorded: R274,000 across 50 units.</w:t>
      </w:r>
    </w:p>
    <w:p>
      <w:pPr>
        <w:pStyle w:val="ListBullet"/>
      </w:pPr>
      <w:r>
        <w:t>Total transactions recorded: 8.</w:t>
      </w:r>
    </w:p>
    <w:p>
      <w:pPr>
        <w:pStyle w:val="ListBullet"/>
      </w:pPr>
      <w:r>
        <w:t>Mean customer satisfaction score: 4.11 out of 5.</w:t>
      </w:r>
    </w:p>
    <w:p>
      <w:pPr>
        <w:pStyle w:val="ListBullet"/>
      </w:pPr>
      <w:r>
        <w:t>Transactions with no satisfaction score recorded: 1.</w:t>
      </w:r>
    </w:p>
    <w:p>
      <w:pPr>
        <w:pStyle w:val="ListBullet"/>
      </w:pPr>
      <w:r>
        <w:t>Blended revenue per unit sold: R5,480.00.</w:t>
      </w:r>
    </w:p>
    <w:p>
      <w:pPr>
        <w:pStyle w:val="Heading1"/>
      </w:pPr>
      <w:r>
        <w:t>2. Revenue by Product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Product</w:t>
            </w:r>
          </w:p>
        </w:tc>
        <w:tc>
          <w:tcPr>
            <w:tcW w:type="dxa" w:w="1728"/>
          </w:tcPr>
          <w:p>
            <w:r>
              <w:t>Transactions</w:t>
            </w:r>
          </w:p>
        </w:tc>
        <w:tc>
          <w:tcPr>
            <w:tcW w:type="dxa" w:w="1728"/>
          </w:tcPr>
          <w:p>
            <w:r>
              <w:t>Units</w:t>
            </w:r>
          </w:p>
        </w:tc>
        <w:tc>
          <w:tcPr>
            <w:tcW w:type="dxa" w:w="1728"/>
          </w:tcPr>
          <w:p>
            <w:r>
              <w:t>Revenue</w:t>
            </w:r>
          </w:p>
        </w:tc>
        <w:tc>
          <w:tcPr>
            <w:tcW w:type="dxa" w:w="1728"/>
          </w:tcPr>
          <w:p>
            <w:r>
              <w:t>Satisfaction</w:t>
            </w:r>
          </w:p>
        </w:tc>
      </w:tr>
      <w:tr>
        <w:tc>
          <w:tcPr>
            <w:tcW w:type="dxa" w:w="1728"/>
          </w:tcPr>
          <w:p>
            <w:r>
              <w:t>Laptop</w:t>
            </w:r>
          </w:p>
        </w:tc>
        <w:tc>
          <w:tcPr>
            <w:tcW w:type="dxa" w:w="1728"/>
          </w:tcPr>
          <w:p>
            <w:r>
              <w:t>4</w:t>
            </w:r>
          </w:p>
        </w:tc>
        <w:tc>
          <w:tcPr>
            <w:tcW w:type="dxa" w:w="1728"/>
          </w:tcPr>
          <w:p>
            <w:r>
              <w:t>14</w:t>
            </w:r>
          </w:p>
        </w:tc>
        <w:tc>
          <w:tcPr>
            <w:tcW w:type="dxa" w:w="1728"/>
          </w:tcPr>
          <w:p>
            <w:r>
              <w:t>R210,000</w:t>
            </w:r>
          </w:p>
        </w:tc>
        <w:tc>
          <w:tcPr>
            <w:tcW w:type="dxa" w:w="1728"/>
          </w:tcPr>
          <w:p>
            <w:r>
              <w:t>4.20</w:t>
            </w:r>
          </w:p>
        </w:tc>
      </w:tr>
      <w:tr>
        <w:tc>
          <w:tcPr>
            <w:tcW w:type="dxa" w:w="1728"/>
          </w:tcPr>
          <w:p>
            <w:r>
              <w:t>Monitor</w:t>
            </w:r>
          </w:p>
        </w:tc>
        <w:tc>
          <w:tcPr>
            <w:tcW w:type="dxa" w:w="1728"/>
          </w:tcPr>
          <w:p>
            <w:r>
              <w:t>2</w:t>
            </w:r>
          </w:p>
        </w:tc>
        <w:tc>
          <w:tcPr>
            <w:tcW w:type="dxa" w:w="1728"/>
          </w:tcPr>
          <w:p>
            <w:r>
              <w:t>14</w:t>
            </w:r>
          </w:p>
        </w:tc>
        <w:tc>
          <w:tcPr>
            <w:tcW w:type="dxa" w:w="1728"/>
          </w:tcPr>
          <w:p>
            <w:r>
              <w:t>R42,000</w:t>
            </w:r>
          </w:p>
        </w:tc>
        <w:tc>
          <w:tcPr>
            <w:tcW w:type="dxa" w:w="1728"/>
          </w:tcPr>
          <w:p>
            <w:r>
              <w:t>4.05</w:t>
            </w:r>
          </w:p>
        </w:tc>
      </w:tr>
      <w:tr>
        <w:tc>
          <w:tcPr>
            <w:tcW w:type="dxa" w:w="1728"/>
          </w:tcPr>
          <w:p>
            <w:r>
              <w:t>Keyboard</w:t>
            </w:r>
          </w:p>
        </w:tc>
        <w:tc>
          <w:tcPr>
            <w:tcW w:type="dxa" w:w="1728"/>
          </w:tcPr>
          <w:p>
            <w:r>
              <w:t>2</w:t>
            </w:r>
          </w:p>
        </w:tc>
        <w:tc>
          <w:tcPr>
            <w:tcW w:type="dxa" w:w="1728"/>
          </w:tcPr>
          <w:p>
            <w:r>
              <w:t>22</w:t>
            </w:r>
          </w:p>
        </w:tc>
        <w:tc>
          <w:tcPr>
            <w:tcW w:type="dxa" w:w="1728"/>
          </w:tcPr>
          <w:p>
            <w:r>
              <w:t>R22,000</w:t>
            </w:r>
          </w:p>
        </w:tc>
        <w:tc>
          <w:tcPr>
            <w:tcW w:type="dxa" w:w="1728"/>
          </w:tcPr>
          <w:p>
            <w:r>
              <w:t>4.05</w:t>
            </w:r>
          </w:p>
        </w:tc>
      </w:tr>
    </w:tbl>
    <w:p>
      <w:r>
        <w:t>Laptop is the dominant product line, contributing R210,000 or 76.6% of total revenue.</w:t>
      </w:r>
    </w:p>
    <w:p>
      <w:pPr>
        <w:pStyle w:val="Heading1"/>
      </w:pPr>
      <w:r>
        <w:t>3. Revenue by Region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Region</w:t>
            </w:r>
          </w:p>
        </w:tc>
        <w:tc>
          <w:tcPr>
            <w:tcW w:type="dxa" w:w="1728"/>
          </w:tcPr>
          <w:p>
            <w:r>
              <w:t>Transactions</w:t>
            </w:r>
          </w:p>
        </w:tc>
        <w:tc>
          <w:tcPr>
            <w:tcW w:type="dxa" w:w="1728"/>
          </w:tcPr>
          <w:p>
            <w:r>
              <w:t>Units</w:t>
            </w:r>
          </w:p>
        </w:tc>
        <w:tc>
          <w:tcPr>
            <w:tcW w:type="dxa" w:w="1728"/>
          </w:tcPr>
          <w:p>
            <w:r>
              <w:t>Revenue</w:t>
            </w:r>
          </w:p>
        </w:tc>
        <w:tc>
          <w:tcPr>
            <w:tcW w:type="dxa" w:w="1728"/>
          </w:tcPr>
          <w:p>
            <w:r>
              <w:t>Satisfaction</w:t>
            </w:r>
          </w:p>
        </w:tc>
      </w:tr>
      <w:tr>
        <w:tc>
          <w:tcPr>
            <w:tcW w:type="dxa" w:w="1728"/>
          </w:tcPr>
          <w:p>
            <w:r>
              <w:t>Gauteng</w:t>
            </w:r>
          </w:p>
        </w:tc>
        <w:tc>
          <w:tcPr>
            <w:tcW w:type="dxa" w:w="1728"/>
          </w:tcPr>
          <w:p>
            <w:r>
              <w:t>4</w:t>
            </w:r>
          </w:p>
        </w:tc>
        <w:tc>
          <w:tcPr>
            <w:tcW w:type="dxa" w:w="1728"/>
          </w:tcPr>
          <w:p>
            <w:r>
              <w:t>24</w:t>
            </w:r>
          </w:p>
        </w:tc>
        <w:tc>
          <w:tcPr>
            <w:tcW w:type="dxa" w:w="1728"/>
          </w:tcPr>
          <w:p>
            <w:r>
              <w:t>R148,000</w:t>
            </w:r>
          </w:p>
        </w:tc>
        <w:tc>
          <w:tcPr>
            <w:tcW w:type="dxa" w:w="1728"/>
          </w:tcPr>
          <w:p>
            <w:r>
              <w:t>4.28</w:t>
            </w:r>
          </w:p>
        </w:tc>
      </w:tr>
      <w:tr>
        <w:tc>
          <w:tcPr>
            <w:tcW w:type="dxa" w:w="1728"/>
          </w:tcPr>
          <w:p>
            <w:r>
              <w:t>Western Cape</w:t>
            </w:r>
          </w:p>
        </w:tc>
        <w:tc>
          <w:tcPr>
            <w:tcW w:type="dxa" w:w="1728"/>
          </w:tcPr>
          <w:p>
            <w:r>
              <w:t>2</w:t>
            </w:r>
          </w:p>
        </w:tc>
        <w:tc>
          <w:tcPr>
            <w:tcW w:type="dxa" w:w="1728"/>
          </w:tcPr>
          <w:p>
            <w:r>
              <w:t>12</w:t>
            </w:r>
          </w:p>
        </w:tc>
        <w:tc>
          <w:tcPr>
            <w:tcW w:type="dxa" w:w="1728"/>
          </w:tcPr>
          <w:p>
            <w:r>
              <w:t>R84,000</w:t>
            </w:r>
          </w:p>
        </w:tc>
        <w:tc>
          <w:tcPr>
            <w:tcW w:type="dxa" w:w="1728"/>
          </w:tcPr>
          <w:p>
            <w:r>
              <w:t>4.00</w:t>
            </w:r>
          </w:p>
        </w:tc>
      </w:tr>
      <w:tr>
        <w:tc>
          <w:tcPr>
            <w:tcW w:type="dxa" w:w="1728"/>
          </w:tcPr>
          <w:p>
            <w:r>
              <w:t>KwaZulu-Natal</w:t>
            </w:r>
          </w:p>
        </w:tc>
        <w:tc>
          <w:tcPr>
            <w:tcW w:type="dxa" w:w="1728"/>
          </w:tcPr>
          <w:p>
            <w:r>
              <w:t>2</w:t>
            </w:r>
          </w:p>
        </w:tc>
        <w:tc>
          <w:tcPr>
            <w:tcW w:type="dxa" w:w="1728"/>
          </w:tcPr>
          <w:p>
            <w:r>
              <w:t>14</w:t>
            </w:r>
          </w:p>
        </w:tc>
        <w:tc>
          <w:tcPr>
            <w:tcW w:type="dxa" w:w="1728"/>
          </w:tcPr>
          <w:p>
            <w:r>
              <w:t>R42,000</w:t>
            </w:r>
          </w:p>
        </w:tc>
        <w:tc>
          <w:tcPr>
            <w:tcW w:type="dxa" w:w="1728"/>
          </w:tcPr>
          <w:p>
            <w:r>
              <w:t>3.85</w:t>
            </w:r>
          </w:p>
        </w:tc>
      </w:tr>
    </w:tbl>
    <w:p>
      <w:r>
        <w:t>Gauteng leads with R148,000, or 54.0% of total revenue.</w:t>
      </w:r>
    </w:p>
    <w:p>
      <w:pPr>
        <w:pStyle w:val="Heading1"/>
      </w:pPr>
      <w:r>
        <w:t>4. Monthly Revenue Trend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Month</w:t>
            </w:r>
          </w:p>
        </w:tc>
        <w:tc>
          <w:tcPr>
            <w:tcW w:type="dxa" w:w="2880"/>
          </w:tcPr>
          <w:p>
            <w:r>
              <w:t>Revenue</w:t>
            </w:r>
          </w:p>
        </w:tc>
        <w:tc>
          <w:tcPr>
            <w:tcW w:type="dxa" w:w="2880"/>
          </w:tcPr>
          <w:p>
            <w:r>
              <w:t>Units</w:t>
            </w:r>
          </w:p>
        </w:tc>
      </w:tr>
      <w:tr>
        <w:tc>
          <w:tcPr>
            <w:tcW w:type="dxa" w:w="2880"/>
          </w:tcPr>
          <w:p>
            <w:r>
              <w:t>2026-01</w:t>
            </w:r>
          </w:p>
        </w:tc>
        <w:tc>
          <w:tcPr>
            <w:tcW w:type="dxa" w:w="2880"/>
          </w:tcPr>
          <w:p>
            <w:r>
              <w:t>R99,000</w:t>
            </w:r>
          </w:p>
        </w:tc>
        <w:tc>
          <w:tcPr>
            <w:tcW w:type="dxa" w:w="2880"/>
          </w:tcPr>
          <w:p>
            <w:r>
              <w:t>13</w:t>
            </w:r>
          </w:p>
        </w:tc>
      </w:tr>
      <w:tr>
        <w:tc>
          <w:tcPr>
            <w:tcW w:type="dxa" w:w="2880"/>
          </w:tcPr>
          <w:p>
            <w:r>
              <w:t>2026-02</w:t>
            </w:r>
          </w:p>
        </w:tc>
        <w:tc>
          <w:tcPr>
            <w:tcW w:type="dxa" w:w="2880"/>
          </w:tcPr>
          <w:p>
            <w:r>
              <w:t>R57,000</w:t>
            </w:r>
          </w:p>
        </w:tc>
        <w:tc>
          <w:tcPr>
            <w:tcW w:type="dxa" w:w="2880"/>
          </w:tcPr>
          <w:p>
            <w:r>
              <w:t>15</w:t>
            </w:r>
          </w:p>
        </w:tc>
      </w:tr>
      <w:tr>
        <w:tc>
          <w:tcPr>
            <w:tcW w:type="dxa" w:w="2880"/>
          </w:tcPr>
          <w:p>
            <w:r>
              <w:t>2026-03</w:t>
            </w:r>
          </w:p>
        </w:tc>
        <w:tc>
          <w:tcPr>
            <w:tcW w:type="dxa" w:w="2880"/>
          </w:tcPr>
          <w:p>
            <w:r>
              <w:t>R78,000</w:t>
            </w:r>
          </w:p>
        </w:tc>
        <w:tc>
          <w:tcPr>
            <w:tcW w:type="dxa" w:w="2880"/>
          </w:tcPr>
          <w:p>
            <w:r>
              <w:t>10</w:t>
            </w:r>
          </w:p>
        </w:tc>
      </w:tr>
      <w:tr>
        <w:tc>
          <w:tcPr>
            <w:tcW w:type="dxa" w:w="2880"/>
          </w:tcPr>
          <w:p>
            <w:r>
              <w:t>2026-04</w:t>
            </w:r>
          </w:p>
        </w:tc>
        <w:tc>
          <w:tcPr>
            <w:tcW w:type="dxa" w:w="2880"/>
          </w:tcPr>
          <w:p>
            <w:r>
              <w:t>R40,000</w:t>
            </w:r>
          </w:p>
        </w:tc>
        <w:tc>
          <w:tcPr>
            <w:tcW w:type="dxa" w:w="2880"/>
          </w:tcPr>
          <w:p>
            <w:r>
              <w:t>12</w:t>
            </w:r>
          </w:p>
        </w:tc>
      </w:tr>
    </w:tbl>
    <w:p>
      <w:r>
        <w:t>Revenue peaked in 2026-01 at R99,000 and fell to its lowest point in 2026-04 at R40,000, a decline of 59.6%.</w:t>
      </w:r>
    </w:p>
    <w:p>
      <w:pPr>
        <w:pStyle w:val="Heading1"/>
      </w:pPr>
      <w:r>
        <w:t>5. Unit Economics by Product</w:t>
      </w:r>
    </w:p>
    <w:tbl>
      <w:tblPr>
        <w:tblStyle w:val="LightGrid-Accent1"/>
        <w:tblW w:type="auto" w:w="0"/>
        <w:tblLook w:firstColumn="1" w:firstRow="1" w:lastColumn="0" w:lastRow="0" w:noHBand="0" w:noVBand="1" w:val="04A0"/>
      </w:tblPr>
      <w:tblGrid>
        <w:gridCol w:w="4320"/>
        <w:gridCol w:w="4320"/>
      </w:tblGrid>
      <w:tr>
        <w:tc>
          <w:tcPr>
            <w:tcW w:type="dxa" w:w="4320"/>
          </w:tcPr>
          <w:p>
            <w:r>
              <w:t>Product</w:t>
            </w:r>
          </w:p>
        </w:tc>
        <w:tc>
          <w:tcPr>
            <w:tcW w:type="dxa" w:w="4320"/>
          </w:tcPr>
          <w:p>
            <w:r>
              <w:t>Revenue per Unit</w:t>
            </w:r>
          </w:p>
        </w:tc>
      </w:tr>
      <w:tr>
        <w:tc>
          <w:tcPr>
            <w:tcW w:type="dxa" w:w="4320"/>
          </w:tcPr>
          <w:p>
            <w:r>
              <w:t>Laptop</w:t>
            </w:r>
          </w:p>
        </w:tc>
        <w:tc>
          <w:tcPr>
            <w:tcW w:type="dxa" w:w="4320"/>
          </w:tcPr>
          <w:p>
            <w:r>
              <w:t>R15,000.00</w:t>
            </w:r>
          </w:p>
        </w:tc>
      </w:tr>
      <w:tr>
        <w:tc>
          <w:tcPr>
            <w:tcW w:type="dxa" w:w="4320"/>
          </w:tcPr>
          <w:p>
            <w:r>
              <w:t>Monitor</w:t>
            </w:r>
          </w:p>
        </w:tc>
        <w:tc>
          <w:tcPr>
            <w:tcW w:type="dxa" w:w="4320"/>
          </w:tcPr>
          <w:p>
            <w:r>
              <w:t>R3,000.00</w:t>
            </w:r>
          </w:p>
        </w:tc>
      </w:tr>
      <w:tr>
        <w:tc>
          <w:tcPr>
            <w:tcW w:type="dxa" w:w="4320"/>
          </w:tcPr>
          <w:p>
            <w:r>
              <w:t>Keyboard</w:t>
            </w:r>
          </w:p>
        </w:tc>
        <w:tc>
          <w:tcPr>
            <w:tcW w:type="dxa" w:w="4320"/>
          </w:tcPr>
          <w:p>
            <w:r>
              <w:t>R1,000.00</w:t>
            </w:r>
          </w:p>
        </w:tc>
      </w:tr>
    </w:tbl>
    <w:p>
      <w:r>
        <w:t>Laptop earns R15,000.00 per unit against R1,000.00 for Keyboard. One laptop sold generates the same revenue as roughly 15 keyboards.</w:t>
      </w:r>
    </w:p>
    <w:p>
      <w:pPr>
        <w:pStyle w:val="Heading1"/>
      </w:pPr>
      <w:r>
        <w:t>6. Interpretation</w:t>
      </w:r>
    </w:p>
    <w:p>
      <w:r>
        <w:t>The statements in this section are judgement, not measurement. They are offered as explanations of the patterns above and should be tested before being treated as established causes.</w:t>
      </w:r>
    </w:p>
    <w:p>
      <w:pPr>
        <w:pStyle w:val="ListBullet"/>
      </w:pPr>
      <w:r>
        <w:t>The revenue decline between 2026-01 and 2026-04 is more likely a change in transaction size than a collapse in demand. 2026-04 recorded 12 units, which is not the weakest unit count in the period, so the revenue fall reflects what was sold rather than whether anything was sold.</w:t>
      </w:r>
    </w:p>
    <w:p>
      <w:pPr>
        <w:pStyle w:val="ListBullet"/>
      </w:pPr>
      <w:r>
        <w:t>Revenue concentration is high. Laptop alone accounts for 76.6% of revenue, so the performance of the business is closely tied to a single product line.</w:t>
      </w:r>
    </w:p>
    <w:p>
      <w:pPr>
        <w:pStyle w:val="ListBullet"/>
      </w:pPr>
      <w:r>
        <w:t>Gauteng generates 54.0% of revenue but KwaZulu-Natal records the lowest satisfaction score at 3.85. Growth in KwaZulu-Natal without a service quality improvement risks trading margin for attrition.</w:t>
      </w:r>
    </w:p>
    <w:p>
      <w:pPr>
        <w:pStyle w:val="ListBullet"/>
      </w:pPr>
      <w:r>
        <w:t>The blended revenue per unit of R5,480.00 is pulled upward by Laptop. Judging the accessory lines against that blended figure would understate how weak they are relative to their own volume.</w:t>
      </w:r>
    </w:p>
    <w:p>
      <w:pPr>
        <w:pStyle w:val="Heading1"/>
      </w:pPr>
      <w:r>
        <w:t>7. Recommended Actions</w:t>
      </w:r>
    </w:p>
    <w:p>
      <w:r>
        <w:t>These are proposals. They follow from the interpretation above but are not measured findings.</w:t>
      </w:r>
    </w:p>
    <w:p>
      <w:pPr>
        <w:pStyle w:val="ListBullet"/>
      </w:pPr>
      <w:r>
        <w:t>Protect Laptop supply first. It carries 76.6% of revenue, so availability in this line protects the whole period's result.</w:t>
      </w:r>
    </w:p>
    <w:p>
      <w:pPr>
        <w:pStyle w:val="ListBullet"/>
      </w:pPr>
      <w:r>
        <w:t>Diagnose the 2026-04 shortfall before assuming a demand problem. The unit count for that month does not fall as far as revenue does, which points at transaction mix rather than volume.</w:t>
      </w:r>
    </w:p>
    <w:p>
      <w:pPr>
        <w:pStyle w:val="ListBullet"/>
      </w:pPr>
      <w:r>
        <w:t>Attach a satisfaction recovery target to KwaZulu-Natal, currently at 3.85, the weakest regional score.</w:t>
      </w:r>
    </w:p>
    <w:p>
      <w:pPr>
        <w:pStyle w:val="ListBullet"/>
      </w:pPr>
      <w:r>
        <w:t>Close the satisfaction data gap. 1 transaction carries no satisfaction score, which means the regional averages above rest on incomplete evidence.</w:t>
      </w:r>
    </w:p>
    <w:p>
      <w:pPr>
        <w:pStyle w:val="ListBullet"/>
      </w:pPr>
      <w:r>
        <w:t>Diversify away from single-product dependence. At 76.6% concentration, a supply or pricing shock to Laptop has no offset elsewhere in the portfolio.</w:t>
      </w:r>
    </w:p>
    <w:p>
      <w:pPr>
        <w:pStyle w:val="ListBullet"/>
      </w:pPr>
      <w:r>
        <w:t>Re-measure before the next reporting period. Each figure here is a point in time from a small transaction count (8), and the trends should not be extrapolated without more data.</w:t>
      </w:r>
    </w:p>
    <w:p>
      <w:pPr>
        <w:pStyle w:val="Heading1"/>
      </w:pPr>
      <w:r>
        <w:t>8. Limitations</w:t>
      </w:r>
    </w:p>
    <w:p>
      <w:pPr>
        <w:pStyle w:val="ListBullet"/>
      </w:pPr>
      <w:r>
        <w:t>The dataset contains 8 transactions over four months. Figures are precise but statistically thin, and small changes can move percentages sharply.</w:t>
      </w:r>
    </w:p>
    <w:p>
      <w:pPr>
        <w:pStyle w:val="ListBullet"/>
      </w:pPr>
      <w:r>
        <w:t>No prior-year data is present, so year-on-year comparison and seasonality cannot be assessed.</w:t>
      </w:r>
    </w:p>
    <w:p>
      <w:pPr>
        <w:pStyle w:val="ListBullet"/>
      </w:pPr>
      <w:r>
        <w:t>1 transaction has no satisfaction score, and no transaction has more than one, so satisfaction is measured per transaction rather than per customer.</w:t>
      </w:r>
    </w:p>
    <w:p>
      <w:pPr>
        <w:pStyle w:val="ListBullet"/>
      </w:pPr>
      <w:r>
        <w:t>No cost, margin or inventory data is recorded. Revenue concentration can be identified, but profitability cannot be assessed from this table alone.</w:t>
      </w:r>
    </w:p>
    <w:p>
      <w:pPr>
        <w:pStyle w:val="ListBullet"/>
      </w:pPr>
      <w:r>
        <w:t>Figures in this document were calculated from the sales table on the date of generation and will not update automatically.</w:t>
      </w:r>
    </w:p>
    <w:p>
      <w:r>
        <w:rPr>
          <w:i/>
          <w:sz w:val="18"/>
        </w:rPr>
        <w:t>Generated by scripts/generate_strategy_document.py directly from data/sales.db. Re-run the script to regenerate this document against updated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