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B8F68"/>
          <w:sz w:val="64"/>
          <w:szCs w:val="64"/>
        </w:rPr>
        <w:t xml:space="preserve">WINCHICKEN</w:t>
      </w:r>
    </w:p>
    <w:p>
      <w:pPr>
        <w:spacing w:after="200"/>
        <w:jc w:val="center"/>
      </w:pPr>
      <w:r>
        <w:rPr>
          <w:color w:val="10242C"/>
          <w:sz w:val="32"/>
          <w:szCs w:val="32"/>
        </w:rPr>
        <w:t xml:space="preserve">Spécification d'implémentation détaillée</w:t>
      </w:r>
    </w:p>
    <w:p>
      <w:pPr>
        <w:spacing w:after="1600"/>
        <w:jc w:val="center"/>
      </w:pPr>
      <w:r>
        <w:rPr>
          <w:i/>
          <w:iCs/>
          <w:color w:val="5F7377"/>
          <w:sz w:val="22"/>
          <w:szCs w:val="22"/>
        </w:rPr>
        <w:t xml:space="preserve">Positions d'interface, calculs backend, graphiques du tableau de bord</w:t>
      </w:r>
    </w:p>
    <w:p>
      <w:pPr>
        <w:jc w:val="center"/>
      </w:pPr>
      <w:r>
        <w:rPr>
          <w:color w:val="5F7377"/>
          <w:sz w:val="20"/>
          <w:szCs w:val="20"/>
        </w:rPr>
        <w:t xml:space="preserve">Version 1.0 — Août 2026</w:t>
      </w:r>
    </w:p>
    <w:p>
      <w:pPr>
        <w:jc w:val="center"/>
      </w:pPr>
      <w:r>
        <w:rPr>
          <w:color w:val="5F7377"/>
          <w:sz w:val="20"/>
          <w:szCs w:val="20"/>
        </w:rPr>
        <w:t xml:space="preserve">Complément à winchicken-cahier-des-charges.docx — à donner à Claude Code avec ce dernier</w:t>
      </w:r>
    </w:p>
    <w:p>
      <w:r>
        <w:br w:type="page"/>
      </w:r>
    </w:p>
    <w:p>
      <w:pPr>
        <w:pStyle w:val="Heading1"/>
        <w:spacing w:after="200" w:before="360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0. Comment utiliser ce document</w:t>
      </w:r>
    </w:p>
    <w:p>
      <w:pPr>
        <w:spacing w:after="160" w:line="276"/>
      </w:pPr>
      <w:r>
        <w:t xml:space="preserve">Ce document complète le cahier des charges fonctionnel (winchicken-cahier-des-charges.docx) : il ne redéfinit pas le périmètre ni le modèle de données, il précise le niveau d'implémentation — où se trouve chaque bouton, ce que chaque calcul backend produit exactement, et comment chaque graphique du tableau de bord est construit à partir des données réelles. Donner les deux documents ensemble à Claude Code, en rappelant qu'aucune donnée par défaut n'est autorisée et que le thème visuel est celui déjà défini (house-protocol-theme-light.css, dashboard-theme.css).</w:t>
      </w:r>
    </w:p>
    <w:p>
      <w:pPr>
        <w:spacing w:after="160" w:line="276"/>
      </w:pPr>
      <w:r>
        <w:t xml:space="preserve">Convention de position utilisée dans ce document : les coordonnées sont relatives au conteneur direct du bouton (pas à la fenêtre), en suivant l'ordre de lecture naturel (haut vers bas, gauche vers droite).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Page d'accueil — inventaire des boutons</w:t>
      </w:r>
    </w:p>
    <w:p>
      <w:pPr>
        <w:pStyle w:val="Heading2"/>
        <w:spacing w:after="140" w:before="260"/>
      </w:pPr>
      <w:r>
        <w:t>1.1 Écran de bienvenue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26"/>
      </w:tblGrid>
      <w:tr>
        <w:trPr>
          <w:tblHeader/>
        </w:trPr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2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Logo (brand mark)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Centré, au-dessus du titre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Icône 56px, réutilise .brand-mark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Aucune (décoratif)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Voir une démo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Sous le sous-texte, premier bouton de la rangée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Contour, coins arrondis 999px, padding 14px 24px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Ouvre la modale vidéo (lecteur avec contrôles visibles, fermable via Échap ou clic sur le fond, source placeholder /demo.mp4)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Se connecter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Sous le sous-texte, second bouton, 14px à droite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Plein menthe, coins arrondis 999px, padding 14px 24px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Redirige vers /login si une ferme existe (GET /api/farm/exists/), vers /create-farm sinon — seule navigation de la page</w:t>
            </w:r>
          </w:p>
        </w:tc>
      </w:tr>
    </w:tbl>
    <w:p>
      <w:pPr>
        <w:pStyle w:val="Heading1"/>
        <w:spacing w:after="200" w:before="360"/>
      </w:pPr>
      <w:r>
        <w:t xml:space="preserve">2. Authentification — inventaire des boutons</w:t>
      </w:r>
    </w:p>
    <w:p>
      <w:pPr>
        <w:pStyle w:val="Heading2"/>
        <w:spacing w:after="140" w:before="260"/>
      </w:pPr>
      <w:r>
        <w:t xml:space="preserve">2.1 Créer la ferme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200"/>
        <w:gridCol w:w="1226"/>
      </w:tblGrid>
      <w:tr>
        <w:trPr>
          <w:tblHeader/>
        </w:trPr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12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Champs (nom, email, mot de passe, nom de ferme)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Empilés verticalement, carte centrée 420px de large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--surface-2, bordure fine, anneau menthe au focus</w:t>
            </w:r>
          </w:p>
        </w:tc>
        <w:tc>
          <w:tcPr>
            <w:tcW w:type="dxa" w:w="1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Pleine largeur de la carte, sous le dernier champ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menthe, coins arrondis 10px, padding 14px</w:t>
            </w:r>
          </w:p>
        </w:tc>
        <w:tc>
          <w:tcPr>
            <w:tcW w:type="dxa" w:w="1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/api/farm/create/ → connexion auto → /onboarding/protocol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Déjà un compte ? Se connecter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Centré sous le bouton principal, texte lien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Texte 13px menthe souligné au survol</w:t>
            </w:r>
          </w:p>
        </w:tc>
        <w:tc>
          <w:tcPr>
            <w:tcW w:type="dxa" w:w="1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Bascule vers le formulaire de connexion</w:t>
            </w:r>
          </w:p>
        </w:tc>
      </w:tr>
    </w:tbl>
    <w:p>
      <w:pPr>
        <w:pStyle w:val="Heading2"/>
        <w:spacing w:after="140" w:before="260"/>
      </w:pPr>
      <w:r>
        <w:t xml:space="preserve">2.2 Se connecter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200"/>
        <w:gridCol w:w="1226"/>
      </w:tblGrid>
      <w:tr>
        <w:trPr>
          <w:tblHeader/>
        </w:trPr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12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Champs (email, mot de passe)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Empilés verticalement, carte centrée 420px de large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--surface-2, bordure fine, anneau menthe au focus</w:t>
            </w:r>
          </w:p>
        </w:tc>
        <w:tc>
          <w:tcPr>
            <w:tcW w:type="dxa" w:w="1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Pleine largeur de la carte, sous le dernier champ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menthe, coins arrondis 10px, padding 14px</w:t>
            </w:r>
          </w:p>
        </w:tc>
        <w:tc>
          <w:tcPr>
            <w:tcW w:type="dxa" w:w="1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/api/auth/login/ → /dashboard (ou /onboarding/protocol si is_configured est faux)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3. Assistant de configuration — inventaire des boutons</w:t>
      </w:r>
    </w:p>
    <w:p>
      <w:pPr>
        <w:spacing w:after="160" w:line="276"/>
      </w:pPr>
      <w:r>
        <w:t xml:space="preserve">Structure commune aux trois étapes : en-tête de progression fixe en haut (« 1. Bandes  2. Stock  3. Employés »), contenu scrollable au centre, barre d'actions fixée en bas de l'écran (comme dans HouseProtocolForm.jsx et StockParametersForm.jsx).</w:t>
      </w:r>
    </w:p>
    <w:p>
      <w:pPr>
        <w:pStyle w:val="Heading2"/>
        <w:spacing w:after="140" w:before="260"/>
      </w:pPr>
      <w:r>
        <w:t xml:space="preserve">3.1 Étape 1 — Bandes de poulets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16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un modèle de départ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droit de la carte d'en-tête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 menthe fin, texte 12px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Préremplit les 5 onglets avec les exemples de référence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Onglets de catégorie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Rangée horizontale sous la carte d'en-tête, défilement horizontal sur mobile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Pilules, actif = fond menthe plein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Change la catégorie affichée dans le tableau — inclut les catégories personnalisées ajoutées via le bouton « + »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Ajouter une catégorie (« + »)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Dernier onglet de la rangée de catégories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Onglet en pointillé, icône + seule, texte menthe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Ouvre un petit formulaire en ligne (nom + icône, 12 icônes proposées) ; confirmer ajoute l'onglet immédiatement, local à cette étape jusqu'à « Suivant »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une ligne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tableau de la catégorie active, aligné à gauche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menthe translucide, texte menthe, coins arrondis 11px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 une ligne vide au tableau actif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de suppression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Dernière colonne de chaque ligne du tableau, 34x34px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rouge translucide, plein rouge au survol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Retire la ligne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Suivant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fixe en bas, extrémité droite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menthe, coins arrondis 12px, padding 13px 28px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Désactivé tant qu'aucune ligne n'est saisie ; sinon → étape 2</w:t>
            </w:r>
          </w:p>
        </w:tc>
      </w:tr>
    </w:tbl>
    <w:p>
      <w:pPr>
        <w:pStyle w:val="Heading2"/>
        <w:spacing w:after="140" w:before="260"/>
      </w:pPr>
      <w:r>
        <w:t xml:space="preserve">3.2 Étape 2 —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6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16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Retour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fixe en bas, extrémité gauche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Contour, coins arrondis 12px, padding 13px 24px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Retour à l'étape 1 sans perte de saisie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Onglets (Aliment, Vétérinaire, Équipement, Litière)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Rangée horizontale sous la carte d'en-tête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Pilules, actif = fond menthe plein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la catégorie affichée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article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tableau de la catégorie active, aligné à gauche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menthe translucide, texte menthe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 une ligne vide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Suivant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fixe en bas, extrémité droite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menthe, coins arrondis 12px, padding 13px 28px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Désactivé tant qu'aucun article n'est saisi ; sinon → étape 3</w:t>
            </w:r>
          </w:p>
        </w:tc>
      </w:tr>
    </w:tbl>
    <w:p>
      <w:pPr>
        <w:pStyle w:val="Heading2"/>
        <w:spacing w:after="140" w:before="260"/>
      </w:pPr>
      <w:r>
        <w:t xml:space="preserve">3.3 Étape 3 — Employés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6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16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Champs (nom, email, rôle, mot de passe)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 formulaire en haut de l'étape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--surface-2, sélecteur de rôle en liste déroulante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autre employé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formulaire, aligné à gauche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 menthe, coins arrondis 10px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 l'employé à la liste affichée au-dessus du formulaire, vide le formulaire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employés ajoutés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Au-dessus du formulaire, une ligne par employé avec une icône de suppression à droite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Cartes fines empilées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L'icône retire l'employé de la liste avant soumission finale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Sauter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fixe en bas, à gauche du bouton Suivant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Contour, coins arrondis 12px, padding 13px 24px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Toujours actif → /dashboard sans créer d'employé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Suivant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fixe en bas, extrémité droite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menthe, coins arrondis 12px, padding 13px 28px</w:t>
            </w:r>
          </w:p>
        </w:tc>
        <w:tc>
          <w:tcPr>
            <w:tcW w:type="dxa" w:w="16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 les employés listés puis → /dashboard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Tableau de bord — inventaire des boutons par écran</w:t>
      </w:r>
    </w:p>
    <w:p>
      <w:pPr>
        <w:pStyle w:val="Heading2"/>
        <w:spacing w:after="140" w:before="260"/>
      </w:pPr>
      <w:r>
        <w:t xml:space="preserve">4.0 Sidebar persistante</w:t>
      </w:r>
    </w:p>
    <w:p>
      <w:pPr>
        <w:spacing w:after="160" w:line="276"/>
      </w:pPr>
      <w:r>
        <w:t xml:space="preserve">Conteneur fixe à gauche sur toutes les routes /dashboard/*, largeur 264px, fond blanc, bordure droite fine — pas de fond vert foncé ni orange (contrairement au brief d'origine), cohérent avec le thème clair retenu. Composant : DashboardLayout.jsx, enveloppant le contenu de chaque écran (HomeDashboard.jsx et les autres deviennent des enfants rendus dans la zone de contenu, sans leur propre .app-shell).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026"/>
      </w:tblGrid>
      <w:tr>
        <w:trPr>
          <w:tblHeader/>
        </w:trPr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Style</w:t>
            </w:r>
          </w:p>
        </w:tc>
        <w:tc>
          <w:tcPr>
            <w:tcW w:type="dxa" w:w="2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Logo + WINCHICKEN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Haut de la sidebar, sous une bordure de séparation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34px + eyebrow menthe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(décoratif)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d'ensemble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Juste sous le logo, isolé des autres liens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pleine largeur, icône + texte, actif = fond menthe translucide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Label « Bâtiments »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lien Vue d'ensemble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Texte 11px majuscules, --muted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(étiquette de section)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bâtiments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label, un lien par PoultryHouse (ordre de création)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(poule ou œuf selon productionType) + nom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/dashboard/houses/{houseCode}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 Nouveau bâtiment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la liste des bâtiments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 menthe pointillé, texte 13px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/onboarding/protocol en mode ajout (visible uniquement Administrateur / Gérant de ferme)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Finance, Stock, Employés, Caissier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un séparateur, après le bloc Bâtiments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Liens pleine largeur, icône + texte, actif = fond menthe translucide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écran correspondant (chaque lien masqué si le rôle n'y a pas accès, voir section 8)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Paramètres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 du bas, au-dessus de Déconnexion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pleine largeur, icône + texte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/dashboard/settings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Déconnexion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Bloc du bas, dernier lien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pleine largeur, icône + texte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Efface les jetons JWT → /login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Puce utilisateur (avatar + nom + rôle)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 en bas de la sidebar, sous Déconnexion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Avatar circulaire (initiales), nom en gras, rôle en --muted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(affichage seul)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Bouton menu (mobile)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gauche de l'écran, visible seulement &lt; 900px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hamburger / croix, fond blanc, ombre légère</w:t>
            </w:r>
          </w:p>
        </w:tc>
        <w:tc>
          <w:tcPr>
            <w:tcW w:type="dxa" w:w="2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Ouvre/ferme la sidebar en tiroir superposé</w:t>
            </w:r>
          </w:p>
        </w:tc>
      </w:tr>
    </w:tbl>
    <w:p>
      <w:pPr>
        <w:spacing w:after="160" w:line="276"/>
      </w:pPr>
      <w:r>
        <w:t xml:space="preserve">La liste des bâtiments est chargée dynamiquement (GET /api/houses/), pas codée en dur — un compte qui vient de terminer l'onboarding voit apparaître son premier bâtiment sans rechargement de page si l'état est correctement propagé après la redirection finale.</w:t>
      </w:r>
    </w:p>
    <w:p>
      <w:pPr>
        <w:pStyle w:val="Heading2"/>
        <w:spacing w:after="140" w:before="260"/>
      </w:pPr>
      <w:r>
        <w:t xml:space="preserve">4.1 Vue d'ensemble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Voir tout (bâtiments)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droit de la section « Bâtiments »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/dashboard/houses (liste complète)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Ligne de bâtiment (carte cliquable entière)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verticale, une carte par bâtiment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/dashboard/houses/{houseCode}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Voir tout (alertes)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droit de la section « Alertes récentes »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/dashboard/alerts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Nouvelle bande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Grille d'actions rapides, première carte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formulaire de création de bande (réutilise HouseProtocolForm en mode édition d'une bande existante ou nouvelle)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Protocole du bâtiment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Grille d'actions rapides, deuxième carte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/dashboard/houses/{houseCode}/protocol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Paramètres de stock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Grille d'actions rapides, troisième carte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/dashboard/stock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Aperçu financier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Grille d'actions rapides, quatrième carte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/dashboard/finance</w:t>
            </w:r>
          </w:p>
        </w:tc>
      </w:tr>
    </w:tbl>
    <w:p>
      <w:pPr>
        <w:pStyle w:val="Heading2"/>
        <w:spacing w:after="140" w:before="260"/>
      </w:pPr>
      <w:r>
        <w:t xml:space="preserve">4.2 Vue par bâtiment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Sélecteur de bâtiment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 d'Ariane, à droite de « Tableau de bord / »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déroulant pour changer de bâtiment sans repasser par la vue d'ensemble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Modifier le protocole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droit de la carte principale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/dashboard/houses/{houseCode}/protocol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Clôturer la bande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le résumé de la bande active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Ouvre une confirmation puis PATCH /api/batches/{batchCode}/close/</w:t>
            </w:r>
          </w:p>
        </w:tc>
      </w:tr>
    </w:tbl>
    <w:p>
      <w:pPr>
        <w:pStyle w:val="Heading2"/>
        <w:spacing w:after="140" w:before="260"/>
      </w:pPr>
      <w:r>
        <w:t xml:space="preserve">4.3 Vue Finance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Bascule 6M / 1A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Coin supérieur droit de la carte de tendance financière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la période agrégée du graphique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Filtre Tout / Entrées / Sorties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Au-dessus de la table des transactions, contrôle segmenté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Filtre la liste sans recharger la page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Filtrer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À droite du contrôle segmenté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Ouvre un panneau de filtres avancés (catégorie, plage de dates)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Précédent / Suivant (pagination)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 de la table des transactions, centré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de page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Voir le rapport de clôture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 chaque bande clôturée listée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→ modale ou page dédiée affichant BatchClosingReport</w:t>
            </w:r>
          </w:p>
        </w:tc>
      </w:tr>
    </w:tbl>
    <w:p>
      <w:r>
        <w:t xml:space="preserve">Accès restreint (rôles non privilégiés — Fermier, Ouvrier, Technicien, Caissier, Administrateur secondaire) : la vue Finance affiche uniquement deux cartes de tendance (chiffre d’affaires, charges — hausse / baisse / stable), sans montant exact, sans table de transactions, sans filtres, en lecture seule. GET /api/finance/summary/?range=6m|1y renvoie access: "restricted" pour ces rôles (au lieu de access: "full" pour Administrateur / Gérant de ferme) ; GET /api/finance/expense-categories/ et GET /api/finance/transactions/ renvoient 403 pour ces rôles.</w:t>
      </w:r>
    </w:p>
    <w:p>
      <w:pPr>
        <w:pStyle w:val="Heading2"/>
        <w:spacing w:after="140" w:before="260"/>
      </w:pPr>
      <w:r>
        <w:t xml:space="preserve">4.4 Vue Stock, Employés, Caissier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Élément</w:t>
            </w:r>
          </w:p>
        </w:tc>
        <w:tc>
          <w:tcPr>
            <w:tcW w:type="dxa" w:w="3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Onglets de catégorie (Stock)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l'en-tête, comme dans l'assistant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Change la catégorie affichée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article / employé / vente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Sous la liste ou le tableau, aligné à gauche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 une ligne éditable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Enregistrer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d'actions basse, extrémité droite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PUT/POST vers l'API correspondante, confirmation visuelle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de suppression</w:t>
            </w:r>
          </w:p>
        </w:tc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Dernière colonne de chaque ligne</w:t>
            </w:r>
          </w:p>
        </w:tc>
        <w:tc>
          <w:tcPr>
            <w:tcW w:type="dxa" w:w="3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Suppression avec confirmation pour les employés, immédiate pour les lignes de formulaire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Calculs backend</w:t>
      </w:r>
    </w:p>
    <w:p>
      <w:pPr>
        <w:spacing w:after="160" w:line="276"/>
      </w:pPr>
      <w:r>
        <w:t xml:space="preserve">Tous les indicateurs affichés dans le tableau de bord sont calculés côté backend à partir des tables réelles — aucun chiffre n'est stocké en dur ni calculé côté frontend à partir de données qu'il n'a pas reçues.</w:t>
      </w:r>
    </w:p>
    <w:p>
      <w:pPr>
        <w:pStyle w:val="Heading2"/>
        <w:spacing w:after="140" w:before="260"/>
      </w:pPr>
      <w:r>
        <w:t xml:space="preserve">5.1 Indicateurs d'élevage</w:t>
      </w:r>
    </w:p>
    <w:p>
      <w:pPr>
        <w:pStyle w:val="Heading3"/>
        <w:spacing w:after="100" w:before="200"/>
      </w:pPr>
      <w:r>
        <w:t xml:space="preserve">Mortalité cumulée (%)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mortality_pct = (SUM(DailyLog.mortality) WHERE batchCode = X) / PoultryBatch.initialCount * 100</w:t>
      </w:r>
    </w:p>
    <w:p>
      <w:pPr>
        <w:spacing w:after="160" w:line="276"/>
      </w:pPr>
      <w:r>
        <w:t xml:space="preserve">Référence : 3 % (favorable) à 5 % (défavorable) en fin de bande. Calculé à la demande pour l'affichage, et figé dans BatchClosingReport.totalMortalityPct à la clôture.</w:t>
      </w:r>
    </w:p>
    <w:p>
      <w:pPr>
        <w:pStyle w:val="Heading3"/>
        <w:spacing w:after="100" w:before="200"/>
      </w:pPr>
      <w:r>
        <w:t xml:space="preserve">Indice de consommation (IC)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feed_conversion_ratio = SUM(DailyLog.feedConsumedKg WHERE batchCode = X) / (PoultryBatch.currentCount * latest(DailyLog.avgSampleWeight))</w:t>
      </w:r>
    </w:p>
    <w:p>
      <w:pPr>
        <w:spacing w:after="160" w:line="276"/>
      </w:pPr>
      <w:r>
        <w:t xml:space="preserve">Référence : 2,10 (favorable) à 2,30 (défavorable). Le poids vif produit est estimé par effectif courant × poids moyen du dernier relevé.</w:t>
      </w:r>
    </w:p>
    <w:p>
      <w:pPr>
        <w:pStyle w:val="Heading3"/>
        <w:spacing w:after="100" w:before="200"/>
      </w:pPr>
      <w:r>
        <w:t xml:space="preserve">Consommation journalière par oiseau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feed_per_bird_day = DailyLog.feedConsumedKg / PoultryBatch.currentCount   (à la date du relevé)</w:t>
      </w:r>
    </w:p>
    <w:p>
      <w:pPr>
        <w:pStyle w:val="Heading3"/>
        <w:spacing w:after="100" w:before="200"/>
      </w:pPr>
      <w:r>
        <w:t xml:space="preserve">Ratio eau / aliment (détection d'écart)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water_feed_ratio = DailyLog.waterConsumedL / DailyLog.feedConsumedKg</w:t>
      </w:r>
    </w:p>
    <w:p>
      <w:pPr>
        <w:spacing w:after="160" w:line="276"/>
      </w:pPr>
      <w:r>
        <w:t xml:space="preserve">Une valeur hors de la plage habituelle (environ 1,6 à 2,2) déclenche une Alert de type CONSUMPTION_DEVIATION via l'AlertRule correspondante.</w:t>
      </w:r>
    </w:p>
    <w:p>
      <w:pPr>
        <w:pStyle w:val="Heading2"/>
        <w:spacing w:after="140" w:before="260"/>
      </w:pPr>
      <w:r>
        <w:t xml:space="preserve">5.2 Stock</w:t>
      </w:r>
    </w:p>
    <w:p>
      <w:pPr>
        <w:pStyle w:val="Heading3"/>
        <w:spacing w:after="100" w:before="200"/>
      </w:pPr>
      <w:r>
        <w:t xml:space="preserve">Quantité courante d'un article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current_quantity(item) = SUM(StockMovement.quantity WHERE itemCode = item AND movementType = IN)
                        - SUM(StockMovement.quantity WHERE itemCode = item AND movementType = OUT)</w:t>
      </w:r>
    </w:p>
    <w:p>
      <w:pPr>
        <w:spacing w:after="160" w:line="276"/>
      </w:pPr>
      <w:r>
        <w:t xml:space="preserve">Calculée à la volée par agrégation, ou mise en cache sur StockItem et recalculée à chaque écriture de StockMovement (choix d'implémentation libre, à documenter). Déclenche une Alert LOW_STOCK dès que current_quantity &lt; StockItem.alertThreshold.</w:t>
      </w:r>
    </w:p>
    <w:p>
      <w:pPr>
        <w:pStyle w:val="Heading2"/>
        <w:spacing w:after="140" w:before="260"/>
      </w:pPr>
      <w:r>
        <w:t xml:space="preserve">5.3 Finance par bande</w:t>
      </w:r>
    </w:p>
    <w:p>
      <w:pPr>
        <w:pStyle w:val="Heading3"/>
        <w:spacing w:after="100" w:before="200"/>
      </w:pPr>
      <w:r>
        <w:t xml:space="preserve">Coût variable total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total_variable_cost = SUM(Expense.amount WHERE batchCode = X AND category IN (FEED, VETERINARY, MISC))</w:t>
      </w:r>
    </w:p>
    <w:p>
      <w:pPr>
        <w:pStyle w:val="Heading3"/>
        <w:spacing w:after="100" w:before="200"/>
      </w:pPr>
      <w:r>
        <w:t xml:space="preserve">Coût fixe alloué (hors coût de revient unitaire par défaut)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allocated_fixed_cost = SUM(Expense.amount WHERE batchCode = X AND category IN (DEPRECIATION, LABOR))</w:t>
      </w:r>
    </w:p>
    <w:p>
      <w:pPr>
        <w:pStyle w:val="Heading3"/>
        <w:spacing w:after="100" w:before="200"/>
      </w:pPr>
      <w:r>
        <w:t xml:space="preserve">Chiffre d'affaires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revenue = SUM(Sale.totalAmount WHERE batchCode = X)</w:t>
      </w:r>
    </w:p>
    <w:p>
      <w:pPr>
        <w:pStyle w:val="Heading3"/>
        <w:spacing w:after="100" w:before="200"/>
      </w:pPr>
      <w:r>
        <w:t xml:space="preserve">Coût de revient unitaire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unit_cost_price = total_variable_cost / PoultryBatch.currentCount   (à la clôture)</w:t>
      </w:r>
    </w:p>
    <w:p>
      <w:pPr>
        <w:pStyle w:val="Heading3"/>
        <w:spacing w:after="100" w:before="200"/>
      </w:pPr>
      <w:r>
        <w:t xml:space="preserve">Marge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gross_margin = revenue - total_variable_cost
net_margin   = gross_margin - allocated_fixed_cost</w:t>
      </w:r>
    </w:p>
    <w:p>
      <w:pPr>
        <w:pStyle w:val="Heading3"/>
        <w:spacing w:after="100" w:before="200"/>
      </w:pPr>
      <w:r>
        <w:t xml:space="preserve">Besoin en fonds de roulement (estimation)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bfr_estimate(date) = cumulative(Expense.amount WHERE batchCode = X, up to date)
                    - cumulative(Sale.totalAmount WHERE batchCode = X, up to date)</w:t>
      </w:r>
    </w:p>
    <w:p>
      <w:pPr>
        <w:spacing w:after="160" w:line="276"/>
      </w:pPr>
      <w:r>
        <w:t xml:space="preserve">Une valeur positive indique un besoin de trésorerie non couvert par les ventes à cette date — attendu en début de bande, doit se résorber vers la clôture.</w:t>
      </w:r>
    </w:p>
    <w:p>
      <w:pPr>
        <w:pStyle w:val="Heading3"/>
        <w:spacing w:after="100" w:before="200"/>
      </w:pPr>
      <w:r>
        <w:t xml:space="preserve">Seuil de rentabilité (point mort)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break_even_quantity = allocated_fixed_cost / (unit_sale_price - unit_variable_cost)</w:t>
      </w:r>
    </w:p>
    <w:p>
      <w:pPr>
        <w:pStyle w:val="Heading3"/>
        <w:spacing w:after="100" w:before="200"/>
      </w:pPr>
      <w:r>
        <w:t xml:space="preserve">Clôture de bande (déclenche l'écriture de BatchClosingReport)</w:t>
      </w:r>
    </w:p>
    <w:p>
      <w:pPr>
        <w:spacing w:after="160" w:line="276"/>
      </w:pPr>
      <w:r>
        <w:t xml:space="preserve">Appelée par PATCH /api/batches/{batchCode}/close/ : fige totalMortalityPct, feedConversionRatio, revenue, totalVariableCost, unitCostPrice, totalMargin avec les formules ci-dessus, à la date de clôture.</w:t>
      </w:r>
    </w:p>
    <w:p>
      <w:pPr>
        <w:pStyle w:val="Heading2"/>
        <w:spacing w:after="140" w:before="260"/>
      </w:pPr>
      <w:r>
        <w:t xml:space="preserve">5.4 Ratios financiers avancés (vue Finance)</w:t>
      </w:r>
    </w:p>
    <w:p>
      <w:pPr>
        <w:pStyle w:val="Heading3"/>
        <w:spacing w:after="100" w:before="200"/>
      </w:pPr>
      <w:r>
        <w:t xml:space="preserve">Prévision de rentabilité (ROI)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roi_forecast_pct = (projected_margin / total_investment) * 100</w:t>
      </w:r>
    </w:p>
    <w:p>
      <w:pPr>
        <w:spacing w:after="160" w:line="276"/>
      </w:pPr>
      <w:r>
        <w:t xml:space="preserve">total_investment est la somme des PurchaseOrder de catégorie équipement/bâtiment sur la période, ou une valeur saisie manuellement par l'administrateur si aucun investissement n'est encore enregistré — à défaut, l'indicateur affiche « non disponible » plutôt qu'une valeur inventée.</w:t>
      </w:r>
    </w:p>
    <w:p>
      <w:pPr>
        <w:pStyle w:val="Heading3"/>
        <w:spacing w:after="100" w:before="200"/>
      </w:pPr>
      <w:r>
        <w:t xml:space="preserve">Trésorerie disponible (cash-on-hand)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cash_on_hand = cumulative(Sale.totalAmount) - cumulative(Expense.amount) - cumulative(PurchaseOrder.amount WHERE status = RECEIVED)</w:t>
      </w:r>
    </w:p>
    <w:p>
      <w:pPr>
        <w:pStyle w:val="Heading3"/>
        <w:spacing w:after="100" w:before="200"/>
      </w:pPr>
      <w:r>
        <w:t xml:space="preserve">Montants à régler (pending payables)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pending_payables = SUM(PurchaseOrder.amount WHERE status = PENDING)</w:t>
      </w:r>
    </w:p>
    <w:p>
      <w:pPr>
        <w:pStyle w:val="Heading3"/>
        <w:spacing w:after="100" w:before="200"/>
      </w:pPr>
      <w:r>
        <w:t xml:space="preserve">Ratio d'endettement (si des emprunts sont suivis)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debt_ratio = total_liabilities / total_assets</w:t>
      </w:r>
    </w:p>
    <w:p>
      <w:pPr>
        <w:spacing w:after="160" w:line="276"/>
      </w:pPr>
      <w:r>
        <w:t xml:space="preserve">Non calculable tant qu'aucune table de passif/emprunt n'existe dans le schéma actuel — à ajouter uniquement si la ferme suit effectivement des emprunts ; ne pas afficher de valeur par défaut dans l'intervalle.</w:t>
      </w:r>
    </w:p>
    <w:p>
      <w:pPr>
        <w:pStyle w:val="Heading3"/>
        <w:spacing w:after="100" w:before="200"/>
      </w:pPr>
      <w:r>
        <w:t xml:space="preserve">Marge de sécurité (par rapport au seuil de rentabilité)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safety_margin_pct = (actual_quantity_sold - break_even_quantity) / actual_quantity_sold * 100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Graphiques du tableau de bord</w:t>
      </w:r>
    </w:p>
    <w:p>
      <w:pPr>
        <w:spacing w:after="160" w:line="276"/>
      </w:pPr>
      <w:r>
        <w:t xml:space="preserve">Bibliothèque : Recharts. Chaque graphique est alimenté par un point d'accès dédié, jamais par un calcul frontend sur des données brutes non agrégées.</w:t>
      </w:r>
    </w:p>
    <w:p>
      <w:pPr>
        <w:pStyle w:val="Heading2"/>
        <w:spacing w:after="140" w:before="260"/>
      </w:pPr>
      <w:r>
        <w:t xml:space="preserve">6.1 Courbe de croissance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LineChart (Recharts)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X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Jour du cycle (1 à PoultryBatch → plannedEndDate - startDate)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Y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Poids moyen (kg), 0 à une borne dynamique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Série(s)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ligne par bande active du bâtiment affiché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/api/batches/{batchCode}/daily-logs/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 tracé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DailyLog.avgSampleWeight par DailyLog.logDate</w:t>
            </w:r>
          </w:p>
        </w:tc>
      </w:tr>
    </w:tbl>
    <w:p>
      <w:pPr>
        <w:pStyle w:val="Heading2"/>
        <w:spacing w:after="140" w:before="260"/>
      </w:pPr>
      <w:r>
        <w:t xml:space="preserve">6.2 Tendance de l'indice de consommation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LineChart avec zone de référence ombrée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X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Numéro de semaine du cycle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Y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 cumulé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Zone de référence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Bande ombrée entre 2,10 et 2,30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/api/batches/{batchCode}/kpi/weekly/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Calcul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Voir 5.1 — agrégation hebdomadaire du calcul feed_conversion_ratio</w:t>
            </w:r>
          </w:p>
        </w:tc>
      </w:tr>
    </w:tbl>
    <w:p>
      <w:pPr>
        <w:pStyle w:val="Heading2"/>
        <w:spacing w:after="140" w:before="260"/>
      </w:pPr>
      <w:r>
        <w:t xml:space="preserve">6.3 Tendance de mortalité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BarChart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X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Numéro de semaine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Y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Mortalité de la semaine (%, non cumulée)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Couleur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rouge (--danger) si le taux hebdomadaire dépasse le prorata de la référence 3-5 % sur la durée du cycle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/api/batches/{batchCode}/kpi/weekly/</w:t>
            </w:r>
          </w:p>
        </w:tc>
      </w:tr>
    </w:tbl>
    <w:p>
      <w:pPr>
        <w:pStyle w:val="Heading2"/>
        <w:spacing w:after="140" w:before="260"/>
      </w:pPr>
      <w:r>
        <w:t xml:space="preserve">6.4 Tendance financière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AreaChart, deux séries superposées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X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Mois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Y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Montant (devise de la ferme)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Séries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Chiffre d'affaires (Sale agrégé) vs charges d'exploitation (Expense agrégé)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Bascule 6M / 1A au-dessus du graphique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/api/finance/summary/?range=6m ou 1y</w:t>
            </w:r>
          </w:p>
        </w:tc>
      </w:tr>
    </w:tbl>
    <w:p>
      <w:pPr>
        <w:pStyle w:val="Heading2"/>
        <w:spacing w:after="140" w:before="260"/>
      </w:pPr>
      <w:r>
        <w:t xml:space="preserve">6.5 Répartition des dépenses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PieChart en anneau (donut)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Segments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part par ExpenseCategory (FEED, VETERINARY, MISC, DEPRECIATION, LABOR)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Valeur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Pourcentage du total des dépenses sur la période sélectionnée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/api/finance/expense-categories/?range=...</w:t>
            </w:r>
          </w:p>
        </w:tc>
      </w:tr>
    </w:tbl>
    <w:p>
      <w:pPr>
        <w:pStyle w:val="Heading2"/>
        <w:spacing w:after="140" w:before="260"/>
      </w:pPr>
      <w:r>
        <w:t xml:space="preserve">6.6 Niveaux de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Propriété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BarChart horizontal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Y (catégoriel)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 de l'article (StockItem.name)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Axe X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Quantité courante (voir calcul 5.2)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Repère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Ligne verticale au niveau de StockItem.alertThreshold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Couleur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 rouge si quantité courante &lt; seuil, menthe sinon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 /api/farms/{farmId}/stock-items/ (avec quantité courante calculée)</w:t>
            </w:r>
          </w:p>
        </w:tc>
      </w:tr>
    </w:tbl>
    <w:p>
      <w:pPr>
        <w:pStyle w:val="Heading3"/>
        <w:spacing w:after="100" w:before="200"/>
      </w:pPr>
      <w:r>
        <w:t xml:space="preserve">Exemple de réponse API pour un graphique (niveaux de stock)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{
  "items": [
    { "itemCode": "FEED-STARTER", "name": "Aliment démarrage", "unit": "kg",
      "currentQuantity": 180, "alertThreshold": 200 },
    { "itemCode": "VAX-NEWCASTLE", "name": "Newcastle (HB1)", "unit": "dose",
      "currentQuantity": 24, "alertThreshold": 20 }
  ]
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Tableau récapitulatif de tous les boutons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Écran</w:t>
            </w:r>
          </w:p>
        </w:tc>
        <w:tc>
          <w:tcPr>
            <w:tcW w:type="dxa" w:w="64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Boutons présents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 persistante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d'ensemble, liens dynamiques par bâtiment, + Nouveau bâtiment, Finance, Stock, Employés, Caissier, Paramètres, Déconnexion, bouton menu (mobile)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d'accueil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Ouvrir l'application, Voir le produit, Entrer en contact, Démarrer maintenant, Demander une démo, Envoyer (contact), S'inscrire (newsletter)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ferme, Déjà un compte ? Se connecter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 connecter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Bandes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Charger un modèle de départ, Ajouter une ligne, Supprimer une ligne (x5 catégories), Suivant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Stock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Retour, Ajouter un article, Supprimer un article (x4 catégories), Suivant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Employés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autre employé, Supprimer un employé de la liste, Sauter, Suivant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Tableau de bord — Vue d'ensemble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Voir tout (bâtiments), Voir tout (alertes), Nouvelle bande, Protocole du bâtiment, Paramètres de stock, Aperçu financier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par bâtiment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Sélecteur de bâtiment, Modifier le protocole, Clôturer la bande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Finance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Bascule 6M/1A, Filtre Tout/Entrées/Sorties, Filtrer, Précédent/Suivant, Voir le rapport de clôture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Stock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Onglets de catégorie, Ajouter un article, Supprimer, Enregistrer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Employés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 employé, Modifier, Supprimer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Vue Caissier</w:t>
            </w:r>
          </w:p>
        </w:tc>
        <w:tc>
          <w:tcPr>
            <w:tcW w:type="dxa" w:w="64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Nouvelle vente, Enregistrer</w:t>
            </w:r>
          </w:p>
        </w:tc>
      </w:tr>
    </w:tbl>
    <w:p>
      <w:pPr>
        <w:pStyle w:val="Heading1"/>
        <w:spacing w:after="200" w:before="360"/>
      </w:pPr>
      <w:r>
        <w:t xml:space="preserve">8. Permissions par bouton</w:t>
      </w:r>
    </w:p>
    <w:p>
      <w:pPr>
        <w:spacing w:after="160" w:line="276"/>
      </w:pPr>
      <w:r>
        <w:t xml:space="preserve">Un bouton visible mais interdit pour le rôle courant doit être masqué, pas simplement désactivé — pour ne pas laisser deviner l'existence d'une action à un compte qui n'y a pas droit.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Bouton / action</w:t>
            </w:r>
          </w:p>
        </w:tc>
        <w:tc>
          <w:tcPr>
            <w:tcW w:type="dxa" w:w="50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Rôles autorisés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sidebar « + Nouveau bâtiment »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Gérant de ferme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sidebar « Finance »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Tous les rôles authentifiés (contenu restreint selon le rôle — voir ci-dessous)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sidebar « Employés »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Administrateur secondaire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Lien sidebar « Caissier »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Caissier, Administrateur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Public (uniquement si aucune ferme n'existe)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/ modifier / supprimer un employé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Administrateur secondaire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Modifier le protocole d'un bâtiment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Gérant de ferme, Fermier responsable du bâtiment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Clôturer une bande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Gérant de ferme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/ modifier un article de stock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Administrateur, Gérant de ferme, Fermier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Enregistrer une vente / commande fournisseur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Caissier, Administrateur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Déclarer une panne d'équipement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Technicien, Administrateur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Saisir le suivi quotidien (DailyLog)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Fermier, Ouvrier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Consulter la vue Finance (détail complet : montants exacts, table de transactions, filtres)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Administrateur, Gérant de ferme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Consulter la vue Finance (résumé restreint : tendance uniquement, sans montant, lecture seule)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t>Fermier, Ouvrier, Technicien, Caissier, Administrateur secondaire</w:t>
            </w:r>
          </w:p>
        </w:tc>
      </w:tr>
      <w:tr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Valider une tâche de maintenance</w:t>
            </w:r>
          </w:p>
        </w:tc>
        <w:tc>
          <w:tcPr>
            <w:tcW w:type="dxa" w:w="50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Technicien, Ouvrier assigné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États d'interaction des boutons</w:t>
      </w:r>
    </w:p>
    <w:p>
      <w:pPr>
        <w:spacing w:after="160" w:line="276"/>
      </w:pPr>
      <w:r>
        <w:t xml:space="preserve">Tout bouton déclenchant un appel réseau doit avoir un état de chargement visible et un état d'erreur géré — aucune action ne doit paraître silencieusement échouée.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900"/>
        <w:gridCol w:w="1900"/>
        <w:gridCol w:w="1926"/>
      </w:tblGrid>
      <w:tr>
        <w:trPr>
          <w:tblHeader/>
        </w:trPr>
        <w:tc>
          <w:tcPr>
            <w:tcW w:type="dxa" w:w="18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Bouton</w:t>
            </w:r>
          </w:p>
        </w:tc>
        <w:tc>
          <w:tcPr>
            <w:tcW w:type="dxa" w:w="15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État normal</w:t>
            </w:r>
          </w:p>
        </w:tc>
        <w:tc>
          <w:tcPr>
            <w:tcW w:type="dxa" w:w="19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État de chargement</w:t>
            </w:r>
          </w:p>
        </w:tc>
        <w:tc>
          <w:tcPr>
            <w:tcW w:type="dxa" w:w="19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État désactivé</w:t>
            </w:r>
          </w:p>
        </w:tc>
        <w:tc>
          <w:tcPr>
            <w:tcW w:type="dxa" w:w="19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Confirmation requise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 / Se connecter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+ texte estompé, bouton non cliquable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Champs invalides ou vides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Suivant (onboarding)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sur le bouton pendant l'écriture en base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Aucune ligne saisie dans l'étape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Sauter (onboarding employés)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Contour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si redirection asynchrone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Jamais désactivé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Supprimer une ligne (formulaire)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rouge translucide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applicable (suppression locale immédiate)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Jamais désactivé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— action réversible avant enregistrement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Supprimer un employé (vue Employés)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Icône rouge translucide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sur la ligne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Pendant la suppression en cours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 — boîte de dialogue de confirmation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Clôturer la bande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+ désactivation du bouton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Bande déjà clôturée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Oui — confirmation avec rappel que l'action est définitive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Enregistrer (Stock / Protocole)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Plein menthe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Spinner + message « Enregistrement… »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Aucun changement non sauvegardé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  <w:tr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Ajouter une ligne / un article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Fond menthe translucide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 applicable (ajout local immédiat)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Jamais désactivé</w:t>
            </w:r>
          </w:p>
        </w:tc>
        <w:tc>
          <w:tcPr>
            <w:tcW w:type="dxa" w:w="19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</w:tr>
    </w:tbl>
    <w:p>
      <w:pPr>
        <w:spacing w:after="160" w:line="276"/>
      </w:pPr>
      <w:r>
        <w:t xml:space="preserve">Confirmation visuelle après enregistrement réussi : message inline (« Enregistré », couleur --mint) affiché à côté du bouton, disparaissant après quelques secondes — pas de fenêtre modale bloquante pour les sauvegardes de routine.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10. Comportement responsive des boutons et tableaux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Rupture</w:t>
            </w:r>
          </w:p>
        </w:tc>
        <w:tc>
          <w:tcPr>
            <w:tcW w:type="dxa" w:w="68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Comportement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≥ 1024px (bureau)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Barres d'actions horizontales, boutons alignés à droite ; tableaux affichent toutes les colonnes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768–1023px (tablette)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Grilles d'actions rapides passent de 4 à 2 colonnes ; tableaux conservent leurs colonnes avec défilement horizontal si nécessaire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&lt; 768px (mobile)</w:t>
            </w:r>
          </w:p>
        </w:tc>
        <w:tc>
          <w:tcPr>
            <w:tcW w:type="dxa" w:w="68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Barres d'actions en bas de l'écran occupent toute la largeur, boutons empilés verticalement (Suivant au-dessus de Retour/Sauter) ; les colonnes secondaires des tableaux (Détails, Fournisseur) se masquent, visibles au clic sur la ligne ; onglets de catégorie deviennent défilables horizontalement</w:t>
            </w:r>
          </w:p>
        </w:tc>
      </w:tr>
    </w:tbl>
    <w:p>
      <w:pPr>
        <w:spacing w:after="160" w:line="276"/>
      </w:pPr>
      <w:r>
        <w:t xml:space="preserve">Cible tactile minimale de 44x44px pour tout bouton ou icône interactive sur mobile, conformément aux exigences d'accessibilité déjà posées dans le cahier des charges (section 12.1).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Exemples de charge utile API</w:t>
      </w:r>
    </w:p>
    <w:p>
      <w:pPr>
        <w:spacing w:after="160" w:line="276"/>
      </w:pPr>
      <w:r>
        <w:t xml:space="preserve">Ces exemples fixent le contrat de données entre backend et frontend pour les points d'accès de calcul les plus critiques — à respecter à l'implémentation pour que les graphiques et cartes du tableau de bord n'aient aucune transformation à faire côté client au-delà du rendu.</w:t>
      </w:r>
    </w:p>
    <w:p>
      <w:pPr>
        <w:pStyle w:val="Heading2"/>
        <w:spacing w:after="140" w:before="260"/>
      </w:pPr>
      <w:r>
        <w:t xml:space="preserve">11.1 GET /api/batches/{batchCode}/kpi/weekly/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{
  "batchCode": "BATCH-2026-014",
  "weeks": [
    { "week": 1, "mortalityPct": 0.4, "feedConversionRatio": 0.92, "avgWeightKg": 0.18 },
    { "week": 2, "mortalityPct": 0.6, "feedConversionRatio": 1.35, "avgWeightKg": 0.42 },
    { "week": 3, "mortalityPct": 0.3, "feedConversionRatio": 1.78, "avgWeightKg": 0.81 }
  ],
  "referenceRange": { "feedConversionRatio": [2.10, 2.30], "mortalityPct": [3, 5] }
}</w:t>
      </w:r>
    </w:p>
    <w:p>
      <w:pPr>
        <w:pStyle w:val="Heading2"/>
        <w:spacing w:after="140" w:before="260"/>
      </w:pPr>
      <w:r>
        <w:t xml:space="preserve">11.2 GET /api/finance/summary/?range=6m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{
  "range": "6m",
  "months": [
    { "month": "2026-03", "revenue": 812000, "expenses": 610000 },
    { "month": "2026-04", "revenue": 940000, "expenses": 705000 },
    { "month": "2026-05", "revenue": 875000, "expenses": 660000 }
  ],
  "cashOnHand": 245600,
  "pendingPayables": 18420.5,
  "roiForecastPct": null
}</w:t>
      </w:r>
    </w:p>
    <w:p>
      <w:pPr>
        <w:spacing w:after="160" w:line="276"/>
      </w:pPr>
      <w:r>
        <w:t xml:space="preserve">roiForecastPct vaut null tant qu'aucun investissement n'a été renseigné — le frontend affiche « non disponible », jamais un zéro trompeur.</w:t>
      </w:r>
    </w:p>
    <w:p>
      <w:pPr>
        <w:pStyle w:val="Heading2"/>
        <w:spacing w:after="140" w:before="260"/>
      </w:pPr>
      <w:r>
        <w:t xml:space="preserve">11.3 GET /api/finance/expense-categories/?range=6m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{
  "range": "6m",
  "categories": [
    { "category": "FEED", "amountPct": 45 },
    { "category": "LABOR", "amountPct": 20 },
    { "category": "VETERINARY", "amountPct": 12 },
    { "category": "DEPRECIATION", "amountPct": 15 },
    { "category": "MISC", "amountPct": 8 }
  ]
}</w:t>
      </w:r>
    </w:p>
    <w:p>
      <w:pPr>
        <w:pStyle w:val="Heading2"/>
        <w:spacing w:after="140" w:before="260"/>
      </w:pPr>
      <w:r>
        <w:t xml:space="preserve">11.4 PATCH /api/batches/{batchCode}/close/ — réponse</w:t>
      </w:r>
    </w:p>
    <w:p>
      <w:pPr>
        <w:shd w:fill="F1F5F4" w:val="clear"/>
        <w:spacing w:after="160"/>
      </w:pPr>
      <w:r>
        <w:rPr>
          <w:rFonts w:ascii="Courier New" w:cs="Courier New" w:eastAsia="Courier New" w:hAnsi="Courier New"/>
          <w:color w:val="10242C"/>
          <w:sz w:val="17"/>
          <w:szCs w:val="17"/>
        </w:rPr>
        <w:t xml:space="preserve">{
  "batchCode": "BATCH-2026-014",
  "closingDate": "2026-08-20",
  "totalMortalityPct": 3.8,
  "feedConversionRatio": 2.14,
  "revenue": 1450000,
  "totalVariableCost": 1020000,
  "unitCostPrice": 2266.7,
  "totalMargin": 430000
}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Description textuelle de la mise en page</w:t>
      </w:r>
    </w:p>
    <w:p>
      <w:pPr>
        <w:spacing w:after="160" w:line="276"/>
      </w:pPr>
      <w:r>
        <w:t xml:space="preserve">À défaut de maquette graphique, ces descriptions fixent la structure en grille de chaque écran clé, ligne par ligne, de haut en bas.</w:t>
      </w:r>
    </w:p>
    <w:p>
      <w:pPr>
        <w:pStyle w:val="Heading2"/>
        <w:spacing w:after="140" w:before="260"/>
      </w:pPr>
      <w:r>
        <w:t xml:space="preserve">12.1 Tableau de bord — Vue d'ensemble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1 — barre de marque : logo à gauche, statistique « X bâtiments actifs » à droite.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2 — accroche : titre + sous-texte, pleine largeur.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3 — grille de 4 cartes statistiques, largeur égale, espacées de 16px.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4 — en-tête de section « Bâtiments » avec lien « Voir tout » à droite.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5 — liste verticale des bâtiments, une carte pleine largeur par bâtiment.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6 — en-tête de section « Alertes récentes » avec lien « Voir tout » à droite.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7 — liste verticale des alertes, une carte pleine largeur par alerte, bordure gauche colorée selon la sévérité.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8 — en-tête « Actions rapides 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9 — grille de 4 cartes d'action, largeur égale.</w:t>
      </w:r>
    </w:p>
    <w:p>
      <w:pPr>
        <w:pStyle w:val="Heading2"/>
        <w:spacing w:after="140" w:before="260"/>
      </w:pPr>
      <w:r>
        <w:t xml:space="preserve">12.2 Onboarding — Étape Stock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1 — en-tête de progression fixe (3 étapes), étape 2 mise en évidence.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2 — carte d'en-tête : 3 champs sur une même ligne (nom de l'entrepôt, devise, délai d'alerte).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3 — rangée de 4 onglets pilule.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4 — carte tableau : en-têtes de colonnes, puis une ligne par article, bouton « Ajouter un article » sous le tableau.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5 (fixe, bas d'écran) — barre d'actions : « Retour » à gauche, « Suivant » à droite.</w:t>
      </w:r>
    </w:p>
    <w:p>
      <w:pPr>
        <w:pStyle w:val="Heading2"/>
        <w:spacing w:after="140" w:before="260"/>
      </w:pPr>
      <w:r>
        <w:t xml:space="preserve">12.3 Vue Finance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1 — fil d'Ariane à gauche, champ de recherche à droite.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2 — carte de tendance financière (graphique pleine largeur), bascule 6M/1A en haut à droite de la carte.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3 — deux colonnes : graphique en anneau des dépenses (gauche, 40 %) et 3 cartes statistiques empilées (droite, 60 %).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4 — carte « Trésorerie disponible » avec barre de progression.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5 — carte « Montants à régler » teintée avertissement.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Ligne 6 — table paginée des transactions, filtre segmenté au-dessus, pagination en dessous.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13. Validation des champs de formulaire</w:t>
      </w:r>
    </w:p>
    <w:p>
      <w:pPr>
        <w:spacing w:after="160" w:line="276"/>
      </w:pPr>
      <w:r>
        <w:t xml:space="preserve">Validation en ligne (non bloquante à la frappe), avec un message d'erreur affiché sous le champ concerné et une bordure --danger, sans empêcher la saisie dans les champs suivants.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Écran</w:t>
            </w:r>
          </w:p>
        </w:tc>
        <w:tc>
          <w:tcPr>
            <w:tcW w:type="dxa" w:w="2400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Champ</w:t>
            </w:r>
          </w:p>
        </w:tc>
        <w:tc>
          <w:tcPr>
            <w:tcW w:type="dxa" w:w="4226"/>
            <w:shd w:fill="EDF5F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10242C"/>
                <w:sz w:val="18"/>
                <w:szCs w:val="18"/>
              </w:rPr>
              <w:t xml:space="preserve">Règle de validation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 email valide, unique en base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Créer la ferme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 de passe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 caractères minimum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Bandes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 poussins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Entier positif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Bandes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Ligne de protocole — À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Doit être postérieur ou égal à De, dans la même unité ; ignoré si « Jusqu'à la fin du cycle » est coché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Stock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Seuil d'alerte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positif ou nul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Stock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Prix unitaire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positif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Employés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 email valide, unique en base, différent de celui de l'administrateur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Onboarding — Employés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Doit être l'une des valeurs de RoleUtilisateur, obligatoire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quotidien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Mortalité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Entier positif ou nul, inférieur ou égal à l'effectif courant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Vente (Caissier)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Quantité</w:t>
            </w:r>
          </w:p>
        </w:tc>
        <w:tc>
          <w:tcPr>
            <w:tcW w:type="dxa" w:w="422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positif, montant total recalculé automatiquement à la saisie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7377"/>
        <w:sz w:val="16"/>
        <w:szCs w:val="16"/>
      </w:rPr>
      <w:t xml:space="preserve">Page </w:t>
    </w:r>
    <w:r>
      <w:rPr>
        <w:color w:val="5F73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7377"/>
        <w:sz w:val="16"/>
        <w:szCs w:val="16"/>
      </w:rPr>
      <w:t xml:space="preserve"> / </w:t>
    </w:r>
    <w:r>
      <w:rPr>
        <w:color w:val="5F73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7377"/>
        <w:sz w:val="16"/>
        <w:szCs w:val="16"/>
      </w:rPr>
      <w:t xml:space="preserve">WINCHICKEN — Spécification d'implémentation détaillée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024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pace Grotesk" w:cs="Space Grotesk" w:eastAsia="Space Grotesk" w:hAnsi="Space Grotesk"/>
      <w:b/>
      <w:bCs/>
      <w:color w:val="0B8F6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pace Grotesk" w:cs="Space Grotesk" w:eastAsia="Space Grotesk" w:hAnsi="Space Grotesk"/>
      <w:b/>
      <w:bCs/>
      <w:color w:val="1024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pace Grotesk" w:cs="Space Grotesk" w:eastAsia="Space Grotesk" w:hAnsi="Space Grotesk"/>
      <w:b/>
      <w:bCs/>
      <w:color w:val="10242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2026-08-24T20:30:43.967Z</dcterms:created>
  <dcterms:modified xsi:type="dcterms:W3CDTF">2026-08-24T20:30:43.967Z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