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2"/>
          <w:szCs w:val="32"/>
        </w:rPr>
        <w:t xml:space="preserve">DigMore Folding Mini Shovel: Dedicated Manufacturing Facility Design</w:t>
      </w:r>
    </w:p>
    <w:p>
      <w:pPr>
        <w:spacing w:after="200"/>
        <w:jc w:val="center"/>
      </w:pPr>
      <w:r>
        <w:rPr>
          <w:rFonts w:ascii="Arial" w:cs="Arial" w:eastAsia="Arial" w:hAnsi="Arial"/>
          <w:color w:val="595959"/>
          <w:sz w:val="20"/>
          <w:szCs w:val="20"/>
        </w:rPr>
        <w:t xml:space="preserve">Sections 1 to 4: Background, Design Problem, Requirements, and Product and Process Understanding</w:t>
      </w:r>
    </w:p>
    <w:p>
      <w:pPr>
        <w:pStyle w:val="Heading1"/>
      </w:pPr>
      <w:r>
        <w:t xml:space="preserve">1   Project Background</w:t>
      </w:r>
    </w:p>
    <w:p>
      <w:pPr>
        <w:pStyle w:val="Heading2"/>
      </w:pPr>
      <w:r>
        <w:t xml:space="preserve">1.1   Company background</w:t>
      </w:r>
    </w:p>
    <w:p>
      <w:pPr>
        <w:spacing w:after="150" w:line="280"/>
        <w:jc w:val="both"/>
      </w:pPr>
      <w:r>
        <w:rPr>
          <w:rFonts w:ascii="Arial" w:cs="Arial" w:eastAsia="Arial" w:hAnsi="Arial"/>
          <w:sz w:val="22"/>
          <w:szCs w:val="22"/>
        </w:rPr>
        <w:t xml:space="preserve">Facility design is a core Industrial Engineering function that translates a product and its forecast demand into a physical system of departments, workstations, storage and support services. A well-resolved facility design aligns production capacity with demand, establishes efficient material and personnel flow, provides adequate storage for raw materials, work-in-progress and finished goods, separates hazardous operations to protect personnel, and integrates the support services without which a plant cannot operate. These decisions are interdependent and have a long economic life, which is why they are resolved through a structured engineering design process rather than through ad hoc space allocation.</w:t>
      </w:r>
    </w:p>
    <w:p>
      <w:pPr>
        <w:spacing w:after="150" w:line="280"/>
        <w:jc w:val="both"/>
      </w:pPr>
      <w:r>
        <w:rPr>
          <w:rFonts w:ascii="Arial" w:cs="Arial" w:eastAsia="Arial" w:hAnsi="Arial"/>
          <w:sz w:val="22"/>
          <w:szCs w:val="22"/>
        </w:rPr>
        <w:t xml:space="preserve">DigMore Co. is an established shovel manufacturer with a long trading history and a broad customer base that extends to international markets. The company competes on consistent product quality and dependable supply of its existing shovel ranges. Its current plant was configured for these established product lines and their associated volumes, equipment and material flows, and it forms the operational baseline from which the new product expansion is now being planned.</w:t>
      </w:r>
    </w:p>
    <w:p>
      <w:pPr>
        <w:pStyle w:val="Heading2"/>
      </w:pPr>
      <w:r>
        <w:t xml:space="preserve">1.2   Reason for the new dedicated DigMore facility</w:t>
      </w:r>
    </w:p>
    <w:p>
      <w:pPr>
        <w:spacing w:after="150" w:line="280"/>
        <w:jc w:val="both"/>
      </w:pPr>
      <w:r>
        <w:rPr>
          <w:rFonts w:ascii="Arial" w:cs="Arial" w:eastAsia="Arial" w:hAnsi="Arial"/>
          <w:sz w:val="22"/>
          <w:szCs w:val="22"/>
        </w:rPr>
        <w:t xml:space="preserve">DigMore management has decided to extend the product portfolio with a new design: an all-purpose folding mini shovel aimed primarily at the camping and outdoor market. Market demand for this product has risen sharply, and the current projected demand is 400 000 units per year. The existing plant was not designed for a product of this configuration, nor for additional volume of this magnitude, and it does not have the spare capacity, floor area or process route required to absorb the new line without compromising existing production.</w:t>
      </w:r>
    </w:p>
    <w:p>
      <w:pPr>
        <w:spacing w:after="150" w:line="280"/>
        <w:jc w:val="both"/>
      </w:pPr>
      <w:r>
        <w:rPr>
          <w:rFonts w:ascii="Arial" w:cs="Arial" w:eastAsia="Arial" w:hAnsi="Arial"/>
          <w:sz w:val="22"/>
          <w:szCs w:val="22"/>
        </w:rPr>
        <w:t xml:space="preserve">For these reasons management requires a new dedicated facility for the folding mini shovel rather than an extension of current operations. A dedicated facility allows the process route, workstations, inventory policy and material handling to be designed specifically around the mini shovel and its demand, and it isolates the capacity, safety and logistics needs of the new line from the existing business. Management has requested the facility plans in order to make strategic decisions on the size, configuration and investment associated with the new plant, including access to the facility from public roads.</w:t>
      </w:r>
    </w:p>
    <w:p>
      <w:pPr>
        <w:pStyle w:val="Heading2"/>
      </w:pPr>
      <w:r>
        <w:t xml:space="preserve">1.3   Product overview: folding mini shovel</w:t>
      </w:r>
    </w:p>
    <w:p>
      <w:pPr>
        <w:spacing w:after="150" w:line="280"/>
        <w:jc w:val="both"/>
      </w:pPr>
      <w:r>
        <w:rPr>
          <w:rFonts w:ascii="Arial" w:cs="Arial" w:eastAsia="Arial" w:hAnsi="Arial"/>
          <w:sz w:val="22"/>
          <w:szCs w:val="22"/>
        </w:rPr>
        <w:t xml:space="preserve">The DigMore folding mini shovel is a compact, all-purpose shovel intended for camping and general outdoor use. It is assembled from three principal aluminium parts, finished in a black powder coating and packaged by hand. The three parts are described below.</w:t>
      </w:r>
    </w:p>
    <w:p>
      <w:pPr>
        <w:pStyle w:val="ListParagraph"/>
        <w:numPr>
          <w:ilvl w:val="0"/>
          <w:numId w:val="2"/>
        </w:numPr>
        <w:spacing w:after="60" w:line="268"/>
        <w:jc w:val="both"/>
      </w:pPr>
      <w:r>
        <w:rPr>
          <w:rFonts w:ascii="Arial" w:cs="Arial" w:eastAsia="Arial" w:hAnsi="Arial"/>
          <w:sz w:val="22"/>
          <w:szCs w:val="22"/>
        </w:rPr>
        <w:t xml:space="preserve">Back of handle (grip section): a 150 mm length of round aluminium tube, narrowed at one end where an external thread is cut, with a knurled grip formed at the opposite end.</w:t>
      </w:r>
    </w:p>
    <w:p>
      <w:pPr>
        <w:pStyle w:val="ListParagraph"/>
        <w:numPr>
          <w:ilvl w:val="0"/>
          <w:numId w:val="2"/>
        </w:numPr>
        <w:spacing w:after="60" w:line="268"/>
        <w:jc w:val="both"/>
      </w:pPr>
      <w:r>
        <w:rPr>
          <w:rFonts w:ascii="Arial" w:cs="Arial" w:eastAsia="Arial" w:hAnsi="Arial"/>
          <w:sz w:val="22"/>
          <w:szCs w:val="22"/>
        </w:rPr>
        <w:t xml:space="preserve">Middle section of handle: a 150 mm length of round aluminium tube with an internal thread cut at one end to receive the grip section. The opposite end attaches to the shovel head through a hinge secured with a rivet, which gives the shovel its folding action.</w:t>
      </w:r>
    </w:p>
    <w:p>
      <w:pPr>
        <w:pStyle w:val="ListParagraph"/>
        <w:numPr>
          <w:ilvl w:val="0"/>
          <w:numId w:val="2"/>
        </w:numPr>
        <w:spacing w:after="60" w:line="268"/>
        <w:jc w:val="both"/>
      </w:pPr>
      <w:r>
        <w:rPr>
          <w:rFonts w:ascii="Arial" w:cs="Arial" w:eastAsia="Arial" w:hAnsi="Arial"/>
          <w:sz w:val="22"/>
          <w:szCs w:val="22"/>
        </w:rPr>
        <w:t xml:space="preserve">Shovel head and hinge connector: both stamped from aluminium sheet, bent to shape and riveted together. The finished shovel head measures 150 mm long by 120 mm wide.</w:t>
      </w:r>
    </w:p>
    <w:p>
      <w:pPr>
        <w:spacing w:after="150" w:line="280"/>
        <w:jc w:val="both"/>
      </w:pPr>
      <w:r>
        <w:rPr>
          <w:rFonts w:ascii="Arial" w:cs="Arial" w:eastAsia="Arial" w:hAnsi="Arial"/>
          <w:sz w:val="22"/>
          <w:szCs w:val="22"/>
        </w:rPr>
        <w:t xml:space="preserve">The two handle sections join by means of the internal and external threads, while the hinged connection between the middle handle and the shovel head allows the shovel to fold for compact storage and transport. The raw materials are aluminium round tube with an outer diameter of 31.70 mm and a wall thickness of 3.18 mm, and aluminium sheet 2.5 mm thick, with bought-in rivets and packaging.</w:t>
      </w:r>
    </w:p>
    <w:p>
      <w:pPr>
        <w:pStyle w:val="Heading2"/>
      </w:pPr>
      <w:r>
        <w:t xml:space="preserve">1.4   Strategic importance of the facility design</w:t>
      </w:r>
    </w:p>
    <w:p>
      <w:pPr>
        <w:spacing w:after="150" w:line="280"/>
        <w:jc w:val="both"/>
      </w:pPr>
      <w:r>
        <w:rPr>
          <w:rFonts w:ascii="Arial" w:cs="Arial" w:eastAsia="Arial" w:hAnsi="Arial"/>
          <w:sz w:val="22"/>
          <w:szCs w:val="22"/>
        </w:rPr>
        <w:t xml:space="preserve">The new facility is a strategic asset, and its design determines whether DigMore can meet the forecast demand of 400 000 units per year reliably, safely and at acceptable cost. The design must integrate, on a single site, the full set of functions required to convert raw aluminium into dispatched product. These functions include supplier receiving for delivery vehicles; indoor storage of all raw materials and bought-in components; the production processes for the handle and the shovel head; work-in-progress staging; a separate, fully enclosed powder-coating area to contain fumes; manual packaging with a final visual check; finished goods storage; on-site collection of small customer orders; dispatch of large orders; space for the company own delivery truck fleet; offices and management accommodation; employee amenities; parking; security and controlled site access; waste handling; utilities; and an allowance of approximately 10 percent of space for future expansion.</w:t>
      </w:r>
    </w:p>
    <w:p>
      <w:pPr>
        <w:spacing w:after="150" w:line="280"/>
        <w:jc w:val="both"/>
      </w:pPr>
      <w:r>
        <w:rPr>
          <w:rFonts w:ascii="Arial" w:cs="Arial" w:eastAsia="Arial" w:hAnsi="Arial"/>
          <w:sz w:val="22"/>
          <w:szCs w:val="22"/>
        </w:rPr>
        <w:t xml:space="preserve">Because these functions compete for space and interact through material and personnel flow, the quality of the facility design has a direct effect on capacity, operating cost, safety and the ability of the company to grow. A sound design gives management a defensible basis for committing capital and for planning the new plant over its economic life.</w:t>
      </w:r>
    </w:p>
    <w:p>
      <w:pPr>
        <w:pStyle w:val="Heading2"/>
      </w:pPr>
      <w:r>
        <w:t xml:space="preserve">1.5   Purpose of the report</w:t>
      </w:r>
    </w:p>
    <w:p>
      <w:pPr>
        <w:spacing w:after="150" w:line="280"/>
        <w:jc w:val="both"/>
      </w:pPr>
      <w:r>
        <w:rPr>
          <w:rFonts w:ascii="Arial" w:cs="Arial" w:eastAsia="Arial" w:hAnsi="Arial"/>
          <w:sz w:val="22"/>
          <w:szCs w:val="22"/>
        </w:rPr>
        <w:t xml:space="preserve">The purpose of this report is to apply a systematic engineering design approach to the new DigMore folding mini shovel facility and to deliver a justified Master Facility Plan that management can use for strategic decision-making. The report first establishes the design requirements and the demand basis, then develops a clear understanding of the product and its manufacturing processes. From this foundation it determines the production capacity, machinery, labour, storage and space requirements, develops and evaluates at least three alternative layouts against defensible criteria, and recommends a final Master Facility Plan supported by explicit assumptions and calculations. In doing so the report demonstrates a structured engineering design process from problem definition through to a defendable facility layout.</w:t>
      </w:r>
    </w:p>
    <w:p>
      <w:pPr>
        <w:pStyle w:val="Heading1"/>
      </w:pPr>
      <w:r>
        <w:t xml:space="preserve">2   Design Problem, Aim and Objectives</w:t>
      </w:r>
    </w:p>
    <w:p>
      <w:pPr>
        <w:pStyle w:val="Heading2"/>
      </w:pPr>
      <w:r>
        <w:t xml:space="preserve">2.1   Design problem statement</w:t>
      </w:r>
    </w:p>
    <w:p>
      <w:pPr>
        <w:spacing w:after="150" w:line="280"/>
        <w:jc w:val="both"/>
      </w:pPr>
      <w:r>
        <w:rPr>
          <w:rFonts w:ascii="Arial" w:cs="Arial" w:eastAsia="Arial" w:hAnsi="Arial"/>
          <w:sz w:val="22"/>
          <w:szCs w:val="22"/>
        </w:rPr>
        <w:t xml:space="preserve">DigMore requires a new dedicated manufacturing facility for the folding mini shovel that can reliably produce a forecast demand of 400 000 units per year, yet the company has no existing layout, capacity model or space plan for this product. The design problem is therefore to determine the production capacity, machinery, labour and workstations needed to meet this demand within the available operating time, and to arrange them, together with raw material, work-in-progress and finished goods storage, receiving, packaging, dispatch and the supporting offices, amenities and services, into an efficient and safe facility layout. The layout must provide smooth material and personnel flow from receiving through manufacturing to dispatch, isolate hazardous operations such as the enclosed powder-coating area, keep all materials stored indoors, accommodate supplier deliveries, on-site collection of small orders and dispatch of large orders by the company own truck fleet, and reserve approximately 10 percent of space for future expansion, all while remaining defensible against the design requirements derived from the brief.</w:t>
      </w:r>
    </w:p>
    <w:p>
      <w:pPr>
        <w:pStyle w:val="Heading2"/>
      </w:pPr>
      <w:r>
        <w:t xml:space="preserve">2.2   Aim of the facility design</w:t>
      </w:r>
    </w:p>
    <w:p>
      <w:pPr>
        <w:spacing w:after="150" w:line="280"/>
        <w:jc w:val="both"/>
      </w:pPr>
      <w:r>
        <w:rPr>
          <w:rFonts w:ascii="Arial" w:cs="Arial" w:eastAsia="Arial" w:hAnsi="Arial"/>
          <w:sz w:val="22"/>
          <w:szCs w:val="22"/>
        </w:rPr>
        <w:t xml:space="preserve">The aim of this facility design project is to develop, through a systematic engineering design approach, a justified Master Facility Plan for a new dedicated DigMore facility that meets the forecast demand for the folding mini shovel, provides safe and efficient material and personnel flow, satisfies the company storage, receiving and dispatch policies, incorporates the required support facilities, and allows for future expansion, so that management can make informed strategic decisions on the new plant.</w:t>
      </w:r>
    </w:p>
    <w:p>
      <w:pPr>
        <w:pStyle w:val="Heading2"/>
      </w:pPr>
      <w:r>
        <w:t xml:space="preserve">2.3   Design objectives</w:t>
      </w:r>
    </w:p>
    <w:p>
      <w:pPr>
        <w:spacing w:after="150" w:line="280"/>
        <w:jc w:val="both"/>
      </w:pPr>
      <w:r>
        <w:rPr>
          <w:rFonts w:ascii="Arial" w:cs="Arial" w:eastAsia="Arial" w:hAnsi="Arial"/>
          <w:sz w:val="22"/>
          <w:szCs w:val="22"/>
        </w:rPr>
        <w:t xml:space="preserve">The objectives below translate the aim into measurable design tasks. They are grouped by theme and expressed with action verbs so that progress against each can be demonstrated.</w:t>
      </w:r>
    </w:p>
    <w:p>
      <w:pPr>
        <w:pStyle w:val="Heading3"/>
      </w:pPr>
      <w:r>
        <w:t xml:space="preserve">Production and capacity objectives</w:t>
      </w:r>
    </w:p>
    <w:p>
      <w:pPr>
        <w:pStyle w:val="ListParagraph"/>
        <w:numPr>
          <w:ilvl w:val="0"/>
          <w:numId w:val="2"/>
        </w:numPr>
        <w:spacing w:after="60" w:line="268"/>
        <w:jc w:val="both"/>
      </w:pPr>
      <w:r>
        <w:rPr>
          <w:rFonts w:ascii="Arial" w:cs="Arial" w:eastAsia="Arial" w:hAnsi="Arial"/>
          <w:sz w:val="22"/>
          <w:szCs w:val="22"/>
        </w:rPr>
        <w:t xml:space="preserve">Determine the daily and hourly production requirement from the forecast annual demand and the available operating time.</w:t>
      </w:r>
    </w:p>
    <w:p>
      <w:pPr>
        <w:pStyle w:val="ListParagraph"/>
        <w:numPr>
          <w:ilvl w:val="0"/>
          <w:numId w:val="2"/>
        </w:numPr>
        <w:spacing w:after="60" w:line="268"/>
        <w:jc w:val="both"/>
      </w:pPr>
      <w:r>
        <w:rPr>
          <w:rFonts w:ascii="Arial" w:cs="Arial" w:eastAsia="Arial" w:hAnsi="Arial"/>
          <w:sz w:val="22"/>
          <w:szCs w:val="22"/>
        </w:rPr>
        <w:t xml:space="preserve">Calculate the takt time and the machine and labour requirements for each manufacturing process, allowing for the stated scrap rates on tube cutting and sheet stamping.</w:t>
      </w:r>
    </w:p>
    <w:p>
      <w:pPr>
        <w:pStyle w:val="ListParagraph"/>
        <w:numPr>
          <w:ilvl w:val="0"/>
          <w:numId w:val="2"/>
        </w:numPr>
        <w:spacing w:after="60" w:line="268"/>
        <w:jc w:val="both"/>
      </w:pPr>
      <w:r>
        <w:rPr>
          <w:rFonts w:ascii="Arial" w:cs="Arial" w:eastAsia="Arial" w:hAnsi="Arial"/>
          <w:sz w:val="22"/>
          <w:szCs w:val="22"/>
        </w:rPr>
        <w:t xml:space="preserve">Evaluate process capacity against demand and identify bottlenecks where additional machines or labour are required.</w:t>
      </w:r>
    </w:p>
    <w:p>
      <w:pPr>
        <w:pStyle w:val="Heading3"/>
      </w:pPr>
      <w:r>
        <w:t xml:space="preserve">Layout and flow objectives</w:t>
      </w:r>
    </w:p>
    <w:p>
      <w:pPr>
        <w:pStyle w:val="ListParagraph"/>
        <w:numPr>
          <w:ilvl w:val="0"/>
          <w:numId w:val="2"/>
        </w:numPr>
        <w:spacing w:after="60" w:line="268"/>
        <w:jc w:val="both"/>
      </w:pPr>
      <w:r>
        <w:rPr>
          <w:rFonts w:ascii="Arial" w:cs="Arial" w:eastAsia="Arial" w:hAnsi="Arial"/>
          <w:sz w:val="22"/>
          <w:szCs w:val="22"/>
        </w:rPr>
        <w:t xml:space="preserve">Define the departments and workstations required for the facility.</w:t>
      </w:r>
    </w:p>
    <w:p>
      <w:pPr>
        <w:pStyle w:val="ListParagraph"/>
        <w:numPr>
          <w:ilvl w:val="0"/>
          <w:numId w:val="2"/>
        </w:numPr>
        <w:spacing w:after="60" w:line="268"/>
        <w:jc w:val="both"/>
      </w:pPr>
      <w:r>
        <w:rPr>
          <w:rFonts w:ascii="Arial" w:cs="Arial" w:eastAsia="Arial" w:hAnsi="Arial"/>
          <w:sz w:val="22"/>
          <w:szCs w:val="22"/>
        </w:rPr>
        <w:t xml:space="preserve">Design the material and personnel flow from receiving through manufacturing to dispatch so as to minimise travel and back-tracking.</w:t>
      </w:r>
    </w:p>
    <w:p>
      <w:pPr>
        <w:pStyle w:val="ListParagraph"/>
        <w:numPr>
          <w:ilvl w:val="0"/>
          <w:numId w:val="2"/>
        </w:numPr>
        <w:spacing w:after="60" w:line="268"/>
        <w:jc w:val="both"/>
      </w:pPr>
      <w:r>
        <w:rPr>
          <w:rFonts w:ascii="Arial" w:cs="Arial" w:eastAsia="Arial" w:hAnsi="Arial"/>
          <w:sz w:val="22"/>
          <w:szCs w:val="22"/>
        </w:rPr>
        <w:t xml:space="preserve">Allocate workstation and aisle space to support the required flow.</w:t>
      </w:r>
    </w:p>
    <w:p>
      <w:pPr>
        <w:pStyle w:val="Heading3"/>
      </w:pPr>
      <w:r>
        <w:t xml:space="preserve">Storage and inventory objectives</w:t>
      </w:r>
    </w:p>
    <w:p>
      <w:pPr>
        <w:pStyle w:val="ListParagraph"/>
        <w:numPr>
          <w:ilvl w:val="0"/>
          <w:numId w:val="2"/>
        </w:numPr>
        <w:spacing w:after="60" w:line="268"/>
        <w:jc w:val="both"/>
      </w:pPr>
      <w:r>
        <w:rPr>
          <w:rFonts w:ascii="Arial" w:cs="Arial" w:eastAsia="Arial" w:hAnsi="Arial"/>
          <w:sz w:val="22"/>
          <w:szCs w:val="22"/>
        </w:rPr>
        <w:t xml:space="preserve">Calculate the raw material storage capacity for two weeks of stock and the finished goods storage capacity for four weeks of stock.</w:t>
      </w:r>
    </w:p>
    <w:p>
      <w:pPr>
        <w:pStyle w:val="ListParagraph"/>
        <w:numPr>
          <w:ilvl w:val="0"/>
          <w:numId w:val="2"/>
        </w:numPr>
        <w:spacing w:after="60" w:line="268"/>
        <w:jc w:val="both"/>
      </w:pPr>
      <w:r>
        <w:rPr>
          <w:rFonts w:ascii="Arial" w:cs="Arial" w:eastAsia="Arial" w:hAnsi="Arial"/>
          <w:sz w:val="22"/>
          <w:szCs w:val="22"/>
        </w:rPr>
        <w:t xml:space="preserve">Define the work-in-progress staging policy and quantify the associated space.</w:t>
      </w:r>
    </w:p>
    <w:p>
      <w:pPr>
        <w:pStyle w:val="ListParagraph"/>
        <w:numPr>
          <w:ilvl w:val="0"/>
          <w:numId w:val="2"/>
        </w:numPr>
        <w:spacing w:after="60" w:line="268"/>
        <w:jc w:val="both"/>
      </w:pPr>
      <w:r>
        <w:rPr>
          <w:rFonts w:ascii="Arial" w:cs="Arial" w:eastAsia="Arial" w:hAnsi="Arial"/>
          <w:sz w:val="22"/>
          <w:szCs w:val="22"/>
        </w:rPr>
        <w:t xml:space="preserve">Determine the indoor storage space and the material handling equipment required.</w:t>
      </w:r>
    </w:p>
    <w:p>
      <w:pPr>
        <w:pStyle w:val="Heading3"/>
      </w:pPr>
      <w:r>
        <w:t xml:space="preserve">Receiving and dispatch objectives</w:t>
      </w:r>
    </w:p>
    <w:p>
      <w:pPr>
        <w:pStyle w:val="ListParagraph"/>
        <w:numPr>
          <w:ilvl w:val="0"/>
          <w:numId w:val="2"/>
        </w:numPr>
        <w:spacing w:after="60" w:line="268"/>
        <w:jc w:val="both"/>
      </w:pPr>
      <w:r>
        <w:rPr>
          <w:rFonts w:ascii="Arial" w:cs="Arial" w:eastAsia="Arial" w:hAnsi="Arial"/>
          <w:sz w:val="22"/>
          <w:szCs w:val="22"/>
        </w:rPr>
        <w:t xml:space="preserve">Design the receiving area for supplier delivery vehicles.</w:t>
      </w:r>
    </w:p>
    <w:p>
      <w:pPr>
        <w:pStyle w:val="ListParagraph"/>
        <w:numPr>
          <w:ilvl w:val="0"/>
          <w:numId w:val="2"/>
        </w:numPr>
        <w:spacing w:after="60" w:line="268"/>
        <w:jc w:val="both"/>
      </w:pPr>
      <w:r>
        <w:rPr>
          <w:rFonts w:ascii="Arial" w:cs="Arial" w:eastAsia="Arial" w:hAnsi="Arial"/>
          <w:sz w:val="22"/>
          <w:szCs w:val="22"/>
        </w:rPr>
        <w:t xml:space="preserve">Allocate space for on-site collection of small orders and for dispatch of large orders.</w:t>
      </w:r>
    </w:p>
    <w:p>
      <w:pPr>
        <w:pStyle w:val="ListParagraph"/>
        <w:numPr>
          <w:ilvl w:val="0"/>
          <w:numId w:val="2"/>
        </w:numPr>
        <w:spacing w:after="60" w:line="268"/>
        <w:jc w:val="both"/>
      </w:pPr>
      <w:r>
        <w:rPr>
          <w:rFonts w:ascii="Arial" w:cs="Arial" w:eastAsia="Arial" w:hAnsi="Arial"/>
          <w:sz w:val="22"/>
          <w:szCs w:val="22"/>
        </w:rPr>
        <w:t xml:space="preserve">Allocate space for the company own delivery truck fleet and define the small and large order quantities.</w:t>
      </w:r>
    </w:p>
    <w:p>
      <w:pPr>
        <w:pStyle w:val="Heading3"/>
      </w:pPr>
      <w:r>
        <w:t xml:space="preserve">Safety and quality objectives</w:t>
      </w:r>
    </w:p>
    <w:p>
      <w:pPr>
        <w:pStyle w:val="ListParagraph"/>
        <w:numPr>
          <w:ilvl w:val="0"/>
          <w:numId w:val="2"/>
        </w:numPr>
        <w:spacing w:after="60" w:line="268"/>
        <w:jc w:val="both"/>
      </w:pPr>
      <w:r>
        <w:rPr>
          <w:rFonts w:ascii="Arial" w:cs="Arial" w:eastAsia="Arial" w:hAnsi="Arial"/>
          <w:sz w:val="22"/>
          <w:szCs w:val="22"/>
        </w:rPr>
        <w:t xml:space="preserve">Design the powder-coating operation as a separate, fully enclosed area to contain fumes.</w:t>
      </w:r>
    </w:p>
    <w:p>
      <w:pPr>
        <w:pStyle w:val="ListParagraph"/>
        <w:numPr>
          <w:ilvl w:val="0"/>
          <w:numId w:val="2"/>
        </w:numPr>
        <w:spacing w:after="60" w:line="268"/>
        <w:jc w:val="both"/>
      </w:pPr>
      <w:r>
        <w:rPr>
          <w:rFonts w:ascii="Arial" w:cs="Arial" w:eastAsia="Arial" w:hAnsi="Arial"/>
          <w:sz w:val="22"/>
          <w:szCs w:val="22"/>
        </w:rPr>
        <w:t xml:space="preserve">Separate pedestrian and vehicle flow and provide for safe material handling.</w:t>
      </w:r>
    </w:p>
    <w:p>
      <w:pPr>
        <w:pStyle w:val="ListParagraph"/>
        <w:numPr>
          <w:ilvl w:val="0"/>
          <w:numId w:val="2"/>
        </w:numPr>
        <w:spacing w:after="60" w:line="268"/>
        <w:jc w:val="both"/>
      </w:pPr>
      <w:r>
        <w:rPr>
          <w:rFonts w:ascii="Arial" w:cs="Arial" w:eastAsia="Arial" w:hAnsi="Arial"/>
          <w:sz w:val="22"/>
          <w:szCs w:val="22"/>
        </w:rPr>
        <w:t xml:space="preserve">Develop the process flow charts that form part of the quality management system and provide for the final visual inspection at packaging.</w:t>
      </w:r>
    </w:p>
    <w:p>
      <w:pPr>
        <w:pStyle w:val="Heading3"/>
      </w:pPr>
      <w:r>
        <w:t xml:space="preserve">Support facility objectives</w:t>
      </w:r>
    </w:p>
    <w:p>
      <w:pPr>
        <w:pStyle w:val="ListParagraph"/>
        <w:numPr>
          <w:ilvl w:val="0"/>
          <w:numId w:val="2"/>
        </w:numPr>
        <w:spacing w:after="60" w:line="268"/>
        <w:jc w:val="both"/>
      </w:pPr>
      <w:r>
        <w:rPr>
          <w:rFonts w:ascii="Arial" w:cs="Arial" w:eastAsia="Arial" w:hAnsi="Arial"/>
          <w:sz w:val="22"/>
          <w:szCs w:val="22"/>
        </w:rPr>
        <w:t xml:space="preserve">Allocate office space for management, administration and supervisors.</w:t>
      </w:r>
    </w:p>
    <w:p>
      <w:pPr>
        <w:pStyle w:val="ListParagraph"/>
        <w:numPr>
          <w:ilvl w:val="0"/>
          <w:numId w:val="2"/>
        </w:numPr>
        <w:spacing w:after="60" w:line="268"/>
        <w:jc w:val="both"/>
      </w:pPr>
      <w:r>
        <w:rPr>
          <w:rFonts w:ascii="Arial" w:cs="Arial" w:eastAsia="Arial" w:hAnsi="Arial"/>
          <w:sz w:val="22"/>
          <w:szCs w:val="22"/>
        </w:rPr>
        <w:t xml:space="preserve">Provide restrooms, lockers, a cafeteria, parking, security and utilities for all personnel.</w:t>
      </w:r>
    </w:p>
    <w:p>
      <w:pPr>
        <w:pStyle w:val="ListParagraph"/>
        <w:numPr>
          <w:ilvl w:val="0"/>
          <w:numId w:val="2"/>
        </w:numPr>
        <w:spacing w:after="60" w:line="268"/>
        <w:jc w:val="both"/>
      </w:pPr>
      <w:r>
        <w:rPr>
          <w:rFonts w:ascii="Arial" w:cs="Arial" w:eastAsia="Arial" w:hAnsi="Arial"/>
          <w:sz w:val="22"/>
          <w:szCs w:val="22"/>
        </w:rPr>
        <w:t xml:space="preserve">Determine the support facility space from the personnel numbers and site requirements.</w:t>
      </w:r>
    </w:p>
    <w:p>
      <w:pPr>
        <w:pStyle w:val="Heading3"/>
      </w:pPr>
      <w:r>
        <w:t xml:space="preserve">Future expansion objective</w:t>
      </w:r>
    </w:p>
    <w:p>
      <w:pPr>
        <w:pStyle w:val="ListParagraph"/>
        <w:numPr>
          <w:ilvl w:val="0"/>
          <w:numId w:val="2"/>
        </w:numPr>
        <w:spacing w:after="60" w:line="268"/>
        <w:jc w:val="both"/>
      </w:pPr>
      <w:r>
        <w:rPr>
          <w:rFonts w:ascii="Arial" w:cs="Arial" w:eastAsia="Arial" w:hAnsi="Arial"/>
          <w:sz w:val="22"/>
          <w:szCs w:val="22"/>
        </w:rPr>
        <w:t xml:space="preserve">Reserve approximately 10 percent of space for future expansion to meet projected growth over the next five years.</w:t>
      </w:r>
    </w:p>
    <w:p>
      <w:pPr>
        <w:pStyle w:val="Heading3"/>
      </w:pPr>
      <w:r>
        <w:t xml:space="preserve">Master Facility Plan objective</w:t>
      </w:r>
    </w:p>
    <w:p>
      <w:pPr>
        <w:pStyle w:val="ListParagraph"/>
        <w:numPr>
          <w:ilvl w:val="0"/>
          <w:numId w:val="2"/>
        </w:numPr>
        <w:spacing w:after="60" w:line="268"/>
        <w:jc w:val="both"/>
      </w:pPr>
      <w:r>
        <w:rPr>
          <w:rFonts w:ascii="Arial" w:cs="Arial" w:eastAsia="Arial" w:hAnsi="Arial"/>
          <w:sz w:val="22"/>
          <w:szCs w:val="22"/>
        </w:rPr>
        <w:t xml:space="preserve">Develop and evaluate at least three alternative layouts against defensible criteria, justify the chosen design, and develop the final Master Facility Plan.</w:t>
      </w:r>
    </w:p>
    <w:p>
      <w:pPr>
        <w:pStyle w:val="Heading2"/>
      </w:pPr>
      <w:r>
        <w:t xml:space="preserve">2.4   Scope of the design</w:t>
      </w:r>
    </w:p>
    <w:p>
      <w:pPr>
        <w:spacing w:after="150" w:line="280"/>
        <w:jc w:val="both"/>
      </w:pPr>
      <w:r>
        <w:rPr>
          <w:rFonts w:ascii="Arial" w:cs="Arial" w:eastAsia="Arial" w:hAnsi="Arial"/>
          <w:sz w:val="22"/>
          <w:szCs w:val="22"/>
        </w:rPr>
        <w:t xml:space="preserve">The scope covers the conceptual design of the new dedicated DigMore facility for the folding mini shovel only. It includes analysis of the forecast demand and its translation into production requirements; understanding of the product structure, bill of materials and manufacturing processes; capacity, machine and labour analysis for each process; raw material, work-in-progress and finished goods storage design; receiving, on-site small-order collection and large-order dispatch; provision for the company truck fleet; support facilities including offices, amenities, parking, security, waste handling and utilities; the development and evaluation of at least three alternative block layouts; and the selection and development of a final Master Facility Plan with workstation, storage, material handling and personnel space requirements.</w:t>
      </w:r>
    </w:p>
    <w:p>
      <w:pPr>
        <w:pStyle w:val="Heading2"/>
      </w:pPr>
      <w:r>
        <w:t xml:space="preserve">2.5   Exclusions and limitations</w:t>
      </w:r>
    </w:p>
    <w:p>
      <w:pPr>
        <w:spacing w:after="150" w:line="280"/>
        <w:jc w:val="both"/>
      </w:pPr>
      <w:r>
        <w:rPr>
          <w:rFonts w:ascii="Arial" w:cs="Arial" w:eastAsia="Arial" w:hAnsi="Arial"/>
          <w:sz w:val="22"/>
          <w:szCs w:val="22"/>
        </w:rPr>
        <w:t xml:space="preserve">The following are outside the scope of this design, except where an assumption is required for space planning:</w:t>
      </w:r>
    </w:p>
    <w:p>
      <w:pPr>
        <w:pStyle w:val="ListParagraph"/>
        <w:numPr>
          <w:ilvl w:val="0"/>
          <w:numId w:val="2"/>
        </w:numPr>
        <w:spacing w:after="60" w:line="268"/>
        <w:jc w:val="both"/>
      </w:pPr>
      <w:r>
        <w:rPr>
          <w:rFonts w:ascii="Arial" w:cs="Arial" w:eastAsia="Arial" w:hAnsi="Arial"/>
          <w:sz w:val="22"/>
          <w:szCs w:val="22"/>
        </w:rPr>
        <w:t xml:space="preserve">Detailed structural and architectural building design.</w:t>
      </w:r>
    </w:p>
    <w:p>
      <w:pPr>
        <w:pStyle w:val="ListParagraph"/>
        <w:numPr>
          <w:ilvl w:val="0"/>
          <w:numId w:val="2"/>
        </w:numPr>
        <w:spacing w:after="60" w:line="268"/>
        <w:jc w:val="both"/>
      </w:pPr>
      <w:r>
        <w:rPr>
          <w:rFonts w:ascii="Arial" w:cs="Arial" w:eastAsia="Arial" w:hAnsi="Arial"/>
          <w:sz w:val="22"/>
          <w:szCs w:val="22"/>
        </w:rPr>
        <w:t xml:space="preserve">Civil engineering design of the site, foundations and access roads.</w:t>
      </w:r>
    </w:p>
    <w:p>
      <w:pPr>
        <w:pStyle w:val="ListParagraph"/>
        <w:numPr>
          <w:ilvl w:val="0"/>
          <w:numId w:val="2"/>
        </w:numPr>
        <w:spacing w:after="60" w:line="268"/>
        <w:jc w:val="both"/>
      </w:pPr>
      <w:r>
        <w:rPr>
          <w:rFonts w:ascii="Arial" w:cs="Arial" w:eastAsia="Arial" w:hAnsi="Arial"/>
          <w:sz w:val="22"/>
          <w:szCs w:val="22"/>
        </w:rPr>
        <w:t xml:space="preserve">Detailed heating, ventilation and air-conditioning design, beyond the spatial provision for the enclosed powder-coating area and its extraction.</w:t>
      </w:r>
    </w:p>
    <w:p>
      <w:pPr>
        <w:pStyle w:val="ListParagraph"/>
        <w:numPr>
          <w:ilvl w:val="0"/>
          <w:numId w:val="2"/>
        </w:numPr>
        <w:spacing w:after="60" w:line="268"/>
        <w:jc w:val="both"/>
      </w:pPr>
      <w:r>
        <w:rPr>
          <w:rFonts w:ascii="Arial" w:cs="Arial" w:eastAsia="Arial" w:hAnsi="Arial"/>
          <w:sz w:val="22"/>
          <w:szCs w:val="22"/>
        </w:rPr>
        <w:t xml:space="preserve">Detailed electrical reticulation and lighting design.</w:t>
      </w:r>
    </w:p>
    <w:p>
      <w:pPr>
        <w:pStyle w:val="ListParagraph"/>
        <w:numPr>
          <w:ilvl w:val="0"/>
          <w:numId w:val="2"/>
        </w:numPr>
        <w:spacing w:after="60" w:line="268"/>
        <w:jc w:val="both"/>
      </w:pPr>
      <w:r>
        <w:rPr>
          <w:rFonts w:ascii="Arial" w:cs="Arial" w:eastAsia="Arial" w:hAnsi="Arial"/>
          <w:sz w:val="22"/>
          <w:szCs w:val="22"/>
        </w:rPr>
        <w:t xml:space="preserve">Full financial feasibility, costing and return-on-investment analysis.</w:t>
      </w:r>
    </w:p>
    <w:p>
      <w:pPr>
        <w:pStyle w:val="ListParagraph"/>
        <w:numPr>
          <w:ilvl w:val="0"/>
          <w:numId w:val="2"/>
        </w:numPr>
        <w:spacing w:after="60" w:line="268"/>
        <w:jc w:val="both"/>
      </w:pPr>
      <w:r>
        <w:rPr>
          <w:rFonts w:ascii="Arial" w:cs="Arial" w:eastAsia="Arial" w:hAnsi="Arial"/>
          <w:sz w:val="22"/>
          <w:szCs w:val="22"/>
        </w:rPr>
        <w:t xml:space="preserve">Final supplier selection and procurement decisions.</w:t>
      </w:r>
    </w:p>
    <w:p>
      <w:pPr>
        <w:spacing w:after="150" w:line="280"/>
        <w:jc w:val="both"/>
      </w:pPr>
      <w:r>
        <w:rPr>
          <w:rFonts w:ascii="Arial" w:cs="Arial" w:eastAsia="Arial" w:hAnsi="Arial"/>
          <w:sz w:val="22"/>
          <w:szCs w:val="22"/>
        </w:rPr>
        <w:t xml:space="preserve">The design is limited by the inputs available in the brief. It is based on the forecast demand and the production times provided. Several inputs, including the equipment-dependent processing times for heat treatment, sandblasting and powder coating, machine throughput, and supplier specifications, are not fully specified and are treated as designer assumptions or as values to be verified. The design is a conceptual front-end plan and not a construction-ready specification.</w:t>
      </w:r>
    </w:p>
    <w:p>
      <w:pPr>
        <w:pStyle w:val="Heading1"/>
      </w:pPr>
      <w:r>
        <w:t xml:space="preserve">3   Design Requirements, Assumptions and Constraints</w:t>
      </w:r>
    </w:p>
    <w:p>
      <w:pPr>
        <w:pStyle w:val="Heading2"/>
      </w:pPr>
      <w:r>
        <w:t xml:space="preserve">3.1   Client requirements from the brief</w:t>
      </w:r>
    </w:p>
    <w:p>
      <w:pPr>
        <w:spacing w:after="150" w:line="280"/>
        <w:jc w:val="both"/>
      </w:pPr>
      <w:r>
        <w:rPr>
          <w:rFonts w:ascii="Arial" w:cs="Arial" w:eastAsia="Arial" w:hAnsi="Arial"/>
          <w:sz w:val="22"/>
          <w:szCs w:val="22"/>
        </w:rPr>
        <w:t xml:space="preserve">Table 3.1 traces each client requirement from the brief to its design implication and to where it is addressed in the design. Forward references to the capacity analysis, storage design, layout alternatives and Master Facility Plan refer to later sections of the full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650"/>
        <w:gridCol w:w="3100"/>
        <w:gridCol w:w="1826"/>
      </w:tblGrid>
      <w:tr>
        <w:trPr>
          <w:tblHeader/>
        </w:trPr>
        <w:tc>
          <w:tcPr>
            <w:tcW w:type="dxa" w:w="14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Requirement category</w:t>
            </w:r>
          </w:p>
        </w:tc>
        <w:tc>
          <w:tcPr>
            <w:tcW w:type="dxa" w:w="26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Client requirement</w:t>
            </w:r>
          </w:p>
        </w:tc>
        <w:tc>
          <w:tcPr>
            <w:tcW w:type="dxa" w:w="31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Design implication</w:t>
            </w:r>
          </w:p>
        </w:tc>
        <w:tc>
          <w:tcPr>
            <w:tcW w:type="dxa" w:w="1826"/>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Where addressed</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Production demand</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400 000 folding mini shovels per year</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Sets daily output of 1 819 units and drives all capacity, machine and labour calculations</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3.2; capacity analysis</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Operating time</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One 9-hour shift, 5 days per week; 30-min lunch and two 15-min teas; 220 workdays per year</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Gives 480 effective minutes per day as the basis for takt time and capacity</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3.2; capacity analysis</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Scrap</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5 percent scrap on tube cutting and 5 percent on sheet stamping; no other scrap</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Cutting and stamping volumes inflated to yield net good parts; affects machine count and material quantities</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3.2; 4.7; capacity analysis</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Raw material storage</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Two weeks of raw material stock, stored indoors</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Determines raw material store capacity and 3D space</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3.3; storage design</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Finished goods storage</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Four weeks of finished goods stock, stored indoors</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Determines finished goods store capacity and 3D space</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3.3; storage design</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WIP staging</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Work-in-progress levels defined by the designer</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Requires a WIP policy and staging space at decoupling points</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3.3; 3.8; flow and layout</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Powder coating</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Separate, fully enclosed area because fumes are a safety consideration</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Dedicated enclosed, extracted department; affects flow and layout</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3.5; 4.6; layout</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Receiving</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Accept supplier delivery vehicles to offload raw materials</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Receiving dock with offloading and inspection space sized to delivery vehicles</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3.4; receiving design</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Small order collection</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On-site collection of small orders by customers</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Collection bay and customer access kept separate from production</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3.4; 3.8; dispatch design</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Large order dispatch</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Dispatch of large orders from the facility</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Dispatch dock and order staging sized to large orders</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3.4; dispatch design</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Truck fleet</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Company own delivery trucks for large orders</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On-site parking and marshalling space for the truck fleet</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3.4; 3.8; site and parking</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QMS process flow charts</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Process flow charts form part of the quality management system</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Flow charts developed and embedded; final visual check at packaging</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3.6; 4.6</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Offices</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Offices for named managers, administrative team and supervisors</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Office space allocated by role and headcount</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3.7; 3.8; support facilities</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Amenities</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Restrooms, lockers and cafeteria for all personnel</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Amenity space sized to total headcount</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3.7; support facilities</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Parking</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Parking for management, admin, security and operators, with reasoning and calculation</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Parking bays from headcount plus visitor and collection parking</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3.7; 3.8; site and parking</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Security</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Overall security, controlled entrance and exit, managed goods-vehicle flow</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Security control point and segregated vehicle routes</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3.5; 3.7; site design</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Waste handling</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Waste handling and management</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Segregated waste collection and storage area</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3.5; 3.8; support facilities</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Utilities</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Water, electricity, plumbing and related utilities</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Utility provision and service space allowance</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3.7; support facilities</w:t>
            </w:r>
          </w:p>
        </w:tc>
      </w:tr>
      <w:tr>
        <w:tc>
          <w:tcPr>
            <w:tcW w:type="dxa" w:w="14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Future expansion</w:t>
            </w:r>
          </w:p>
        </w:tc>
        <w:tc>
          <w:tcPr>
            <w:tcW w:type="dxa" w:w="26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Approximately 10 percent space for future expansion within 5 years</w:t>
            </w:r>
          </w:p>
        </w:tc>
        <w:tc>
          <w:tcPr>
            <w:tcW w:type="dxa" w:w="3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10 percent spare area reserved in the layout</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2.3; 3.9; layout and MFP</w:t>
            </w:r>
          </w:p>
        </w:tc>
      </w:tr>
      <w:tr>
        <w:tc>
          <w:tcPr>
            <w:tcW w:type="dxa" w:w="14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Master Facility Plan</w:t>
            </w:r>
          </w:p>
        </w:tc>
        <w:tc>
          <w:tcPr>
            <w:tcW w:type="dxa" w:w="26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At least three alternatives, justification and a final MFP</w:t>
            </w:r>
          </w:p>
        </w:tc>
        <w:tc>
          <w:tcPr>
            <w:tcW w:type="dxa" w:w="3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Structured alternative generation, evaluation and final MFP</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2.3; alternatives and MFP</w:t>
            </w:r>
          </w:p>
        </w:tc>
      </w:tr>
    </w:tbl>
    <w:p>
      <w:pPr>
        <w:spacing w:after="120" w:before="40"/>
      </w:pPr>
      <w:r>
        <w:rPr>
          <w:rFonts w:ascii="Arial" w:cs="Arial" w:eastAsia="Arial" w:hAnsi="Arial"/>
          <w:i/>
          <w:iCs/>
          <w:color w:val="595959"/>
          <w:sz w:val="18"/>
          <w:szCs w:val="18"/>
        </w:rPr>
        <w:t xml:space="preserve">Table 3.1: Client requirements traceability matrix.</w:t>
      </w:r>
    </w:p>
    <w:p>
      <w:pPr>
        <w:pStyle w:val="Heading2"/>
      </w:pPr>
      <w:r>
        <w:t xml:space="preserve">3.2   Production requirements</w:t>
      </w:r>
    </w:p>
    <w:p>
      <w:pPr>
        <w:spacing w:after="150" w:line="280"/>
        <w:jc w:val="both"/>
      </w:pPr>
      <w:r>
        <w:rPr>
          <w:rFonts w:ascii="Arial" w:cs="Arial" w:eastAsia="Arial" w:hAnsi="Arial"/>
          <w:sz w:val="22"/>
          <w:szCs w:val="22"/>
        </w:rPr>
        <w:t xml:space="preserve">The facility is designed to meet a forecast demand of 400 000 folding mini shovels per year. With 220 workdays assumed per year, the average daily production requirement is 400 000 divided by 220, which equals 1 818.18 shovels per day. This is rounded up to 1 819 shovels per day for design purposes.</w:t>
      </w:r>
    </w:p>
    <w:p>
      <w:pPr>
        <w:spacing w:after="150" w:line="280"/>
        <w:jc w:val="both"/>
      </w:pPr>
      <w:r>
        <w:rPr>
          <w:rFonts w:ascii="Arial" w:cs="Arial" w:eastAsia="Arial" w:hAnsi="Arial"/>
          <w:sz w:val="22"/>
          <w:szCs w:val="22"/>
        </w:rPr>
        <w:t xml:space="preserve">The plant operates one 9-hour shift per day, equal to 540 minutes. Operators receive one 30-minute lunch break and two 15-minute tea breaks, which total 60 minutes, so the effective production time is 540 minus 60, which equals 480 minutes per day.</w:t>
      </w:r>
    </w:p>
    <w:p>
      <w:pPr>
        <w:spacing w:after="150" w:line="280"/>
        <w:jc w:val="both"/>
      </w:pPr>
      <w:r>
        <w:rPr>
          <w:rFonts w:ascii="Arial" w:cs="Arial" w:eastAsia="Arial" w:hAnsi="Arial"/>
          <w:sz w:val="22"/>
          <w:szCs w:val="22"/>
        </w:rPr>
        <w:t xml:space="preserve">The takt time is the pace at which one good unit must be completed to meet demand, and it equals the effective production time divided by the daily requirement. Takt time equals 480 minutes divided by 1 819 shovels, which equals 0.264 minutes per shovel, or approximately 15.84 seconds per shovel. Every process and workstation must therefore be designed to deliver, on average, one good shovel every 15.84 seconds.</w:t>
      </w:r>
    </w:p>
    <w:p>
      <w:pPr>
        <w:spacing w:after="150" w:line="280"/>
        <w:jc w:val="both"/>
      </w:pPr>
      <w:r>
        <w:rPr>
          <w:rFonts w:ascii="Arial" w:cs="Arial" w:eastAsia="Arial" w:hAnsi="Arial"/>
          <w:sz w:val="22"/>
          <w:szCs w:val="22"/>
        </w:rPr>
        <w:t xml:space="preserve">The 5 percent scrap rates on tube cutting and sheet stamping mean that these two processes must produce more than the net requirement. To yield 1 819 good units, the gross requirement at each of these processes is approximately 1 819 divided by 0.95, which is about 1 915 units per day. The detailed machine and labour requirements for every process, including the effect of scrap and the equipment-dependent cycle times, are calculated in the capacity analysis.</w:t>
      </w:r>
    </w:p>
    <w:p>
      <w:pPr>
        <w:pStyle w:val="Heading2"/>
      </w:pPr>
      <w:r>
        <w:t xml:space="preserve">3.3   Inventory requirements</w:t>
      </w:r>
    </w:p>
    <w:p>
      <w:pPr>
        <w:spacing w:after="150" w:line="280"/>
        <w:jc w:val="both"/>
      </w:pPr>
      <w:r>
        <w:rPr>
          <w:rFonts w:ascii="Arial" w:cs="Arial" w:eastAsia="Arial" w:hAnsi="Arial"/>
          <w:sz w:val="22"/>
          <w:szCs w:val="22"/>
        </w:rPr>
        <w:t xml:space="preserve">The company inventory policy requires two weeks of raw material stock because of long supplier lead times. Two weeks correspond to ten production days, so the raw material store must hold approximately ten times 1 819, which is about 18 190 shovels worth of aluminium tube and sheet, together with the associated bought-in components such as rivets and packaging. All raw materials are stored indoors. The mass, 3D volume, racking and handling equipment for this stock are quantified in the storage design.</w:t>
      </w:r>
    </w:p>
    <w:p>
      <w:pPr>
        <w:spacing w:after="150" w:line="280"/>
        <w:jc w:val="both"/>
      </w:pPr>
      <w:r>
        <w:rPr>
          <w:rFonts w:ascii="Arial" w:cs="Arial" w:eastAsia="Arial" w:hAnsi="Arial"/>
          <w:sz w:val="22"/>
          <w:szCs w:val="22"/>
        </w:rPr>
        <w:t xml:space="preserve">Finished goods storage must hold four weeks of stock because the company serves an international market and ships larger orders at a time. Four weeks correspond to twenty production days, so the finished goods store must hold approximately twenty times 1 819, which is about 36 380 packaged shovels. The store is sized for this quantity, including aisle and handling space, in the storage design.</w:t>
      </w:r>
    </w:p>
    <w:p>
      <w:pPr>
        <w:spacing w:after="150" w:line="280"/>
        <w:jc w:val="both"/>
      </w:pPr>
      <w:r>
        <w:rPr>
          <w:rFonts w:ascii="Arial" w:cs="Arial" w:eastAsia="Arial" w:hAnsi="Arial"/>
          <w:sz w:val="22"/>
          <w:szCs w:val="22"/>
        </w:rPr>
        <w:t xml:space="preserve">Work-in-progress inventory is not fixed by the brief and is defined by the designer. Buffers are provided at the points where the process must be decoupled, in particular ahead of the batch operations of heat treatment, sandblasting and powder coating, and ahead of final assembly and packaging. The work-in-progress policy and its staging space are stated as a designer assumption in 3.8 and refined during line balancing and layout.</w:t>
      </w:r>
    </w:p>
    <w:p>
      <w:pPr>
        <w:pStyle w:val="Heading2"/>
      </w:pPr>
      <w:r>
        <w:t xml:space="preserve">3.4   Receiving, collection and dispatch requirements</w:t>
      </w:r>
    </w:p>
    <w:p>
      <w:pPr>
        <w:spacing w:after="150" w:line="280"/>
        <w:jc w:val="both"/>
      </w:pPr>
      <w:r>
        <w:rPr>
          <w:rFonts w:ascii="Arial" w:cs="Arial" w:eastAsia="Arial" w:hAnsi="Arial"/>
          <w:sz w:val="22"/>
          <w:szCs w:val="22"/>
        </w:rPr>
        <w:t xml:space="preserve">The facility must receive supplier delivery vehicles bringing aluminium tube, aluminium sheet and bought-in components, which are offloaded and moved to the indoor raw material store. A receiving dock with offloading and inspection space is therefore required.</w:t>
      </w:r>
    </w:p>
    <w:p>
      <w:pPr>
        <w:spacing w:after="150" w:line="280"/>
        <w:jc w:val="both"/>
      </w:pPr>
      <w:r>
        <w:rPr>
          <w:rFonts w:ascii="Arial" w:cs="Arial" w:eastAsia="Arial" w:hAnsi="Arial"/>
          <w:sz w:val="22"/>
          <w:szCs w:val="22"/>
        </w:rPr>
        <w:t xml:space="preserve">Two distinct outbound activities must be accommodated. Small orders are collected on site by customers in their own vehicles, which requires a collection bay with customer access kept separate from production and from large-vehicle movement. Large orders are dispatched from the facility on the DigMore fleet of delivery trucks to distribution centres, which requires a dispatch dock with order staging and on-site parking or marshalling space for the truck fleet.</w:t>
      </w:r>
    </w:p>
    <w:p>
      <w:pPr>
        <w:spacing w:after="150" w:line="280"/>
        <w:jc w:val="both"/>
      </w:pPr>
      <w:r>
        <w:rPr>
          <w:rFonts w:ascii="Arial" w:cs="Arial" w:eastAsia="Arial" w:hAnsi="Arial"/>
          <w:sz w:val="22"/>
          <w:szCs w:val="22"/>
        </w:rPr>
        <w:t xml:space="preserve">All deliveries and collections occur during working hours on weekdays, and the delivery and dispatch schedules can be negotiated. The definitions of small and large order quantities are not specified in the brief and are set by the designer in 3.8. They are defined in terms of the packaging unit load, so that a small order can be handled as a customer-collected load and a large order as a palletised truck load.</w:t>
      </w:r>
    </w:p>
    <w:p>
      <w:pPr>
        <w:pStyle w:val="Heading2"/>
      </w:pPr>
      <w:r>
        <w:t xml:space="preserve">3.5   Safety and environmental requirements</w:t>
      </w:r>
    </w:p>
    <w:p>
      <w:pPr>
        <w:spacing w:after="150" w:line="280"/>
        <w:jc w:val="both"/>
      </w:pPr>
      <w:r>
        <w:rPr>
          <w:rFonts w:ascii="Arial" w:cs="Arial" w:eastAsia="Arial" w:hAnsi="Arial"/>
          <w:sz w:val="22"/>
          <w:szCs w:val="22"/>
        </w:rPr>
        <w:t xml:space="preserve">Powder coating must be carried out in a separate, fully enclosed area within the building because the fumes are a safety consideration. This area requires mechanical extraction and ventilation and must be separated from the other operations.</w:t>
      </w:r>
    </w:p>
    <w:p>
      <w:pPr>
        <w:spacing w:after="150" w:line="280"/>
        <w:jc w:val="both"/>
      </w:pPr>
      <w:r>
        <w:rPr>
          <w:rFonts w:ascii="Arial" w:cs="Arial" w:eastAsia="Arial" w:hAnsi="Arial"/>
          <w:sz w:val="22"/>
          <w:szCs w:val="22"/>
        </w:rPr>
        <w:t xml:space="preserve">Other processes also carry safety and environmental requirements that must be accommodated in the layout. Heat treatment involves high temperatures and requires a controlled, separated area with appropriate ventilation. Sandblasting generates dust and requires an enclosed cabinet or booth with extraction. These equipment-dependent operations are sized once the equipment is selected, as noted in the assumptions. The site must separate pedestrian and vehicle movement, particularly around receiving, dispatch and the truck fleet, in order to protect personnel. Material handling must be designed for the safe movement of aluminium tube, sheet, work-in-progress and finished goods, including appropriate equipment and aisle widths. Waste, including metal off-cuts and powder-coating and sandblasting residue, must be collected, segregated and stored for safe disposal or recycling. Powder coating and sandblasting are assumed to have a negligible effect on the mass of the final product, as stated in the brief.</w:t>
      </w:r>
    </w:p>
    <w:p>
      <w:pPr>
        <w:pStyle w:val="Heading2"/>
      </w:pPr>
      <w:r>
        <w:t xml:space="preserve">3.6   Quality management requirements</w:t>
      </w:r>
    </w:p>
    <w:p>
      <w:pPr>
        <w:spacing w:after="150" w:line="280"/>
        <w:jc w:val="both"/>
      </w:pPr>
      <w:r>
        <w:rPr>
          <w:rFonts w:ascii="Arial" w:cs="Arial" w:eastAsia="Arial" w:hAnsi="Arial"/>
          <w:sz w:val="22"/>
          <w:szCs w:val="22"/>
        </w:rPr>
        <w:t xml:space="preserve">Process flow charts form part of the quality management system and are developed in 4.6 to give a clear understanding of the manufacturing processes, workstations, departments and bottlenecks. Quality control is also built into the process flow: all packaging is performed by hand specifically so that a final visual inspection of each shovel is carried out before it is bagged, boxed and moved to finished goods. Provision for this manual packaging and inspection workstation is made in the process and layout design.</w:t>
      </w:r>
    </w:p>
    <w:p>
      <w:pPr>
        <w:pStyle w:val="Heading2"/>
      </w:pPr>
      <w:r>
        <w:t xml:space="preserve">3.7   Support facility requirements</w:t>
      </w:r>
    </w:p>
    <w:p>
      <w:pPr>
        <w:spacing w:after="150" w:line="280"/>
        <w:jc w:val="both"/>
      </w:pPr>
      <w:r>
        <w:rPr>
          <w:rFonts w:ascii="Arial" w:cs="Arial" w:eastAsia="Arial" w:hAnsi="Arial"/>
          <w:sz w:val="22"/>
          <w:szCs w:val="22"/>
        </w:rPr>
        <w:t xml:space="preserve">Office space must be provided for the Senior Plant Manager, the Operations Manager and the Inventory Manager, for the administrative team comprising Reception, Purchasing, Sales, Finance, Marketing and Human Resources, and for the plant supervisors, whose number depends on the facility design and is defined by the design team. Restrooms, lockers and a cafeteria must be available to all personnel, including management, administrative staff, security personnel and operators.</w:t>
      </w:r>
    </w:p>
    <w:p>
      <w:pPr>
        <w:spacing w:after="150" w:line="280"/>
        <w:jc w:val="both"/>
      </w:pPr>
      <w:r>
        <w:rPr>
          <w:rFonts w:ascii="Arial" w:cs="Arial" w:eastAsia="Arial" w:hAnsi="Arial"/>
          <w:sz w:val="22"/>
          <w:szCs w:val="22"/>
        </w:rPr>
        <w:t xml:space="preserve">Parking must be provided for all employees on site, and the brief requires the reasoning and calculation behind the provision, so parking is sized from the total headcount plus visitor and small-order collection parking. The site must provide overall security with a controlled entrance and exit and managed goods-vehicle flow. Utilities including water, electricity and plumbing must be provided, and waste handling and management must be accommodated. The space for these support facilities is determined from the personnel numbers and site requirements in the support facilities design.</w:t>
      </w:r>
    </w:p>
    <w:p>
      <w:pPr>
        <w:pStyle w:val="Heading2"/>
      </w:pPr>
      <w:r>
        <w:t xml:space="preserve">3.8   Assumptions table</w:t>
      </w:r>
    </w:p>
    <w:p>
      <w:pPr>
        <w:spacing w:after="150" w:line="280"/>
        <w:jc w:val="both"/>
      </w:pPr>
      <w:r>
        <w:rPr>
          <w:rFonts w:ascii="Arial" w:cs="Arial" w:eastAsia="Arial" w:hAnsi="Arial"/>
          <w:sz w:val="22"/>
          <w:szCs w:val="22"/>
        </w:rPr>
        <w:t xml:space="preserve">Table 3.8 lists the designer assumptions made where the brief leaves a value open. Each assumption is stated with its basis, its reason, its impact on the design and the verification still required. These assumptions are revisited and confirmed during the detailed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1900"/>
        <w:gridCol w:w="1850"/>
        <w:gridCol w:w="1726"/>
      </w:tblGrid>
      <w:tr>
        <w:trPr>
          <w:tblHeader/>
        </w:trPr>
        <w:tc>
          <w:tcPr>
            <w:tcW w:type="dxa" w:w="15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Assumption</w:t>
            </w:r>
          </w:p>
        </w:tc>
        <w:tc>
          <w:tcPr>
            <w:tcW w:type="dxa" w:w="20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Value or basis</w:t>
            </w:r>
          </w:p>
        </w:tc>
        <w:tc>
          <w:tcPr>
            <w:tcW w:type="dxa" w:w="19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Reason for assumption</w:t>
            </w:r>
          </w:p>
        </w:tc>
        <w:tc>
          <w:tcPr>
            <w:tcW w:type="dxa" w:w="18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Impact on design</w:t>
            </w:r>
          </w:p>
        </w:tc>
        <w:tc>
          <w:tcPr>
            <w:tcW w:type="dxa" w:w="1726"/>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Verification required</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Small order definition</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Up to one pallet, collected on site by the customer in their own vehicle; exact unit count set from the packaging unit load</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requires the designer to define small and large orders; small orders are collected on site</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Sizes the small-order collection bay and customer access and parking</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against customer order data</w:t>
            </w:r>
          </w:p>
        </w:tc>
      </w:tr>
      <w:tr>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Large order definition</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More than one pallet, palletised and dispatched on company trucks to distribution centres</w:t>
            </w:r>
          </w:p>
        </w:tc>
        <w:tc>
          <w:tcPr>
            <w:tcW w:type="dxa" w:w="1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requires the definition; large orders are shipped by the own fleet</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Sizes the dispatch dock, order staging and truck marshalling</w:t>
            </w:r>
          </w:p>
        </w:tc>
        <w:tc>
          <w:tcPr>
            <w:tcW w:type="dxa" w:w="17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against order-size data</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WIP storage policy</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Buffer of up to about one shift of stock at key decoupling points before heat treatment, sandblasting, powder coating, assembly and packaging</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leaves WIP to the designer; batch operations need decoupling buffers</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Determines WIP staging space and its position in the layout</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refine in line balancing</w:t>
            </w:r>
          </w:p>
        </w:tc>
      </w:tr>
      <w:tr>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Delivery frequency</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Scheduled supplier deliveries within the two-week raw material buffer, for example weekly, during weekday working hours</w:t>
            </w:r>
          </w:p>
        </w:tc>
        <w:tc>
          <w:tcPr>
            <w:tcW w:type="dxa" w:w="1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allows negotiated schedules; long lead times favour buffered, scheduled delivery</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Affects receiving dock use and raw material store turnover</w:t>
            </w:r>
          </w:p>
        </w:tc>
        <w:tc>
          <w:tcPr>
            <w:tcW w:type="dxa" w:w="17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with supplier</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Dispatch frequency</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Regular weekday dispatch of large orders during working hours, at a frequency that suits the order book</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allows negotiated schedules and requires weekday working-hours movement</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Affects dispatch dock and finished goods store turnover</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with logistics and customers</w:t>
            </w:r>
          </w:p>
        </w:tc>
      </w:tr>
      <w:tr>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Material handling equipment</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Forklifts and pallet trucks for palletised loads; trolleys or roller conveyors between workstations</w:t>
            </w:r>
          </w:p>
        </w:tc>
        <w:tc>
          <w:tcPr>
            <w:tcW w:type="dxa" w:w="1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Standard handling for aluminium tube, sheet, WIP and palletised finished goods</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Determines aisle widths, dock design and handling space</w:t>
            </w:r>
          </w:p>
        </w:tc>
        <w:tc>
          <w:tcPr>
            <w:tcW w:type="dxa" w:w="17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against load and flow calculations</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Aisle width</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Main aisles about 3.0 to 3.7 m for forklift travel; secondary and pedestrian aisles about 1.5 m</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Depends on the selected handling equipment</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Affects total floor area and flow</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set from final equipment selection</w:t>
            </w:r>
          </w:p>
        </w:tc>
      </w:tr>
      <w:tr>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Packaging unit load</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Shovels bagged individually, then packed into boxes; boxes palletised; units per box and boxes per pallet to be set</w:t>
            </w:r>
          </w:p>
        </w:tc>
        <w:tc>
          <w:tcPr>
            <w:tcW w:type="dxa" w:w="1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specifies bag-then-box manual packaging; pallet logic is needed for storage and dispatch</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Drives finished goods store capacity, order definitions and handling</w:t>
            </w:r>
          </w:p>
        </w:tc>
        <w:tc>
          <w:tcPr>
            <w:tcW w:type="dxa" w:w="17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box and pallet dimensions</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Office staff numbers</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One each for the Senior Plant, Operations and Inventory Managers; a small team per named admin function</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names the roles but not the counts</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Sizes the office space</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headcount with management</w:t>
            </w:r>
          </w:p>
        </w:tc>
      </w:tr>
      <w:tr>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Supervisor numbers</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About one supervisor per major production department or shift</w:t>
            </w:r>
          </w:p>
        </w:tc>
        <w:tc>
          <w:tcPr>
            <w:tcW w:type="dxa" w:w="1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states the number depends on the facility design</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Sizes supervisor offices and affects labour</w:t>
            </w:r>
          </w:p>
        </w:tc>
        <w:tc>
          <w:tcPr>
            <w:tcW w:type="dxa" w:w="17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set once departments and shift pattern are fixed</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Parking basis</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One bay per on-site employee on the shift, plus visitor and small-order collection bays</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requires parking for all personnel with reasoning</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Sizes the parking area and the site</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finalise once labour is calculated</w:t>
            </w:r>
          </w:p>
        </w:tc>
      </w:tr>
      <w:tr>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Powder coating clearance</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Separate enclosed room with mechanical extraction and a safety and fire clearance around the equipment</w:t>
            </w:r>
          </w:p>
        </w:tc>
        <w:tc>
          <w:tcPr>
            <w:tcW w:type="dxa" w:w="1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requires a fully enclosed area because of fumes</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Reserves enclosed floor area and affects layout and flow</w:t>
            </w:r>
          </w:p>
        </w:tc>
        <w:tc>
          <w:tcPr>
            <w:tcW w:type="dxa" w:w="17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set from equipment and safety standards (supplier-based estimate required)</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Heat treatment equipment basis</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 heat-treatment oven or furnace sized to the shovel-head throughput; cycle time depends on equipment</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lists heat treatment as equipment-dependent</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Determines department size, capacity and WIP buffering</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supplier-based estimate required</w:t>
            </w:r>
          </w:p>
        </w:tc>
      </w:tr>
      <w:tr>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Sandblasting equipment basis</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An enclosed blast cabinet or booth with extraction sized to throughput; cycle time depends on equipment</w:t>
            </w:r>
          </w:p>
        </w:tc>
        <w:tc>
          <w:tcPr>
            <w:tcW w:type="dxa" w:w="1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lists sandblasting as equipment-dependent</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Determines department size and capacity</w:t>
            </w:r>
          </w:p>
        </w:tc>
        <w:tc>
          <w:tcPr>
            <w:tcW w:type="dxa" w:w="17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supplier-based estimate required</w:t>
            </w:r>
          </w:p>
        </w:tc>
      </w:tr>
      <w:tr>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Waste collection method</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Segregated bins or skips for metal off-cuts, which are recycled, and for general and process waste, with periodic contractor collection</w:t>
            </w:r>
          </w:p>
        </w:tc>
        <w:tc>
          <w:tcPr>
            <w:tcW w:type="dxa" w:w="1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requires waste handling and management</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Sizes the waste storage area and affects site flow</w:t>
            </w:r>
          </w:p>
        </w:tc>
        <w:tc>
          <w:tcPr>
            <w:tcW w:type="dxa" w:w="17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Yes; confirm with waste contractor</w:t>
            </w:r>
          </w:p>
        </w:tc>
      </w:tr>
    </w:tbl>
    <w:p>
      <w:pPr>
        <w:spacing w:after="120" w:before="40"/>
      </w:pPr>
      <w:r>
        <w:rPr>
          <w:rFonts w:ascii="Arial" w:cs="Arial" w:eastAsia="Arial" w:hAnsi="Arial"/>
          <w:i/>
          <w:iCs/>
          <w:color w:val="595959"/>
          <w:sz w:val="18"/>
          <w:szCs w:val="18"/>
        </w:rPr>
        <w:t xml:space="preserve">Table 3.8: Designer assumptions, basis and verification status.</w:t>
      </w:r>
    </w:p>
    <w:p>
      <w:pPr>
        <w:pStyle w:val="Heading2"/>
      </w:pPr>
      <w:r>
        <w:t xml:space="preserve">3.9   Constraints table</w:t>
      </w:r>
    </w:p>
    <w:p>
      <w:pPr>
        <w:spacing w:after="150" w:line="280"/>
        <w:jc w:val="both"/>
      </w:pPr>
      <w:r>
        <w:rPr>
          <w:rFonts w:ascii="Arial" w:cs="Arial" w:eastAsia="Arial" w:hAnsi="Arial"/>
          <w:sz w:val="22"/>
          <w:szCs w:val="22"/>
        </w:rPr>
        <w:t xml:space="preserve">Table 3.9 lists the confirmed constraints fixed by the 2026 brief. Unlike the assumptions in 3.8, these values are given and are not at the discretion of the designer.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050"/>
        <w:gridCol w:w="3676"/>
      </w:tblGrid>
      <w:tr>
        <w:trPr>
          <w:tblHeader/>
        </w:trPr>
        <w:tc>
          <w:tcPr>
            <w:tcW w:type="dxa" w:w="33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Constraint</w:t>
            </w:r>
          </w:p>
        </w:tc>
        <w:tc>
          <w:tcPr>
            <w:tcW w:type="dxa" w:w="20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Source</w:t>
            </w:r>
          </w:p>
        </w:tc>
        <w:tc>
          <w:tcPr>
            <w:tcW w:type="dxa" w:w="3676"/>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Design implication</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Annual demand of 400 000 shovels per year</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(management projection)</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Fixes the capacity target for all calculations</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220 workdays per year</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(operating policy)</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Basis for the daily demand of 1 819 shovels per day</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One 9-hour shift, 5 days per week; 30-min lunch and two 15-min teas</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(operating policy)</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Gives 480 effective minutes per day for takt and capacity</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5 percent scrap on tube cutting and 5 percent on sheet stamping; no other scrap</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Cutting and stamping volumes and material quantities inflated accordingly</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Two weeks of raw material stock</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(inventory policy)</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Sets the raw material store capacity</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Four weeks of finished goods stock</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(inventory policy)</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Sets the finished goods store capacity</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All materials stored indoors</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No outdoor storage; all storage within the building footprint</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Powder coating in a separate, fully enclosed area</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(safety)</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Dedicated enclosed, extracted department required</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All packaging performed by hand</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(quality)</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Manual packaging workstation with a final visual check</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Powder coating and sandblasting have a negligible effect on product mass</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Mass calculations based on the as-fabricated parts</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Deliveries and collections only during weekday working hours</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Receiving, collection and dispatch scheduled within shift hours</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Company uses its own truck fleet for large orders</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On-site truck parking and marshalling required</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Access to the facility from public roads required</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Site access, entrance and exit, and vehicle routing</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Approximately 10 percent space reserved for future expansion (5-year growth)</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10 percent spare area built into the layout</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Aluminium round tube OD 31.70 mm, wall 3.18 mm; aluminium sheet 2.5 mm thick</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(supplier specification)</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Fixes raw material dimensions for cutting, stamping and material and space calculations</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Process flow charts must form part of the quality management system</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Flow charts developed and embedded in the report</w:t>
            </w:r>
          </w:p>
        </w:tc>
      </w:tr>
      <w:tr>
        <w:tc>
          <w:tcPr>
            <w:tcW w:type="dxa" w:w="33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Named managers, administrative functions and plant supervisors; restrooms, lockers and cafeteria for all</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w:t>
            </w:r>
          </w:p>
        </w:tc>
        <w:tc>
          <w:tcPr>
            <w:tcW w:type="dxa" w:w="3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Office and amenity space allocation</w:t>
            </w:r>
          </w:p>
        </w:tc>
      </w:tr>
      <w:tr>
        <w:tc>
          <w:tcPr>
            <w:tcW w:type="dxa" w:w="33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Report body limited to 40 pages; MFP submitted in source (Draw.io or Rayon) and PDF</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Brief (deliverable)</w:t>
            </w:r>
          </w:p>
        </w:tc>
        <w:tc>
          <w:tcPr>
            <w:tcW w:type="dxa" w:w="3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Constrains report length and the MFP deliverable format</w:t>
            </w:r>
          </w:p>
        </w:tc>
      </w:tr>
    </w:tbl>
    <w:p>
      <w:pPr>
        <w:spacing w:after="120" w:before="40"/>
      </w:pPr>
      <w:r>
        <w:rPr>
          <w:rFonts w:ascii="Arial" w:cs="Arial" w:eastAsia="Arial" w:hAnsi="Arial"/>
          <w:i/>
          <w:iCs/>
          <w:color w:val="595959"/>
          <w:sz w:val="18"/>
          <w:szCs w:val="18"/>
        </w:rPr>
        <w:t xml:space="preserve">Table 3.9: Confirmed constraints from the 2026 brief.</w:t>
      </w:r>
    </w:p>
    <w:p>
      <w:pPr>
        <w:pStyle w:val="Heading1"/>
      </w:pPr>
      <w:r>
        <w:t xml:space="preserve">4   Product and Process Understanding</w:t>
      </w:r>
    </w:p>
    <w:p>
      <w:pPr>
        <w:pStyle w:val="Heading2"/>
      </w:pPr>
      <w:r>
        <w:t xml:space="preserve">4.1   Product structure and bill of materials</w:t>
      </w:r>
    </w:p>
    <w:p>
      <w:pPr>
        <w:spacing w:after="150" w:line="280"/>
        <w:jc w:val="both"/>
      </w:pPr>
      <w:r>
        <w:rPr>
          <w:rFonts w:ascii="Arial" w:cs="Arial" w:eastAsia="Arial" w:hAnsi="Arial"/>
          <w:sz w:val="22"/>
          <w:szCs w:val="22"/>
        </w:rPr>
        <w:t xml:space="preserve">The folding mini shovel is built up from two manufactured handle sections and a shovel head subassembly, which are joined and then packaged. Table 4.1a shows the product structure by level, and Table 4.1b gives a preliminary bill of materials. The bill of materials is preliminary because the rivet quantity and the packaging unit load are designer assumptions still to be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Level</w:t>
            </w:r>
          </w:p>
        </w:tc>
        <w:tc>
          <w:tcPr>
            <w:tcW w:type="dxa" w:w="40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Item</w:t>
            </w:r>
          </w:p>
        </w:tc>
        <w:tc>
          <w:tcPr>
            <w:tcW w:type="dxa" w:w="4126"/>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Source or type</w:t>
            </w:r>
          </w:p>
        </w:tc>
      </w:tr>
      <w:tr>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0</w:t>
            </w:r>
          </w:p>
        </w:tc>
        <w:tc>
          <w:tcPr>
            <w:tcW w:type="dxa" w:w="40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Finished folding mini shovel</w:t>
            </w:r>
          </w:p>
        </w:tc>
        <w:tc>
          <w:tcPr>
            <w:tcW w:type="dxa" w:w="41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End product, assembled and packaged</w:t>
            </w:r>
          </w:p>
        </w:tc>
      </w:tr>
      <w:tr>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Back handle section (grip)</w:t>
            </w:r>
          </w:p>
        </w:tc>
        <w:tc>
          <w:tcPr>
            <w:tcW w:type="dxa" w:w="41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round tube</w:t>
            </w:r>
          </w:p>
        </w:tc>
      </w:tr>
      <w:tr>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Middle handle section</w:t>
            </w:r>
          </w:p>
        </w:tc>
        <w:tc>
          <w:tcPr>
            <w:tcW w:type="dxa" w:w="41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round tube</w:t>
            </w:r>
          </w:p>
        </w:tc>
      </w:tr>
      <w:tr>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Shovel head subassembly</w:t>
            </w:r>
          </w:p>
        </w:tc>
        <w:tc>
          <w:tcPr>
            <w:tcW w:type="dxa" w:w="41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Subassembly</w:t>
            </w:r>
          </w:p>
        </w:tc>
      </w:tr>
      <w:tr>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Shovel head</w:t>
            </w:r>
          </w:p>
        </w:tc>
        <w:tc>
          <w:tcPr>
            <w:tcW w:type="dxa" w:w="41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sheet</w:t>
            </w:r>
          </w:p>
        </w:tc>
      </w:tr>
      <w:tr>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Hinge connector</w:t>
            </w:r>
          </w:p>
        </w:tc>
        <w:tc>
          <w:tcPr>
            <w:tcW w:type="dxa" w:w="41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sheet</w:t>
            </w:r>
          </w:p>
        </w:tc>
      </w:tr>
      <w:tr>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Rivet</w:t>
            </w:r>
          </w:p>
        </w:tc>
        <w:tc>
          <w:tcPr>
            <w:tcW w:type="dxa" w:w="41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r>
      <w:tr>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40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Packaging</w:t>
            </w:r>
          </w:p>
        </w:tc>
        <w:tc>
          <w:tcPr>
            <w:tcW w:type="dxa" w:w="41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r>
      <w:tr>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Bag</w:t>
            </w:r>
          </w:p>
        </w:tc>
        <w:tc>
          <w:tcPr>
            <w:tcW w:type="dxa" w:w="41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r>
      <w:tr>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w:t>
            </w:r>
          </w:p>
        </w:tc>
        <w:tc>
          <w:tcPr>
            <w:tcW w:type="dxa" w:w="40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Box</w:t>
            </w:r>
          </w:p>
        </w:tc>
        <w:tc>
          <w:tcPr>
            <w:tcW w:type="dxa" w:w="41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r>
    </w:tbl>
    <w:p>
      <w:pPr>
        <w:spacing w:after="120" w:before="40"/>
      </w:pPr>
      <w:r>
        <w:rPr>
          <w:rFonts w:ascii="Arial" w:cs="Arial" w:eastAsia="Arial" w:hAnsi="Arial"/>
          <w:i/>
          <w:iCs/>
          <w:color w:val="595959"/>
          <w:sz w:val="18"/>
          <w:szCs w:val="18"/>
        </w:rPr>
        <w:t xml:space="preserve">Table 4.1a: Product structure by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900"/>
        <w:gridCol w:w="2850"/>
        <w:gridCol w:w="1826"/>
      </w:tblGrid>
      <w:tr>
        <w:trPr>
          <w:tblHeader/>
        </w:trPr>
        <w:tc>
          <w:tcPr>
            <w:tcW w:type="dxa" w:w="17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Component</w:t>
            </w:r>
          </w:p>
        </w:tc>
        <w:tc>
          <w:tcPr>
            <w:tcW w:type="dxa" w:w="17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Material or bought-in status</w:t>
            </w:r>
          </w:p>
        </w:tc>
        <w:tc>
          <w:tcPr>
            <w:tcW w:type="dxa" w:w="9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Qty per shovel</w:t>
            </w:r>
          </w:p>
        </w:tc>
        <w:tc>
          <w:tcPr>
            <w:tcW w:type="dxa" w:w="28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Main process</w:t>
            </w:r>
          </w:p>
        </w:tc>
        <w:tc>
          <w:tcPr>
            <w:tcW w:type="dxa" w:w="1826"/>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Notes or assumptions</w:t>
            </w:r>
          </w:p>
        </w:tc>
      </w:tr>
      <w:tr>
        <w:tc>
          <w:tcPr>
            <w:tcW w:type="dxa" w:w="17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Back handle section (grip)</w:t>
            </w:r>
          </w:p>
        </w:tc>
        <w:tc>
          <w:tcPr>
            <w:tcW w:type="dxa" w:w="17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round tube</w:t>
            </w:r>
          </w:p>
        </w:tc>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2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Cut to 150 mm; end narrowed; external thread and knurled grip formed</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Tube OD 31.70 mm, wall 3.18 mm</w:t>
            </w:r>
          </w:p>
        </w:tc>
      </w:tr>
      <w:tr>
        <w:tc>
          <w:tcPr>
            <w:tcW w:type="dxa" w:w="17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Middle handle section</w:t>
            </w:r>
          </w:p>
        </w:tc>
        <w:tc>
          <w:tcPr>
            <w:tcW w:type="dxa" w:w="17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round tube</w:t>
            </w:r>
          </w:p>
        </w:tc>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2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Cut to 150 mm; internal thread cut; hinged to shovel head</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Same tube as grip section</w:t>
            </w:r>
          </w:p>
        </w:tc>
      </w:tr>
      <w:tr>
        <w:tc>
          <w:tcPr>
            <w:tcW w:type="dxa" w:w="17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Shovel head</w:t>
            </w:r>
          </w:p>
        </w:tc>
        <w:tc>
          <w:tcPr>
            <w:tcW w:type="dxa" w:w="17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sheet</w:t>
            </w:r>
          </w:p>
        </w:tc>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2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Stamped, bent, sharpened, serrated</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2.5 mm sheet; finished 150 x 120 mm</w:t>
            </w:r>
          </w:p>
        </w:tc>
      </w:tr>
      <w:tr>
        <w:tc>
          <w:tcPr>
            <w:tcW w:type="dxa" w:w="17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Hinge connector</w:t>
            </w:r>
          </w:p>
        </w:tc>
        <w:tc>
          <w:tcPr>
            <w:tcW w:type="dxa" w:w="17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Manufactured from aluminium sheet</w:t>
            </w:r>
          </w:p>
        </w:tc>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2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Stamped, bent</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2.5 mm sheet</w:t>
            </w:r>
          </w:p>
        </w:tc>
      </w:tr>
      <w:tr>
        <w:tc>
          <w:tcPr>
            <w:tcW w:type="dxa" w:w="17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Rivet</w:t>
            </w:r>
          </w:p>
        </w:tc>
        <w:tc>
          <w:tcPr>
            <w:tcW w:type="dxa" w:w="17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 (possibly 2; verify)</w:t>
            </w:r>
          </w:p>
        </w:tc>
        <w:tc>
          <w:tcPr>
            <w:tcW w:type="dxa" w:w="2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Rivet hinge connector to shovel head</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Quantity is a designer assumption</w:t>
            </w:r>
          </w:p>
        </w:tc>
      </w:tr>
      <w:tr>
        <w:tc>
          <w:tcPr>
            <w:tcW w:type="dxa" w:w="17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Packaging bag</w:t>
            </w:r>
          </w:p>
        </w:tc>
        <w:tc>
          <w:tcPr>
            <w:tcW w:type="dxa" w:w="17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c>
          <w:tcPr>
            <w:tcW w:type="dxa" w:w="9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w:t>
            </w:r>
          </w:p>
        </w:tc>
        <w:tc>
          <w:tcPr>
            <w:tcW w:type="dxa" w:w="2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Manual packaging</w:t>
            </w:r>
          </w:p>
        </w:tc>
        <w:tc>
          <w:tcPr>
            <w:tcW w:type="dxa" w:w="182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From outside supplier</w:t>
            </w:r>
          </w:p>
        </w:tc>
      </w:tr>
      <w:tr>
        <w:tc>
          <w:tcPr>
            <w:tcW w:type="dxa" w:w="17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Packaging box</w:t>
            </w:r>
          </w:p>
        </w:tc>
        <w:tc>
          <w:tcPr>
            <w:tcW w:type="dxa" w:w="17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c>
          <w:tcPr>
            <w:tcW w:type="dxa" w:w="9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Per unit load (assumption)</w:t>
            </w:r>
          </w:p>
        </w:tc>
        <w:tc>
          <w:tcPr>
            <w:tcW w:type="dxa" w:w="2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Manual packaging</w:t>
            </w:r>
          </w:p>
        </w:tc>
        <w:tc>
          <w:tcPr>
            <w:tcW w:type="dxa" w:w="182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Units per box to be defined</w:t>
            </w:r>
          </w:p>
        </w:tc>
      </w:tr>
    </w:tbl>
    <w:p>
      <w:pPr>
        <w:spacing w:after="120" w:before="40"/>
      </w:pPr>
      <w:r>
        <w:rPr>
          <w:rFonts w:ascii="Arial" w:cs="Arial" w:eastAsia="Arial" w:hAnsi="Arial"/>
          <w:i/>
          <w:iCs/>
          <w:color w:val="595959"/>
          <w:sz w:val="18"/>
          <w:szCs w:val="18"/>
        </w:rPr>
        <w:t xml:space="preserve">Table 4.1b: Preliminary bill of materials.</w:t>
      </w:r>
    </w:p>
    <w:p>
      <w:pPr>
        <w:pStyle w:val="Heading2"/>
      </w:pPr>
      <w:r>
        <w:t xml:space="preserve">4.2   Back handle section</w:t>
      </w:r>
    </w:p>
    <w:p>
      <w:pPr>
        <w:spacing w:after="150" w:line="280"/>
        <w:jc w:val="both"/>
      </w:pPr>
      <w:r>
        <w:rPr>
          <w:rFonts w:ascii="Arial" w:cs="Arial" w:eastAsia="Arial" w:hAnsi="Arial"/>
          <w:sz w:val="22"/>
          <w:szCs w:val="22"/>
        </w:rPr>
        <w:t xml:space="preserve">The back of the handle, or grip section, is a 150 mm length of round aluminium tube with an outer diameter of 31.70 mm and a wall thickness of 3.18 mm. One end is stamped and formed to narrow it, and an external thread is cut on this narrowed end so that the section screws into the internally threaded middle section. The opposite end is knurled to form a grip. The associated operations and their processing times from the brief are: cut handle at 15 s per cut, with the number of pipes per cut depending on the chosen equipment; stamp and form the end to narrow at 5 s per pipe; and knurling with the external thread on the grip section at 1 min per pipe. One back handle section is required per shovel.</w:t>
      </w:r>
    </w:p>
    <w:p>
      <w:pPr>
        <w:pStyle w:val="Heading2"/>
      </w:pPr>
      <w:r>
        <w:t xml:space="preserve">4.3   Middle handle section</w:t>
      </w:r>
    </w:p>
    <w:p>
      <w:pPr>
        <w:spacing w:after="150" w:line="280"/>
        <w:jc w:val="both"/>
      </w:pPr>
      <w:r>
        <w:rPr>
          <w:rFonts w:ascii="Arial" w:cs="Arial" w:eastAsia="Arial" w:hAnsi="Arial"/>
          <w:sz w:val="22"/>
          <w:szCs w:val="22"/>
        </w:rPr>
        <w:t xml:space="preserve">The middle section of the handle is a 150 mm length of the same round aluminium tube. An internal thread is cut at one end so that the grip section screws into it, forming the complete handle. The opposite end attaches to the shovel head through a hinge secured with a rivet, which provides the folding action. The associated operation and its processing time from the brief is the internal thread on the middle section at 20 s per pipe. One middle handle section is required per shovel.</w:t>
      </w:r>
    </w:p>
    <w:p>
      <w:pPr>
        <w:pStyle w:val="Heading2"/>
      </w:pPr>
      <w:r>
        <w:t xml:space="preserve">4.4   Shovel head and hinge connector</w:t>
      </w:r>
    </w:p>
    <w:p>
      <w:pPr>
        <w:spacing w:after="150" w:line="280"/>
        <w:jc w:val="both"/>
      </w:pPr>
      <w:r>
        <w:rPr>
          <w:rFonts w:ascii="Arial" w:cs="Arial" w:eastAsia="Arial" w:hAnsi="Arial"/>
          <w:sz w:val="22"/>
          <w:szCs w:val="22"/>
        </w:rPr>
        <w:t xml:space="preserve">The shovel head and the hinge connector are both stamped from 2.5 mm aluminium sheet. The shovel head is stamped at 2 s per part and shaped or bent at 2 s per shovel head, after which the blade is sharpened at 2 min per shovel and the blade edge is serrated at 1 min per shovel. The finished shovel head measures 150 mm long by 120 mm wide. The hinge connector is stamped at 2 s per part and bent to shape at 5 s per part.</w:t>
      </w:r>
    </w:p>
    <w:p>
      <w:pPr>
        <w:spacing w:after="150" w:line="280"/>
        <w:jc w:val="both"/>
      </w:pPr>
      <w:r>
        <w:rPr>
          <w:rFonts w:ascii="Arial" w:cs="Arial" w:eastAsia="Arial" w:hAnsi="Arial"/>
          <w:sz w:val="22"/>
          <w:szCs w:val="22"/>
        </w:rPr>
        <w:t xml:space="preserve">The hinge connector is then riveted to the shovel head at 5 s per shovel to form the shovel head subassembly, and this riveted joint creates the hinged connection to which the middle handle is attached. The subassembly subsequently passes through heat treatment, sandblasting and hand polishing to remove burrs at 1 min per shovel head before powder coating. Forming the shovel head subassembly before heat treatment, sandblasting and polishing allows these finishing operations to be applied to the head and hinge connector as a single unit, which simplifies handling through the equipment-dependent stages.</w:t>
      </w:r>
    </w:p>
    <w:p>
      <w:pPr>
        <w:pStyle w:val="Heading2"/>
      </w:pPr>
      <w:r>
        <w:t xml:space="preserve">4.5   Raw materials and bought-in components</w:t>
      </w:r>
    </w:p>
    <w:p>
      <w:pPr>
        <w:spacing w:after="150" w:line="280"/>
        <w:jc w:val="both"/>
      </w:pPr>
      <w:r>
        <w:rPr>
          <w:rFonts w:ascii="Arial" w:cs="Arial" w:eastAsia="Arial" w:hAnsi="Arial"/>
          <w:sz w:val="22"/>
          <w:szCs w:val="22"/>
        </w:rPr>
        <w:t xml:space="preserve">Table 4.5 lists the raw materials and bought-in components. The aluminium tube and sheet specifications and the current supplier are taken from the brief. Items whose specification is not given in the brief are marked as designer assumptions or as supplier-based estimates still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50"/>
        <w:gridCol w:w="2350"/>
        <w:gridCol w:w="2050"/>
        <w:gridCol w:w="1676"/>
      </w:tblGrid>
      <w:tr>
        <w:trPr>
          <w:tblHeader/>
        </w:trPr>
        <w:tc>
          <w:tcPr>
            <w:tcW w:type="dxa" w:w="16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Item</w:t>
            </w:r>
          </w:p>
        </w:tc>
        <w:tc>
          <w:tcPr>
            <w:tcW w:type="dxa" w:w="13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Type</w:t>
            </w:r>
          </w:p>
        </w:tc>
        <w:tc>
          <w:tcPr>
            <w:tcW w:type="dxa" w:w="23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Specification or source</w:t>
            </w:r>
          </w:p>
        </w:tc>
        <w:tc>
          <w:tcPr>
            <w:tcW w:type="dxa" w:w="20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Used for</w:t>
            </w:r>
          </w:p>
        </w:tc>
        <w:tc>
          <w:tcPr>
            <w:tcW w:type="dxa" w:w="1676"/>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8"/>
                <w:szCs w:val="18"/>
              </w:rPr>
              <w:t xml:space="preserve">Notes or assumptions</w:t>
            </w:r>
          </w:p>
        </w:tc>
      </w:tr>
      <w:tr>
        <w:tc>
          <w:tcPr>
            <w:tcW w:type="dxa" w:w="16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Aluminium round tube</w:t>
            </w:r>
          </w:p>
        </w:tc>
        <w:tc>
          <w:tcPr>
            <w:tcW w:type="dxa" w:w="13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Raw material</w:t>
            </w:r>
          </w:p>
        </w:tc>
        <w:tc>
          <w:tcPr>
            <w:tcW w:type="dxa" w:w="23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OD 31.70 mm, wall 3.18 mm; Aluminium Trading</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Back and middle handle sections</w:t>
            </w:r>
          </w:p>
        </w:tc>
        <w:tc>
          <w:tcPr>
            <w:tcW w:type="dxa" w:w="1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Two 150 mm sections per shovel</w:t>
            </w:r>
          </w:p>
        </w:tc>
      </w:tr>
      <w:tr>
        <w:tc>
          <w:tcPr>
            <w:tcW w:type="dxa" w:w="16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Aluminium sheet or coil</w:t>
            </w:r>
          </w:p>
        </w:tc>
        <w:tc>
          <w:tcPr>
            <w:tcW w:type="dxa" w:w="13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Raw material</w:t>
            </w:r>
          </w:p>
        </w:tc>
        <w:tc>
          <w:tcPr>
            <w:tcW w:type="dxa" w:w="23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2.5 mm thick; Aluminium Trading</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Shovel head and hinge connector</w:t>
            </w:r>
          </w:p>
        </w:tc>
        <w:tc>
          <w:tcPr>
            <w:tcW w:type="dxa" w:w="1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Alternative supplier may be proposed</w:t>
            </w:r>
          </w:p>
        </w:tc>
      </w:tr>
      <w:tr>
        <w:tc>
          <w:tcPr>
            <w:tcW w:type="dxa" w:w="16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Rivets</w:t>
            </w:r>
          </w:p>
        </w:tc>
        <w:tc>
          <w:tcPr>
            <w:tcW w:type="dxa" w:w="13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c>
          <w:tcPr>
            <w:tcW w:type="dxa" w:w="23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Specification to be confirmed</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Riveting hinge connector to shovel head</w:t>
            </w:r>
          </w:p>
        </w:tc>
        <w:tc>
          <w:tcPr>
            <w:tcW w:type="dxa" w:w="1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 per shovel, possibly 2; designer assumption</w:t>
            </w:r>
          </w:p>
        </w:tc>
      </w:tr>
      <w:tr>
        <w:tc>
          <w:tcPr>
            <w:tcW w:type="dxa" w:w="16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Packaging bags</w:t>
            </w:r>
          </w:p>
        </w:tc>
        <w:tc>
          <w:tcPr>
            <w:tcW w:type="dxa" w:w="13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c>
          <w:tcPr>
            <w:tcW w:type="dxa" w:w="23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From an outside supplier</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Individual bagging of each shovel</w:t>
            </w:r>
          </w:p>
        </w:tc>
        <w:tc>
          <w:tcPr>
            <w:tcW w:type="dxa" w:w="1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1 per shovel</w:t>
            </w:r>
          </w:p>
        </w:tc>
      </w:tr>
      <w:tr>
        <w:tc>
          <w:tcPr>
            <w:tcW w:type="dxa" w:w="16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Packaging boxes</w:t>
            </w:r>
          </w:p>
        </w:tc>
        <w:tc>
          <w:tcPr>
            <w:tcW w:type="dxa" w:w="13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w:t>
            </w:r>
          </w:p>
        </w:tc>
        <w:tc>
          <w:tcPr>
            <w:tcW w:type="dxa" w:w="23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Specification to be confirmed</w:t>
            </w:r>
          </w:p>
        </w:tc>
        <w:tc>
          <w:tcPr>
            <w:tcW w:type="dxa" w:w="20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Boxing of bagged shovels</w:t>
            </w:r>
          </w:p>
        </w:tc>
        <w:tc>
          <w:tcPr>
            <w:tcW w:type="dxa" w:w="1676"/>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Units per box is a designer assumption</w:t>
            </w:r>
          </w:p>
        </w:tc>
      </w:tr>
      <w:tr>
        <w:tc>
          <w:tcPr>
            <w:tcW w:type="dxa" w:w="16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Black powder-coat material</w:t>
            </w:r>
          </w:p>
        </w:tc>
        <w:tc>
          <w:tcPr>
            <w:tcW w:type="dxa" w:w="13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Bought-in consumable</w:t>
            </w:r>
          </w:p>
        </w:tc>
        <w:tc>
          <w:tcPr>
            <w:tcW w:type="dxa" w:w="23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Specification to be confirmed (supplier-based estimate required)</w:t>
            </w:r>
          </w:p>
        </w:tc>
        <w:tc>
          <w:tcPr>
            <w:tcW w:type="dxa" w:w="20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Black finish on all parts</w:t>
            </w:r>
          </w:p>
        </w:tc>
        <w:tc>
          <w:tcPr>
            <w:tcW w:type="dxa" w:w="1676"/>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8"/>
                <w:szCs w:val="18"/>
              </w:rPr>
              <w:t xml:space="preserve">Designer assumption; quantity from coated area</w:t>
            </w:r>
          </w:p>
        </w:tc>
      </w:tr>
    </w:tbl>
    <w:p>
      <w:pPr>
        <w:spacing w:after="120" w:before="40"/>
      </w:pPr>
      <w:r>
        <w:rPr>
          <w:rFonts w:ascii="Arial" w:cs="Arial" w:eastAsia="Arial" w:hAnsi="Arial"/>
          <w:i/>
          <w:iCs/>
          <w:color w:val="595959"/>
          <w:sz w:val="18"/>
          <w:szCs w:val="18"/>
        </w:rPr>
        <w:t xml:space="preserve">Table 4.5: Raw materials and bought-in components.</w:t>
      </w:r>
    </w:p>
    <w:p>
      <w:pPr>
        <w:pStyle w:val="Heading2"/>
      </w:pPr>
      <w:r>
        <w:t xml:space="preserve">4.6   Overall process flow chart</w:t>
      </w:r>
    </w:p>
    <w:p>
      <w:pPr>
        <w:spacing w:after="150" w:line="280"/>
        <w:jc w:val="both"/>
      </w:pPr>
      <w:r>
        <w:rPr>
          <w:rFonts w:ascii="Arial" w:cs="Arial" w:eastAsia="Arial" w:hAnsi="Arial"/>
          <w:sz w:val="22"/>
          <w:szCs w:val="22"/>
        </w:rPr>
        <w:t xml:space="preserve">The process flow below is presented as structured text so that it can be converted directly into a draw.io flow chart. Material enters through receiving and inspection and is held in raw material storage. Three parallel manufacturing streams then run: a handle stream from aluminium tube, a shovel head stream from aluminium sheet, and a hinge connector stream from aluminium sheet. The shovel head and hinge connector streams converge at riveting to form the shovel head subassembly, which is then finished. All parts converge again at powder coating, after which the shovel is assembled, packaged with a final visual inspection, stored and then collected or dispatched. Processing times from the brief are shown in brackets; operations marked as equipment-dependent or workstation-dependent are to be determined from the selected equipment or workstation design.</w:t>
      </w:r>
    </w:p>
    <w:p>
      <w:pPr>
        <w:spacing w:after="30" w:line="252"/>
        <w:ind w:left="240"/>
      </w:pPr>
      <w:r>
        <w:rPr>
          <w:rFonts w:ascii="Arial" w:cs="Arial" w:eastAsia="Arial" w:hAnsi="Arial"/>
          <w:sz w:val="20"/>
          <w:szCs w:val="20"/>
        </w:rPr>
        <w:t xml:space="preserve">START</w:t>
      </w:r>
    </w:p>
    <w:p>
      <w:pPr>
        <w:spacing w:after="30" w:line="252"/>
        <w:ind w:left="600"/>
      </w:pPr>
      <w:r>
        <w:rPr>
          <w:rFonts w:ascii="Arial" w:cs="Arial" w:eastAsia="Arial" w:hAnsi="Arial"/>
          <w:sz w:val="20"/>
          <w:szCs w:val="20"/>
        </w:rPr>
        <w:t xml:space="preserve">1. Receiving of raw materials and bought-in components</w:t>
      </w:r>
    </w:p>
    <w:p>
      <w:pPr>
        <w:spacing w:after="30" w:line="252"/>
        <w:ind w:left="600"/>
      </w:pPr>
      <w:r>
        <w:rPr>
          <w:rFonts w:ascii="Arial" w:cs="Arial" w:eastAsia="Arial" w:hAnsi="Arial"/>
          <w:sz w:val="20"/>
          <w:szCs w:val="20"/>
        </w:rPr>
        <w:t xml:space="preserve">2. Raw material inspection</w:t>
      </w:r>
    </w:p>
    <w:p>
      <w:pPr>
        <w:spacing w:after="30" w:line="252"/>
        <w:ind w:left="600"/>
      </w:pPr>
      <w:r>
        <w:rPr>
          <w:rFonts w:ascii="Arial" w:cs="Arial" w:eastAsia="Arial" w:hAnsi="Arial"/>
          <w:sz w:val="20"/>
          <w:szCs w:val="20"/>
        </w:rPr>
        <w:t xml:space="preserve">3. Raw material storage (indoor)</w:t>
      </w:r>
    </w:p>
    <w:p>
      <w:pPr>
        <w:spacing w:after="30" w:line="252"/>
        <w:ind w:left="600"/>
      </w:pPr>
      <w:r>
        <w:rPr>
          <w:rFonts w:ascii="Arial" w:cs="Arial" w:eastAsia="Arial" w:hAnsi="Arial"/>
          <w:sz w:val="20"/>
          <w:szCs w:val="20"/>
        </w:rPr>
        <w:t xml:space="preserve">|</w:t>
      </w:r>
    </w:p>
    <w:p>
      <w:pPr>
        <w:spacing w:after="30" w:line="252"/>
        <w:ind w:left="600"/>
      </w:pPr>
      <w:r>
        <w:rPr>
          <w:rFonts w:ascii="Arial" w:cs="Arial" w:eastAsia="Arial" w:hAnsi="Arial"/>
          <w:sz w:val="20"/>
          <w:szCs w:val="20"/>
        </w:rPr>
        <w:t xml:space="preserve">+--&gt; STREAM A: HANDLE (from aluminium round tube)</w:t>
      </w:r>
    </w:p>
    <w:p>
      <w:pPr>
        <w:spacing w:after="30" w:line="252"/>
        <w:ind w:left="960"/>
      </w:pPr>
      <w:r>
        <w:rPr>
          <w:rFonts w:ascii="Arial" w:cs="Arial" w:eastAsia="Arial" w:hAnsi="Arial"/>
          <w:sz w:val="20"/>
          <w:szCs w:val="20"/>
        </w:rPr>
        <w:t xml:space="preserve">A1. Tube cutting / cut handle (15 s per cut) -&gt; splits into two 150 mm sections</w:t>
      </w:r>
    </w:p>
    <w:p>
      <w:pPr>
        <w:spacing w:after="30" w:line="252"/>
        <w:ind w:left="960"/>
      </w:pPr>
      <w:r>
        <w:rPr>
          <w:rFonts w:ascii="Arial" w:cs="Arial" w:eastAsia="Arial" w:hAnsi="Arial"/>
          <w:sz w:val="20"/>
          <w:szCs w:val="20"/>
        </w:rPr>
        <w:t xml:space="preserve">A2. Middle handle section: internal thread (20 s per pipe)</w:t>
      </w:r>
    </w:p>
    <w:p>
      <w:pPr>
        <w:spacing w:after="30" w:line="252"/>
        <w:ind w:left="960"/>
      </w:pPr>
      <w:r>
        <w:rPr>
          <w:rFonts w:ascii="Arial" w:cs="Arial" w:eastAsia="Arial" w:hAnsi="Arial"/>
          <w:sz w:val="20"/>
          <w:szCs w:val="20"/>
        </w:rPr>
        <w:t xml:space="preserve">A3. Back/grip section: stamp and narrow end (5 s per pipe) -&gt; knurling and external thread (1 min per pipe)</w:t>
      </w:r>
    </w:p>
    <w:p>
      <w:pPr>
        <w:spacing w:after="30" w:line="252"/>
        <w:ind w:left="600"/>
      </w:pPr>
      <w:r>
        <w:rPr>
          <w:rFonts w:ascii="Arial" w:cs="Arial" w:eastAsia="Arial" w:hAnsi="Arial"/>
          <w:sz w:val="20"/>
          <w:szCs w:val="20"/>
        </w:rPr>
        <w:t xml:space="preserve">+--&gt; STREAM B: SHOVEL HEAD (from aluminium sheet)</w:t>
      </w:r>
    </w:p>
    <w:p>
      <w:pPr>
        <w:spacing w:after="30" w:line="252"/>
        <w:ind w:left="960"/>
      </w:pPr>
      <w:r>
        <w:rPr>
          <w:rFonts w:ascii="Arial" w:cs="Arial" w:eastAsia="Arial" w:hAnsi="Arial"/>
          <w:sz w:val="20"/>
          <w:szCs w:val="20"/>
        </w:rPr>
        <w:t xml:space="preserve">B1. Stamp shovel head (2 s per part) -&gt; shape/bend (2 s) -&gt; sharpen blade (2 min) -&gt; serrate edge (1 min)</w:t>
      </w:r>
    </w:p>
    <w:p>
      <w:pPr>
        <w:spacing w:after="30" w:line="252"/>
        <w:ind w:left="600"/>
      </w:pPr>
      <w:r>
        <w:rPr>
          <w:rFonts w:ascii="Arial" w:cs="Arial" w:eastAsia="Arial" w:hAnsi="Arial"/>
          <w:sz w:val="20"/>
          <w:szCs w:val="20"/>
        </w:rPr>
        <w:t xml:space="preserve">+--&gt; STREAM C: HINGE CONNECTOR (from aluminium sheet)</w:t>
      </w:r>
    </w:p>
    <w:p>
      <w:pPr>
        <w:spacing w:after="30" w:line="252"/>
        <w:ind w:left="960"/>
      </w:pPr>
      <w:r>
        <w:rPr>
          <w:rFonts w:ascii="Arial" w:cs="Arial" w:eastAsia="Arial" w:hAnsi="Arial"/>
          <w:sz w:val="20"/>
          <w:szCs w:val="20"/>
        </w:rPr>
        <w:t xml:space="preserve">C1. Stamp hinge connector (2 s per part) -&gt; bend hinge connector (5 s per part)</w:t>
      </w:r>
    </w:p>
    <w:p>
      <w:pPr>
        <w:spacing w:after="30" w:line="252"/>
        <w:ind w:left="600"/>
      </w:pPr>
      <w:r>
        <w:rPr>
          <w:rFonts w:ascii="Arial" w:cs="Arial" w:eastAsia="Arial" w:hAnsi="Arial"/>
          <w:sz w:val="20"/>
          <w:szCs w:val="20"/>
        </w:rPr>
        <w:t xml:space="preserve">|</w:t>
      </w:r>
    </w:p>
    <w:p>
      <w:pPr>
        <w:spacing w:after="30" w:line="252"/>
        <w:ind w:left="600"/>
      </w:pPr>
      <w:r>
        <w:rPr>
          <w:rFonts w:ascii="Arial" w:cs="Arial" w:eastAsia="Arial" w:hAnsi="Arial"/>
          <w:sz w:val="20"/>
          <w:szCs w:val="20"/>
        </w:rPr>
        <w:t xml:space="preserve">CONVERGENCE 1 (Streams B + C): Rivet hinge connector to shovel head (5 s per shovel) -&gt; shovel head subassembly</w:t>
      </w:r>
    </w:p>
    <w:p>
      <w:pPr>
        <w:spacing w:after="30" w:line="252"/>
        <w:ind w:left="960"/>
      </w:pPr>
      <w:r>
        <w:rPr>
          <w:rFonts w:ascii="Arial" w:cs="Arial" w:eastAsia="Arial" w:hAnsi="Arial"/>
          <w:sz w:val="20"/>
          <w:szCs w:val="20"/>
        </w:rPr>
        <w:t xml:space="preserve">D1. Heat treat shovel head subassembly (to be determined from selected equipment)</w:t>
      </w:r>
    </w:p>
    <w:p>
      <w:pPr>
        <w:spacing w:after="30" w:line="252"/>
        <w:ind w:left="960"/>
      </w:pPr>
      <w:r>
        <w:rPr>
          <w:rFonts w:ascii="Arial" w:cs="Arial" w:eastAsia="Arial" w:hAnsi="Arial"/>
          <w:sz w:val="20"/>
          <w:szCs w:val="20"/>
        </w:rPr>
        <w:t xml:space="preserve">D2. Sandblast shovel heads (to be determined from selected equipment)</w:t>
      </w:r>
    </w:p>
    <w:p>
      <w:pPr>
        <w:spacing w:after="30" w:line="252"/>
        <w:ind w:left="960"/>
      </w:pPr>
      <w:r>
        <w:rPr>
          <w:rFonts w:ascii="Arial" w:cs="Arial" w:eastAsia="Arial" w:hAnsi="Arial"/>
          <w:sz w:val="20"/>
          <w:szCs w:val="20"/>
        </w:rPr>
        <w:t xml:space="preserve">D3. Hand polish to remove burrs (1 min per shovel head)</w:t>
      </w:r>
    </w:p>
    <w:p>
      <w:pPr>
        <w:spacing w:after="30" w:line="252"/>
        <w:ind w:left="600"/>
      </w:pPr>
      <w:r>
        <w:rPr>
          <w:rFonts w:ascii="Arial" w:cs="Arial" w:eastAsia="Arial" w:hAnsi="Arial"/>
          <w:sz w:val="20"/>
          <w:szCs w:val="20"/>
        </w:rPr>
        <w:t xml:space="preserve">|</w:t>
      </w:r>
    </w:p>
    <w:p>
      <w:pPr>
        <w:spacing w:after="30" w:line="252"/>
        <w:ind w:left="600"/>
      </w:pPr>
      <w:r>
        <w:rPr>
          <w:rFonts w:ascii="Arial" w:cs="Arial" w:eastAsia="Arial" w:hAnsi="Arial"/>
          <w:sz w:val="20"/>
          <w:szCs w:val="20"/>
        </w:rPr>
        <w:t xml:space="preserve">CONVERGENCE 2 (Stream A + finished subassembly): Powder-coat all parts, black (to be determined from selected equipment) [SEPARATE FULLY ENCLOSED AREA]</w:t>
      </w:r>
    </w:p>
    <w:p>
      <w:pPr>
        <w:spacing w:after="30" w:line="252"/>
        <w:ind w:left="600"/>
      </w:pPr>
      <w:r>
        <w:rPr>
          <w:rFonts w:ascii="Arial" w:cs="Arial" w:eastAsia="Arial" w:hAnsi="Arial"/>
          <w:sz w:val="20"/>
          <w:szCs w:val="20"/>
        </w:rPr>
        <w:t xml:space="preserve">|</w:t>
      </w:r>
    </w:p>
    <w:p>
      <w:pPr>
        <w:spacing w:after="30" w:line="252"/>
        <w:ind w:left="600"/>
      </w:pPr>
      <w:r>
        <w:rPr>
          <w:rFonts w:ascii="Arial" w:cs="Arial" w:eastAsia="Arial" w:hAnsi="Arial"/>
          <w:sz w:val="20"/>
          <w:szCs w:val="20"/>
        </w:rPr>
        <w:t xml:space="preserve">E1. Final assembly: assemble shovel head and handle section (30 s per shovel)</w:t>
      </w:r>
    </w:p>
    <w:p>
      <w:pPr>
        <w:spacing w:after="30" w:line="252"/>
        <w:ind w:left="600"/>
      </w:pPr>
      <w:r>
        <w:rPr>
          <w:rFonts w:ascii="Arial" w:cs="Arial" w:eastAsia="Arial" w:hAnsi="Arial"/>
          <w:sz w:val="20"/>
          <w:szCs w:val="20"/>
        </w:rPr>
        <w:t xml:space="preserve">E2. Manual packaging: bag then box, with final visual inspection (to be determined from workstation design)</w:t>
      </w:r>
    </w:p>
    <w:p>
      <w:pPr>
        <w:spacing w:after="30" w:line="252"/>
        <w:ind w:left="600"/>
      </w:pPr>
      <w:r>
        <w:rPr>
          <w:rFonts w:ascii="Arial" w:cs="Arial" w:eastAsia="Arial" w:hAnsi="Arial"/>
          <w:sz w:val="20"/>
          <w:szCs w:val="20"/>
        </w:rPr>
        <w:t xml:space="preserve">E3. Finished goods storage (4 weeks of stock)</w:t>
      </w:r>
    </w:p>
    <w:p>
      <w:pPr>
        <w:spacing w:after="30" w:line="252"/>
        <w:ind w:left="600"/>
      </w:pPr>
      <w:r>
        <w:rPr>
          <w:rFonts w:ascii="Arial" w:cs="Arial" w:eastAsia="Arial" w:hAnsi="Arial"/>
          <w:sz w:val="20"/>
          <w:szCs w:val="20"/>
        </w:rPr>
        <w:t xml:space="preserve">E4. Small order collection (customer) OR large order dispatch (company truck fleet)</w:t>
      </w:r>
    </w:p>
    <w:p>
      <w:pPr>
        <w:spacing w:after="30" w:line="252"/>
        <w:ind w:left="240"/>
      </w:pPr>
      <w:r>
        <w:rPr>
          <w:rFonts w:ascii="Arial" w:cs="Arial" w:eastAsia="Arial" w:hAnsi="Arial"/>
          <w:sz w:val="20"/>
          <w:szCs w:val="20"/>
        </w:rPr>
        <w:t xml:space="preserve">END</w:t>
      </w:r>
    </w:p>
    <w:p>
      <w:pPr>
        <w:spacing w:after="120" w:before="40"/>
      </w:pPr>
      <w:r>
        <w:rPr>
          <w:rFonts w:ascii="Arial" w:cs="Arial" w:eastAsia="Arial" w:hAnsi="Arial"/>
          <w:i/>
          <w:iCs/>
          <w:color w:val="595959"/>
          <w:sz w:val="18"/>
          <w:szCs w:val="18"/>
        </w:rPr>
        <w:t xml:space="preserve">Figure 4.6: Text-based overall process flow with parallel streams and convergence points, for conversion to draw.io.</w:t>
      </w:r>
    </w:p>
    <w:p>
      <w:pPr>
        <w:sectPr>
          <w:pgSz w:w="11906" w:h="16838" w:orient="portrait"/>
          <w:pgMar w:top="1440" w:right="1440" w:bottom="1440" w:left="1440" w:header="708" w:footer="708" w:gutter="0"/>
          <w:pgNumType/>
          <w:docGrid w:linePitch="360"/>
        </w:sectPr>
      </w:pPr>
    </w:p>
    <w:p>
      <w:pPr>
        <w:pStyle w:val="Heading2"/>
      </w:pPr>
      <w:r>
        <w:t xml:space="preserve">4.7   Process route sheet</w:t>
      </w:r>
    </w:p>
    <w:p>
      <w:pPr>
        <w:spacing w:after="150" w:line="280"/>
        <w:jc w:val="both"/>
      </w:pPr>
      <w:r>
        <w:rPr>
          <w:rFonts w:ascii="Arial" w:cs="Arial" w:eastAsia="Arial" w:hAnsi="Arial"/>
          <w:sz w:val="22"/>
          <w:szCs w:val="22"/>
        </w:rPr>
        <w:t xml:space="preserve">Table 4.7 is the preliminary process route sheet. Processing times are taken directly from the brief where provided. Where the brief states that a step depends on equipment, the time is shown as to be determined from the selected equipment, and for packaging it is shown as to be determined from the workstation design. The two 5 percent scrap points, tube cutting and sheet stamping, are flagged in the quality and design note column.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20"/>
        <w:gridCol w:w="1500"/>
        <w:gridCol w:w="1850"/>
        <w:gridCol w:w="1850"/>
        <w:gridCol w:w="1850"/>
        <w:gridCol w:w="2100"/>
        <w:gridCol w:w="2200"/>
        <w:gridCol w:w="1988"/>
      </w:tblGrid>
      <w:tr>
        <w:trPr>
          <w:tblHeader/>
        </w:trPr>
        <w:tc>
          <w:tcPr>
            <w:tcW w:type="dxa" w:w="62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Step</w:t>
            </w:r>
          </w:p>
        </w:tc>
        <w:tc>
          <w:tcPr>
            <w:tcW w:type="dxa" w:w="15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Component or assembly</w:t>
            </w:r>
          </w:p>
        </w:tc>
        <w:tc>
          <w:tcPr>
            <w:tcW w:type="dxa" w:w="18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Operation</w:t>
            </w:r>
          </w:p>
        </w:tc>
        <w:tc>
          <w:tcPr>
            <w:tcW w:type="dxa" w:w="18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Input material</w:t>
            </w:r>
          </w:p>
        </w:tc>
        <w:tc>
          <w:tcPr>
            <w:tcW w:type="dxa" w:w="185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Output</w:t>
            </w:r>
          </w:p>
        </w:tc>
        <w:tc>
          <w:tcPr>
            <w:tcW w:type="dxa" w:w="21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Processing time from brief</w:t>
            </w:r>
          </w:p>
        </w:tc>
        <w:tc>
          <w:tcPr>
            <w:tcW w:type="dxa" w:w="2200"/>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Equipment or workstation</w:t>
            </w:r>
          </w:p>
        </w:tc>
        <w:tc>
          <w:tcPr>
            <w:tcW w:type="dxa" w:w="1988"/>
            <w:tcBorders>
              <w:top w:val="single" w:color="B8B8B8" w:sz="1"/>
              <w:left w:val="single" w:color="B8B8B8" w:sz="1"/>
              <w:bottom w:val="single" w:color="B8B8B8" w:sz="1"/>
              <w:right w:val="single" w:color="B8B8B8" w:sz="1"/>
            </w:tcBorders>
            <w:shd w:fill="1F4E79" w:val="clear"/>
            <w:tcMar>
              <w:top w:type="dxa" w:w="60"/>
              <w:left w:type="dxa" w:w="110"/>
              <w:bottom w:type="dxa" w:w="60"/>
              <w:right w:type="dxa" w:w="110"/>
            </w:tcMar>
          </w:tcPr>
          <w:p>
            <w:pPr>
              <w:spacing w:after="0" w:line="240"/>
              <w:jc w:val="left"/>
            </w:pPr>
            <w:r>
              <w:rPr>
                <w:rFonts w:ascii="Arial" w:cs="Arial" w:eastAsia="Arial" w:hAnsi="Arial"/>
                <w:b/>
                <w:bCs/>
                <w:color w:val="FFFFFF"/>
                <w:sz w:val="16"/>
                <w:szCs w:val="16"/>
              </w:rPr>
              <w:t xml:space="preserve">Quality or design note</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Raw material</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Receiving and inspection</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Aluminium tube, sheet, bought-in items</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Inspected material in store</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Not specified in brief</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Receiving dock and inspection bay</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Incoming quality check</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20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Handle</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Cut handle</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Aluminium round tube</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150 mm tube sections (back and middle)</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15 s per cut (pipes per cut depend on equipment)</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Tube cutting station / saw</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5 percent scrap point; pieces per cut depend on equipment</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30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Middle handle section</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Internal thread</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150 mm tube section</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Internally threaded middle section</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20 s per pipe</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Threading machine</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Internal thread to receive grip</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40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Back handle section</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Stamp and form end to narrow</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150 mm tube section</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Narrowed-end tube</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5 s per pipe</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Stamping / forming station</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Prepares end for external thread</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50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Back handle section</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Knurling and external thread on grip</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Narrowed-end tube</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Threaded, knurled grip section</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 min per pipe</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Knurling and threading machine</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Forms grip and male thread</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60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Stamp shovel head</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Aluminium sheet</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blank</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2 s per part</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Stamping press</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5 percent scrap point</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70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Shape / bend shovel head</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blank</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Formed shovel head</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2 s per shovel head</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Press / bending station</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Forms head to shape</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80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Sharpen blade</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Formed shovel head</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Sharpened shovel head</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2 min per shovel</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Blade sharpening station</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Edge preparation</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90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Serrate blade edge</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Sharpened shovel head</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Serrated shovel head</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 min per shovel</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Serrating station</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Serrated cutting edge</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100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Hinge connector</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Stamp hinge connector</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Aluminium sheet</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Hinge connector blank</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2 s per part</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Stamping press</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5 percent scrap point</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110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Hinge connector</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Bend hinge connector</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Hinge connector blank</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Formed hinge connector</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5 s per part</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Bending station</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Bent to shape</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120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subassembly</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Rivet hinge connector to shovel head</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 hinge connector + rivet</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subassembly</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5 s per shovel</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Riveting station</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Forms hinged joint for folding</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130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subassembly</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Heat treat</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subassembly</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Heat-treated subassembly</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To be determined from selected equipment</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Heat-treatment oven / furnace</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Equipment-dependent; batch operation</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140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subassembly</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Sandblast</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Heat-treated subassembly</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Sandblasted subassembly</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To be determined from selected equipment</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Enclosed sandblasting cabinet / booth</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Extraction required; negligible mass effect</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150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Shovel head subassembly</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Hand polish to remove burrs</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Sandblasted subassembly</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Deburred subassembly</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 min per shovel head</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Manual polishing station</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Surface finishing</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160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All parts</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Powder-coat all parts (black)</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Handle sections + shovel head subassembly</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Black powder-coated parts</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To be determined from selected equipment</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Powder-coating line in separate enclosed area</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Fully enclosed and extracted; safety</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170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Finished shovel</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Final assembly</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Coated handle sections + coated subassembly + rivet</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Assembled folding shovel</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30 s per shovel</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Assembly workstation</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Grip screws into middle section; handle hinged to head</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180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Finished shovel</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Manual packaging and final visual inspection</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Assembled shovel + bag + box</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Packaged shovel</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To be determined from workstation design</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Manual packaging workstation</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Final visual quality check before storage</w:t>
            </w:r>
          </w:p>
        </w:tc>
      </w:tr>
      <w:tr>
        <w:tc>
          <w:tcPr>
            <w:tcW w:type="dxa" w:w="62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190</w:t>
            </w:r>
          </w:p>
        </w:tc>
        <w:tc>
          <w:tcPr>
            <w:tcW w:type="dxa" w:w="15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Finished goods</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Finished goods storage</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Packaged shovels</w:t>
            </w:r>
          </w:p>
        </w:tc>
        <w:tc>
          <w:tcPr>
            <w:tcW w:type="dxa" w:w="185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Stored finished goods</w:t>
            </w:r>
          </w:p>
        </w:tc>
        <w:tc>
          <w:tcPr>
            <w:tcW w:type="dxa" w:w="21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Not applicable</w:t>
            </w:r>
          </w:p>
        </w:tc>
        <w:tc>
          <w:tcPr>
            <w:tcW w:type="dxa" w:w="2200"/>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Finished goods store</w:t>
            </w:r>
          </w:p>
        </w:tc>
        <w:tc>
          <w:tcPr>
            <w:tcW w:type="dxa" w:w="1988"/>
            <w:tcBorders>
              <w:top w:val="single" w:color="B8B8B8" w:sz="1"/>
              <w:left w:val="single" w:color="B8B8B8" w:sz="1"/>
              <w:bottom w:val="single" w:color="B8B8B8" w:sz="1"/>
              <w:right w:val="single" w:color="B8B8B8" w:sz="1"/>
            </w:tcBorders>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Holds 4 weeks of stock</w:t>
            </w:r>
          </w:p>
        </w:tc>
      </w:tr>
      <w:tr>
        <w:tc>
          <w:tcPr>
            <w:tcW w:type="dxa" w:w="62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200</w:t>
            </w:r>
          </w:p>
        </w:tc>
        <w:tc>
          <w:tcPr>
            <w:tcW w:type="dxa" w:w="15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Finished goods</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Small order collection / large order dispatch</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Packaged shovels</w:t>
            </w:r>
          </w:p>
        </w:tc>
        <w:tc>
          <w:tcPr>
            <w:tcW w:type="dxa" w:w="185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Collected or dispatched order</w:t>
            </w:r>
          </w:p>
        </w:tc>
        <w:tc>
          <w:tcPr>
            <w:tcW w:type="dxa" w:w="21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Not applicable</w:t>
            </w:r>
          </w:p>
        </w:tc>
        <w:tc>
          <w:tcPr>
            <w:tcW w:type="dxa" w:w="2200"/>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Collection bay / dispatch dock</w:t>
            </w:r>
          </w:p>
        </w:tc>
        <w:tc>
          <w:tcPr>
            <w:tcW w:type="dxa" w:w="1988"/>
            <w:tcBorders>
              <w:top w:val="single" w:color="B8B8B8" w:sz="1"/>
              <w:left w:val="single" w:color="B8B8B8" w:sz="1"/>
              <w:bottom w:val="single" w:color="B8B8B8" w:sz="1"/>
              <w:right w:val="single" w:color="B8B8B8" w:sz="1"/>
            </w:tcBorders>
            <w:shd w:fill="EAF0F6" w:val="clear"/>
            <w:tcMar>
              <w:top w:type="dxa" w:w="60"/>
              <w:left w:type="dxa" w:w="110"/>
              <w:bottom w:type="dxa" w:w="60"/>
              <w:right w:type="dxa" w:w="110"/>
            </w:tcMar>
          </w:tcPr>
          <w:p>
            <w:pPr>
              <w:spacing w:after="0" w:line="240"/>
              <w:jc w:val="left"/>
            </w:pPr>
            <w:r>
              <w:rPr>
                <w:rFonts w:ascii="Arial" w:cs="Arial" w:eastAsia="Arial" w:hAnsi="Arial"/>
                <w:b w:val="false"/>
                <w:bCs w:val="false"/>
                <w:color w:val="000000"/>
                <w:sz w:val="16"/>
                <w:szCs w:val="16"/>
              </w:rPr>
              <w:t xml:space="preserve">Small = customer collection; large = company fleet</w:t>
            </w:r>
          </w:p>
        </w:tc>
      </w:tr>
    </w:tbl>
    <w:p>
      <w:pPr>
        <w:spacing w:after="120" w:before="40"/>
      </w:pPr>
      <w:r>
        <w:rPr>
          <w:rFonts w:ascii="Arial" w:cs="Arial" w:eastAsia="Arial" w:hAnsi="Arial"/>
          <w:i/>
          <w:iCs/>
          <w:color w:val="595959"/>
          <w:sz w:val="18"/>
          <w:szCs w:val="18"/>
        </w:rPr>
        <w:t xml:space="preserve">Table 4.7: Preliminary process route sheet (times as stated in the 2026 brief).</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10" w:before="220"/>
      <w:outlineLvl w:val="1"/>
    </w:pPr>
    <w:rPr>
      <w:rFonts w:ascii="Arial" w:cs="Arial" w:eastAsia="Arial" w:hAnsi="Arial"/>
      <w:b/>
      <w:bCs/>
      <w:color w:val="1F4E79"/>
      <w:sz w:val="26"/>
      <w:szCs w:val="26"/>
    </w:rPr>
  </w:style>
  <w:style w:type="paragraph" w:styleId="Heading3">
    <w:name w:val="Heading 3"/>
    <w:basedOn w:val="Normal"/>
    <w:next w:val="Normal"/>
    <w:qFormat/>
    <w:pPr>
      <w:keepNext/>
      <w:spacing w:after="70" w:before="150"/>
      <w:outlineLvl w:val="2"/>
    </w:pPr>
    <w:rPr>
      <w:rFonts w:ascii="Arial" w:cs="Arial" w:eastAsia="Arial" w:hAnsi="Arial"/>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DigMore Facility Design Sections 1 to 4</dc:title>
  <dc:creator>DigMore Facility Design</dc:creator>
  <cp:lastModifiedBy>Un-named</cp:lastModifiedBy>
  <cp:revision>1</cp:revision>
  <dcterms:created xsi:type="dcterms:W3CDTF">2026-06-06T15:34:58.270Z</dcterms:created>
  <dcterms:modified xsi:type="dcterms:W3CDTF">2026-06-06T15:34:58.271Z</dcterms:modified>
</cp:coreProperties>
</file>

<file path=docProps/custom.xml><?xml version="1.0" encoding="utf-8"?>
<Properties xmlns="http://schemas.openxmlformats.org/officeDocument/2006/custom-properties" xmlns:vt="http://schemas.openxmlformats.org/officeDocument/2006/docPropsVTypes"/>
</file>