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Arial" w:cs="Arial" w:eastAsia="Arial" w:hAnsi="Arial"/>
          <w:b/>
          <w:bCs/>
          <w:color w:val="1F4E79"/>
          <w:sz w:val="30"/>
          <w:szCs w:val="30"/>
        </w:rPr>
        <w:t xml:space="preserve">DigMore Folding Mini Shovel: Dedicated Manufacturing Facility Design</w:t>
      </w:r>
    </w:p>
    <w:p>
      <w:pPr>
        <w:spacing w:after="160"/>
        <w:jc w:val="center"/>
      </w:pPr>
      <w:r>
        <w:rPr>
          <w:rFonts w:ascii="Arial" w:cs="Arial" w:eastAsia="Arial" w:hAnsi="Arial"/>
          <w:color w:val="595959"/>
          <w:sz w:val="18"/>
          <w:szCs w:val="18"/>
        </w:rPr>
        <w:t xml:space="preserve">Main report: Sections 1 to 4. Detailed tables and calculations are in Appendices A to F.</w:t>
      </w:r>
    </w:p>
    <w:p>
      <w:pPr>
        <w:pStyle w:val="Heading1"/>
      </w:pPr>
      <w:r>
        <w:t xml:space="preserve">1   Project Background</w:t>
      </w:r>
    </w:p>
    <w:p>
      <w:pPr>
        <w:spacing w:after="130" w:line="276"/>
        <w:jc w:val="both"/>
      </w:pPr>
      <w:r>
        <w:rPr>
          <w:rFonts w:ascii="Arial" w:cs="Arial" w:eastAsia="Arial" w:hAnsi="Arial"/>
          <w:sz w:val="22"/>
          <w:szCs w:val="22"/>
        </w:rPr>
        <w:t xml:space="preserve">Facility design is the Industrial Engineering function that converts a product and its forecast demand into a physical system of departments, workstations, storage and support services. It aligns production capacity with demand, establishes efficient material and personnel flow, sizes storage for raw materials, work-in-progress and finished goods, separates hazardous operations, and integrates the support services a plant needs to operate. Because these decisions are interdependent and long-lived, they are resolved through a systematic engineering design process rather than ad hoc space allocation.</w:t>
      </w:r>
    </w:p>
    <w:p>
      <w:pPr>
        <w:spacing w:after="130" w:line="276"/>
        <w:jc w:val="both"/>
      </w:pPr>
      <w:r>
        <w:rPr>
          <w:rFonts w:ascii="Arial" w:cs="Arial" w:eastAsia="Arial" w:hAnsi="Arial"/>
          <w:sz w:val="22"/>
          <w:szCs w:val="22"/>
        </w:rPr>
        <w:t xml:space="preserve">DigMore Co. is an established shovel manufacturer with a broad local and international customer base. Management is extending its range with an all-purpose folding mini shovel for camping and outdoor use, assembled from three aluminium parts, two handle sections and a riveted shovel-head subassembly, finished in black powder coating and packed by hand. Demand for the new product is projected at 400 000 units per year.</w:t>
      </w:r>
    </w:p>
    <w:p>
      <w:pPr>
        <w:spacing w:after="130" w:line="276"/>
        <w:jc w:val="both"/>
      </w:pPr>
      <w:r>
        <w:rPr>
          <w:rFonts w:ascii="Arial" w:cs="Arial" w:eastAsia="Arial" w:hAnsi="Arial"/>
          <w:sz w:val="22"/>
          <w:szCs w:val="22"/>
        </w:rPr>
        <w:t xml:space="preserve">The existing plant, configured for DigMore's current shovel ranges, does not have the spare capacity, floor area or process route to absorb this volume without disrupting current production. Management therefore requires a new, dedicated facility for the mini shovel, with access from public roads and approximately 10 percent of space reserved for five-year growth. The facility must integrate, on one site, supplier receiving, indoor storage of all raw materials, the tube and sheet production processes, work-in-progress staging, a separate fully enclosed powder-coating area, manual packaging with a final visual check, finished goods storage, on-site collection of small orders, dispatch of large orders on the company truck fleet, and the supporting offices, amenities, parking, security, waste handling and utilities.</w:t>
      </w:r>
    </w:p>
    <w:p>
      <w:pPr>
        <w:spacing w:after="130" w:line="276"/>
        <w:jc w:val="both"/>
      </w:pPr>
      <w:r>
        <w:rPr>
          <w:rFonts w:ascii="Arial" w:cs="Arial" w:eastAsia="Arial" w:hAnsi="Arial"/>
          <w:sz w:val="22"/>
          <w:szCs w:val="22"/>
        </w:rPr>
        <w:t xml:space="preserve">This report applies a systematic engineering design approach to that facility. It establishes the design requirements and the demand basis, develops the product and process understanding, and provides the logical basis for the capacity analysis, the layout alternatives and the final Master Facility Plan that follow. The outcome is a justified Master Facility Plan that management can use for strategic decisions on the size, configuration and investment of the new plant.</w:t>
      </w:r>
    </w:p>
    <w:p>
      <w:pPr>
        <w:pStyle w:val="Heading1"/>
      </w:pPr>
      <w:r>
        <w:t xml:space="preserve">2   Design Problem, Aim, Objectives and Scope</w:t>
      </w:r>
    </w:p>
    <w:p>
      <w:pPr>
        <w:pStyle w:val="Heading2"/>
      </w:pPr>
      <w:r>
        <w:t xml:space="preserve">2.1   Design problem and aim</w:t>
      </w:r>
    </w:p>
    <w:p>
      <w:pPr>
        <w:spacing w:after="130" w:line="276"/>
        <w:jc w:val="both"/>
      </w:pPr>
      <w:r>
        <w:rPr>
          <w:rFonts w:ascii="Arial" w:cs="Arial" w:eastAsia="Arial" w:hAnsi="Arial"/>
          <w:sz w:val="22"/>
          <w:szCs w:val="22"/>
        </w:rPr>
        <w:t xml:space="preserve">DigMore requires a new dedicated facility for the folding mini shovel that can reliably meet a forecast demand of 400 000 units per year, yet the company has no existing capacity model, process route or space plan for this product. The design problem is to determine the production capacity, machinery and labour needed to meet this demand within the available operating time, and to arrange these, together with raw material, work-in-progress and finished goods storage, receiving, packaging and dispatch, and the supporting offices, amenities and services, into a safe and efficient facility. The layout must provide smooth material and personnel flow from receiving to dispatch, separate hazardous operations such as the enclosed powder-coating area, keep all materials indoors, accommodate supplier deliveries, on-site small-order collection and large-order dispatch on the company truck fleet, and reserve approximately 10 percent of space for future expansion.</w:t>
      </w:r>
    </w:p>
    <w:p>
      <w:pPr>
        <w:spacing w:after="130" w:line="276"/>
        <w:jc w:val="both"/>
      </w:pPr>
      <w:r>
        <w:rPr>
          <w:rFonts w:ascii="Arial" w:cs="Arial" w:eastAsia="Arial" w:hAnsi="Arial"/>
          <w:sz w:val="22"/>
          <w:szCs w:val="22"/>
        </w:rPr>
        <w:t xml:space="preserve">The aim of this facility design project is to develop, through a systematic engineering design approach, a justified Master Facility Plan for a new dedicated DigMore facility that meets the forecast demand for the folding mini shovel, provides safe and efficient material and personnel flow, satisfies the storage, receiving and dispatch policies, incorporates the required support facilities, and allows for future expansion.</w:t>
      </w:r>
    </w:p>
    <w:p>
      <w:pPr>
        <w:pStyle w:val="Heading2"/>
      </w:pPr>
      <w:r>
        <w:t xml:space="preserve">2.2   Design objectives</w:t>
      </w:r>
    </w:p>
    <w:p>
      <w:pPr>
        <w:spacing w:after="30" w:before="80"/>
      </w:pPr>
      <w:r>
        <w:rPr>
          <w:rFonts w:ascii="Arial" w:cs="Arial" w:eastAsia="Arial" w:hAnsi="Arial"/>
          <w:b/>
          <w:bCs/>
          <w:sz w:val="22"/>
          <w:szCs w:val="22"/>
        </w:rPr>
        <w:t xml:space="preserve">Production and capacity</w:t>
      </w:r>
    </w:p>
    <w:p>
      <w:pPr>
        <w:pStyle w:val="ListParagraph"/>
        <w:numPr>
          <w:ilvl w:val="0"/>
          <w:numId w:val="2"/>
        </w:numPr>
        <w:spacing w:after="30" w:line="264"/>
        <w:jc w:val="both"/>
      </w:pPr>
      <w:r>
        <w:rPr>
          <w:rFonts w:ascii="Arial" w:cs="Arial" w:eastAsia="Arial" w:hAnsi="Arial"/>
          <w:sz w:val="22"/>
          <w:szCs w:val="22"/>
        </w:rPr>
        <w:t xml:space="preserve">Determine the daily output and takt time, size the machines and operators per process allowing for scrap, and identify bottlenecks and the process changes needed to meet demand.</w:t>
      </w:r>
    </w:p>
    <w:p>
      <w:pPr>
        <w:spacing w:after="30" w:before="80"/>
      </w:pPr>
      <w:r>
        <w:rPr>
          <w:rFonts w:ascii="Arial" w:cs="Arial" w:eastAsia="Arial" w:hAnsi="Arial"/>
          <w:b/>
          <w:bCs/>
          <w:sz w:val="22"/>
          <w:szCs w:val="22"/>
        </w:rPr>
        <w:t xml:space="preserve">Flow and layout</w:t>
      </w:r>
    </w:p>
    <w:p>
      <w:pPr>
        <w:pStyle w:val="ListParagraph"/>
        <w:numPr>
          <w:ilvl w:val="0"/>
          <w:numId w:val="2"/>
        </w:numPr>
        <w:spacing w:after="30" w:line="264"/>
        <w:jc w:val="both"/>
      </w:pPr>
      <w:r>
        <w:rPr>
          <w:rFonts w:ascii="Arial" w:cs="Arial" w:eastAsia="Arial" w:hAnsi="Arial"/>
          <w:sz w:val="22"/>
          <w:szCs w:val="22"/>
        </w:rPr>
        <w:t xml:space="preserve">Define the departments and workstations and design the material and personnel flow from receiving to dispatch so as to minimise travel and back-tracking.</w:t>
      </w:r>
    </w:p>
    <w:p>
      <w:pPr>
        <w:spacing w:after="30" w:before="80"/>
      </w:pPr>
      <w:r>
        <w:rPr>
          <w:rFonts w:ascii="Arial" w:cs="Arial" w:eastAsia="Arial" w:hAnsi="Arial"/>
          <w:b/>
          <w:bCs/>
          <w:sz w:val="22"/>
          <w:szCs w:val="22"/>
        </w:rPr>
        <w:t xml:space="preserve">Storage and material handling</w:t>
      </w:r>
    </w:p>
    <w:p>
      <w:pPr>
        <w:pStyle w:val="ListParagraph"/>
        <w:numPr>
          <w:ilvl w:val="0"/>
          <w:numId w:val="2"/>
        </w:numPr>
        <w:spacing w:after="30" w:line="264"/>
        <w:jc w:val="both"/>
      </w:pPr>
      <w:r>
        <w:rPr>
          <w:rFonts w:ascii="Arial" w:cs="Arial" w:eastAsia="Arial" w:hAnsi="Arial"/>
          <w:sz w:val="22"/>
          <w:szCs w:val="22"/>
        </w:rPr>
        <w:t xml:space="preserve">Size the two-week raw material, work-in-progress and four-week finished goods storage indoors, and select the material handling equipment.</w:t>
      </w:r>
    </w:p>
    <w:p>
      <w:pPr>
        <w:spacing w:after="30" w:before="80"/>
      </w:pPr>
      <w:r>
        <w:rPr>
          <w:rFonts w:ascii="Arial" w:cs="Arial" w:eastAsia="Arial" w:hAnsi="Arial"/>
          <w:b/>
          <w:bCs/>
          <w:sz w:val="22"/>
          <w:szCs w:val="22"/>
        </w:rPr>
        <w:t xml:space="preserve">Receiving and dispatch</w:t>
      </w:r>
    </w:p>
    <w:p>
      <w:pPr>
        <w:pStyle w:val="ListParagraph"/>
        <w:numPr>
          <w:ilvl w:val="0"/>
          <w:numId w:val="2"/>
        </w:numPr>
        <w:spacing w:after="30" w:line="264"/>
        <w:jc w:val="both"/>
      </w:pPr>
      <w:r>
        <w:rPr>
          <w:rFonts w:ascii="Arial" w:cs="Arial" w:eastAsia="Arial" w:hAnsi="Arial"/>
          <w:sz w:val="22"/>
          <w:szCs w:val="22"/>
        </w:rPr>
        <w:t xml:space="preserve">Provide supplier receiving, on-site small-order collection, large-order dispatch and truck-fleet space, and define the small and large order quantities.</w:t>
      </w:r>
    </w:p>
    <w:p>
      <w:pPr>
        <w:spacing w:after="30" w:before="80"/>
      </w:pPr>
      <w:r>
        <w:rPr>
          <w:rFonts w:ascii="Arial" w:cs="Arial" w:eastAsia="Arial" w:hAnsi="Arial"/>
          <w:b/>
          <w:bCs/>
          <w:sz w:val="22"/>
          <w:szCs w:val="22"/>
        </w:rPr>
        <w:t xml:space="preserve">Safety, quality and support facilities</w:t>
      </w:r>
    </w:p>
    <w:p>
      <w:pPr>
        <w:pStyle w:val="ListParagraph"/>
        <w:numPr>
          <w:ilvl w:val="0"/>
          <w:numId w:val="2"/>
        </w:numPr>
        <w:spacing w:after="30" w:line="264"/>
        <w:jc w:val="both"/>
      </w:pPr>
      <w:r>
        <w:rPr>
          <w:rFonts w:ascii="Arial" w:cs="Arial" w:eastAsia="Arial" w:hAnsi="Arial"/>
          <w:sz w:val="22"/>
          <w:szCs w:val="22"/>
        </w:rPr>
        <w:t xml:space="preserve">Enclose powder coating and separate hazardous operations and pedestrian and vehicle flow, embed the process flow charts and the final visual inspection, and provide offices, amenities, parking, security, waste handling and utilities.</w:t>
      </w:r>
    </w:p>
    <w:p>
      <w:pPr>
        <w:spacing w:after="30" w:before="80"/>
      </w:pPr>
      <w:r>
        <w:rPr>
          <w:rFonts w:ascii="Arial" w:cs="Arial" w:eastAsia="Arial" w:hAnsi="Arial"/>
          <w:b/>
          <w:bCs/>
          <w:sz w:val="22"/>
          <w:szCs w:val="22"/>
        </w:rPr>
        <w:t xml:space="preserve">Final Master Facility Plan</w:t>
      </w:r>
    </w:p>
    <w:p>
      <w:pPr>
        <w:pStyle w:val="ListParagraph"/>
        <w:numPr>
          <w:ilvl w:val="0"/>
          <w:numId w:val="2"/>
        </w:numPr>
        <w:spacing w:after="30" w:line="264"/>
        <w:jc w:val="both"/>
      </w:pPr>
      <w:r>
        <w:rPr>
          <w:rFonts w:ascii="Arial" w:cs="Arial" w:eastAsia="Arial" w:hAnsi="Arial"/>
          <w:sz w:val="22"/>
          <w:szCs w:val="22"/>
        </w:rPr>
        <w:t xml:space="preserve">Reserve approximately 10 percent of space for expansion, develop and evaluate at least three layout alternatives, and deliver a justified Master Facility Plan.</w:t>
      </w:r>
    </w:p>
    <w:p>
      <w:pPr>
        <w:pStyle w:val="Heading2"/>
      </w:pPr>
      <w:r>
        <w:t xml:space="preserve">2.3   Scope, exclusions and limitations</w:t>
      </w:r>
    </w:p>
    <w:p>
      <w:pPr>
        <w:spacing w:after="130" w:line="276"/>
        <w:jc w:val="both"/>
      </w:pPr>
      <w:r>
        <w:rPr>
          <w:rFonts w:ascii="Arial" w:cs="Arial" w:eastAsia="Arial" w:hAnsi="Arial"/>
          <w:sz w:val="22"/>
          <w:szCs w:val="22"/>
        </w:rPr>
        <w:t xml:space="preserve">The scope covers the conceptual design of the new dedicated DigMore facility: the demand basis and capacity analysis, the product and process understanding, raw material, work-in-progress and finished goods storage and material handling, receiving, on-site collection and dispatch, the support facilities, the development and evaluation of at least three layout alternatives, and the final Master Facility Plan.</w:t>
      </w:r>
    </w:p>
    <w:p>
      <w:pPr>
        <w:spacing w:after="130" w:line="276"/>
        <w:jc w:val="both"/>
      </w:pPr>
      <w:r>
        <w:rPr>
          <w:rFonts w:ascii="Arial" w:cs="Arial" w:eastAsia="Arial" w:hAnsi="Arial"/>
          <w:sz w:val="22"/>
          <w:szCs w:val="22"/>
        </w:rPr>
        <w:t xml:space="preserve">The following are excluded except where an assumption is required for space planning: civil and structural design; detailed heating, ventilation and air-conditioning, electrical reticulation and plumbing design; final supplier procurement; detailed environmental permitting; full financial feasibility; and exact equipment dimensions where supplier data is not confirmed. The design is a conceptual front-end plan and not a construction specification, and equipment-dependent values are treated as designer assumptions or supplier-based estimates to be verified during detailed design.</w:t>
      </w:r>
    </w:p>
    <w:p>
      <w:pPr>
        <w:pStyle w:val="Heading1"/>
      </w:pPr>
      <w:r>
        <w:t xml:space="preserve">3   Design Requirements, Assumptions and Constraints</w:t>
      </w:r>
    </w:p>
    <w:p>
      <w:pPr>
        <w:pStyle w:val="Heading2"/>
      </w:pPr>
      <w:r>
        <w:t xml:space="preserve">3.1   Design requirements summary</w:t>
      </w:r>
    </w:p>
    <w:p>
      <w:pPr>
        <w:spacing w:after="130" w:line="276"/>
        <w:jc w:val="both"/>
      </w:pPr>
      <w:r>
        <w:rPr>
          <w:rFonts w:ascii="Arial" w:cs="Arial" w:eastAsia="Arial" w:hAnsi="Arial"/>
          <w:sz w:val="22"/>
          <w:szCs w:val="22"/>
        </w:rPr>
        <w:t xml:space="preserve">Table 3.1 summarises the design requirements derived from the brief. The full requirements traceability table is provided in Appendix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Design area</w:t>
            </w:r>
          </w:p>
        </w:tc>
        <w:tc>
          <w:tcPr>
            <w:tcW w:type="dxa" w:w="36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Requirement summary</w:t>
            </w:r>
          </w:p>
        </w:tc>
        <w:tc>
          <w:tcPr>
            <w:tcW w:type="dxa" w:w="3226"/>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Design implication</w:t>
            </w:r>
          </w:p>
        </w:tc>
      </w:tr>
      <w:tr>
        <w:tc>
          <w:tcPr>
            <w:tcW w:type="dxa" w:w="22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Production demand and operating time</w:t>
            </w:r>
          </w:p>
        </w:tc>
        <w:tc>
          <w:tcPr>
            <w:tcW w:type="dxa" w:w="36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400 000 shovels/yr (about 1 819/day) in one 9-hour shift, 480 effective minutes</w:t>
            </w:r>
          </w:p>
        </w:tc>
        <w:tc>
          <w:tcPr>
            <w:tcW w:type="dxa" w:w="32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Drives capacity, machine and labour sizing</w:t>
            </w:r>
          </w:p>
        </w:tc>
      </w:tr>
      <w:tr>
        <w:tc>
          <w:tcPr>
            <w:tcW w:type="dxa" w:w="22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Scrap</w:t>
            </w:r>
          </w:p>
        </w:tc>
        <w:tc>
          <w:tcPr>
            <w:tcW w:type="dxa" w:w="36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5 percent at tube cutting and sheet stamping only</w:t>
            </w:r>
          </w:p>
        </w:tc>
        <w:tc>
          <w:tcPr>
            <w:tcW w:type="dxa" w:w="32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Cutting and stamping volumes inflated to yield good parts</w:t>
            </w:r>
          </w:p>
        </w:tc>
      </w:tr>
      <w:tr>
        <w:tc>
          <w:tcPr>
            <w:tcW w:type="dxa" w:w="22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Raw material and finished goods storage</w:t>
            </w:r>
          </w:p>
        </w:tc>
        <w:tc>
          <w:tcPr>
            <w:tcW w:type="dxa" w:w="36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Two weeks raw material, four weeks finished goods, all indoors</w:t>
            </w:r>
          </w:p>
        </w:tc>
        <w:tc>
          <w:tcPr>
            <w:tcW w:type="dxa" w:w="32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Sets indoor store capacities and 3D space</w:t>
            </w:r>
          </w:p>
        </w:tc>
      </w:tr>
      <w:tr>
        <w:tc>
          <w:tcPr>
            <w:tcW w:type="dxa" w:w="22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WIP staging</w:t>
            </w:r>
          </w:p>
        </w:tc>
        <w:tc>
          <w:tcPr>
            <w:tcW w:type="dxa" w:w="36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Designer-defined buffers at decoupling points</w:t>
            </w:r>
          </w:p>
        </w:tc>
        <w:tc>
          <w:tcPr>
            <w:tcW w:type="dxa" w:w="32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Requires WIP space in the flow and layout</w:t>
            </w:r>
          </w:p>
        </w:tc>
      </w:tr>
      <w:tr>
        <w:tc>
          <w:tcPr>
            <w:tcW w:type="dxa" w:w="22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Receiving and dispatch</w:t>
            </w:r>
          </w:p>
        </w:tc>
        <w:tc>
          <w:tcPr>
            <w:tcW w:type="dxa" w:w="36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Supplier receiving, on-site small-order collection, large-order dispatch on own fleet, weekday hours</w:t>
            </w:r>
          </w:p>
        </w:tc>
        <w:tc>
          <w:tcPr>
            <w:tcW w:type="dxa" w:w="32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Receiving dock, collection bay, dispatch dock and truck space</w:t>
            </w:r>
          </w:p>
        </w:tc>
      </w:tr>
      <w:tr>
        <w:tc>
          <w:tcPr>
            <w:tcW w:type="dxa" w:w="22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Powder coating safety</w:t>
            </w:r>
          </w:p>
        </w:tc>
        <w:tc>
          <w:tcPr>
            <w:tcW w:type="dxa" w:w="36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Separate, fully enclosed, extracted area</w:t>
            </w:r>
          </w:p>
        </w:tc>
        <w:tc>
          <w:tcPr>
            <w:tcW w:type="dxa" w:w="32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Dedicated enclosed department isolated from assembly and packaging</w:t>
            </w:r>
          </w:p>
        </w:tc>
      </w:tr>
      <w:tr>
        <w:tc>
          <w:tcPr>
            <w:tcW w:type="dxa" w:w="22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Quality management</w:t>
            </w:r>
          </w:p>
        </w:tc>
        <w:tc>
          <w:tcPr>
            <w:tcW w:type="dxa" w:w="36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Process flow charts in the QMS; final visual check at hand packaging</w:t>
            </w:r>
          </w:p>
        </w:tc>
        <w:tc>
          <w:tcPr>
            <w:tcW w:type="dxa" w:w="32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Flow charts embedded; manual inspection workstation</w:t>
            </w:r>
          </w:p>
        </w:tc>
      </w:tr>
      <w:tr>
        <w:tc>
          <w:tcPr>
            <w:tcW w:type="dxa" w:w="22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Support facilities</w:t>
            </w:r>
          </w:p>
        </w:tc>
        <w:tc>
          <w:tcPr>
            <w:tcW w:type="dxa" w:w="36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Offices, amenities, parking, security, waste handling, utilities</w:t>
            </w:r>
          </w:p>
        </w:tc>
        <w:tc>
          <w:tcPr>
            <w:tcW w:type="dxa" w:w="32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Support areas sized to personnel and site</w:t>
            </w:r>
          </w:p>
        </w:tc>
      </w:tr>
      <w:tr>
        <w:tc>
          <w:tcPr>
            <w:tcW w:type="dxa" w:w="22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Future expansion</w:t>
            </w:r>
          </w:p>
        </w:tc>
        <w:tc>
          <w:tcPr>
            <w:tcW w:type="dxa" w:w="36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About 10 percent spare space</w:t>
            </w:r>
          </w:p>
        </w:tc>
        <w:tc>
          <w:tcPr>
            <w:tcW w:type="dxa" w:w="32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Spare area reserved in the layout</w:t>
            </w:r>
          </w:p>
        </w:tc>
      </w:tr>
      <w:tr>
        <w:tc>
          <w:tcPr>
            <w:tcW w:type="dxa" w:w="22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Master Facility Plan</w:t>
            </w:r>
          </w:p>
        </w:tc>
        <w:tc>
          <w:tcPr>
            <w:tcW w:type="dxa" w:w="36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At least three alternatives, justified choice, final MFP</w:t>
            </w:r>
          </w:p>
        </w:tc>
        <w:tc>
          <w:tcPr>
            <w:tcW w:type="dxa" w:w="32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Structured alternatives, evaluation and MFP</w:t>
            </w:r>
          </w:p>
        </w:tc>
      </w:tr>
    </w:tbl>
    <w:p>
      <w:pPr>
        <w:spacing w:after="130" w:before="40"/>
      </w:pPr>
      <w:r>
        <w:rPr>
          <w:rFonts w:ascii="Arial" w:cs="Arial" w:eastAsia="Arial" w:hAnsi="Arial"/>
          <w:i/>
          <w:iCs/>
          <w:color w:val="595959"/>
          <w:sz w:val="18"/>
          <w:szCs w:val="18"/>
        </w:rPr>
        <w:t xml:space="preserve">Table 3.1: Design requirements summary (full traceability in Appendix A).</w:t>
      </w:r>
    </w:p>
    <w:p>
      <w:pPr>
        <w:pStyle w:val="Heading2"/>
      </w:pPr>
      <w:r>
        <w:t xml:space="preserve">3.2   Key assumptions</w:t>
      </w:r>
    </w:p>
    <w:p>
      <w:pPr>
        <w:spacing w:after="130" w:line="276"/>
        <w:jc w:val="both"/>
      </w:pPr>
      <w:r>
        <w:rPr>
          <w:rFonts w:ascii="Arial" w:cs="Arial" w:eastAsia="Arial" w:hAnsi="Arial"/>
          <w:sz w:val="22"/>
          <w:szCs w:val="22"/>
        </w:rPr>
        <w:t xml:space="preserve">Table 3.2 lists the critical designer assumptions made where the brief leaves a value open. The full assumptions log, with basis, impact and verification status, is in Appendix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Assumption</w:t>
            </w:r>
          </w:p>
        </w:tc>
        <w:tc>
          <w:tcPr>
            <w:tcW w:type="dxa" w:w="28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Basis</w:t>
            </w:r>
          </w:p>
        </w:tc>
        <w:tc>
          <w:tcPr>
            <w:tcW w:type="dxa" w:w="3626"/>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Design effect</w:t>
            </w:r>
          </w:p>
        </w:tc>
      </w:tr>
      <w:tr>
        <w:tc>
          <w:tcPr>
            <w:tcW w:type="dxa" w:w="26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Small order up to one pallet (customer-collected); large order more than one pallet (own fleet)</w:t>
            </w:r>
          </w:p>
        </w:tc>
        <w:tc>
          <w:tcPr>
            <w:tcW w:type="dxa" w:w="28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Brief leaves order sizes to the designer</w:t>
            </w:r>
          </w:p>
        </w:tc>
        <w:tc>
          <w:tcPr>
            <w:tcW w:type="dxa" w:w="36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Sizes the collection bay, dispatch dock and truck space</w:t>
            </w:r>
          </w:p>
        </w:tc>
      </w:tr>
      <w:tr>
        <w:tc>
          <w:tcPr>
            <w:tcW w:type="dxa" w:w="26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WIP buffer of about one shift at decoupling points</w:t>
            </w:r>
          </w:p>
        </w:tc>
        <w:tc>
          <w:tcPr>
            <w:tcW w:type="dxa" w:w="28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Brief leaves WIP to the designer</w:t>
            </w:r>
          </w:p>
        </w:tc>
        <w:tc>
          <w:tcPr>
            <w:tcW w:type="dxa" w:w="36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Sets WIP staging space in the layout</w:t>
            </w:r>
          </w:p>
        </w:tc>
      </w:tr>
      <w:tr>
        <w:tc>
          <w:tcPr>
            <w:tcW w:type="dxa" w:w="26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Deliveries and dispatch on weekdays within the inventory buffers</w:t>
            </w:r>
          </w:p>
        </w:tc>
        <w:tc>
          <w:tcPr>
            <w:tcW w:type="dxa" w:w="28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Brief allows negotiated weekday schedules</w:t>
            </w:r>
          </w:p>
        </w:tc>
        <w:tc>
          <w:tcPr>
            <w:tcW w:type="dxa" w:w="36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Receiving and dispatch dock use and store turnover</w:t>
            </w:r>
          </w:p>
        </w:tc>
      </w:tr>
      <w:tr>
        <w:tc>
          <w:tcPr>
            <w:tcW w:type="dxa" w:w="26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Packaging unit load: bag per shovel, then boxes, then pallets</w:t>
            </w:r>
          </w:p>
        </w:tc>
        <w:tc>
          <w:tcPr>
            <w:tcW w:type="dxa" w:w="28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Brief: bag-then-box hand packing</w:t>
            </w:r>
          </w:p>
        </w:tc>
        <w:tc>
          <w:tcPr>
            <w:tcW w:type="dxa" w:w="36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Drives finished goods store, order sizes and handling</w:t>
            </w:r>
          </w:p>
        </w:tc>
      </w:tr>
      <w:tr>
        <w:tc>
          <w:tcPr>
            <w:tcW w:type="dxa" w:w="26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Material handling by forklift, pallet truck and trolley</w:t>
            </w:r>
          </w:p>
        </w:tc>
        <w:tc>
          <w:tcPr>
            <w:tcW w:type="dxa" w:w="28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Standard for the loads handled</w:t>
            </w:r>
          </w:p>
        </w:tc>
        <w:tc>
          <w:tcPr>
            <w:tcW w:type="dxa" w:w="36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Aisle widths and dock design</w:t>
            </w:r>
          </w:p>
        </w:tc>
      </w:tr>
      <w:tr>
        <w:tc>
          <w:tcPr>
            <w:tcW w:type="dxa" w:w="26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Main aisle about 3.0 to 3.7 m; pedestrian about 1.5 m</w:t>
            </w:r>
          </w:p>
        </w:tc>
        <w:tc>
          <w:tcPr>
            <w:tcW w:type="dxa" w:w="28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Depends on the chosen equipment</w:t>
            </w:r>
          </w:p>
        </w:tc>
        <w:tc>
          <w:tcPr>
            <w:tcW w:type="dxa" w:w="36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Floor area and flow</w:t>
            </w:r>
          </w:p>
        </w:tc>
      </w:tr>
      <w:tr>
        <w:tc>
          <w:tcPr>
            <w:tcW w:type="dxa" w:w="26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Office and supervisor numbers (per named roles; about one supervisor per department)</w:t>
            </w:r>
          </w:p>
        </w:tc>
        <w:tc>
          <w:tcPr>
            <w:tcW w:type="dxa" w:w="28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Brief names the roles but not the counts</w:t>
            </w:r>
          </w:p>
        </w:tc>
        <w:tc>
          <w:tcPr>
            <w:tcW w:type="dxa" w:w="36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Office space and labour</w:t>
            </w:r>
          </w:p>
        </w:tc>
      </w:tr>
      <w:tr>
        <w:tc>
          <w:tcPr>
            <w:tcW w:type="dxa" w:w="26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Equipment dimensions and equipment-dependent cycle times</w:t>
            </w:r>
          </w:p>
        </w:tc>
        <w:tc>
          <w:tcPr>
            <w:tcW w:type="dxa" w:w="28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Not given in the brief</w:t>
            </w:r>
          </w:p>
        </w:tc>
        <w:tc>
          <w:tcPr>
            <w:tcW w:type="dxa" w:w="36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Supplier-based estimates required; verify in detailed design</w:t>
            </w:r>
          </w:p>
        </w:tc>
      </w:tr>
    </w:tbl>
    <w:p>
      <w:pPr>
        <w:spacing w:after="130" w:before="40"/>
      </w:pPr>
      <w:r>
        <w:rPr>
          <w:rFonts w:ascii="Arial" w:cs="Arial" w:eastAsia="Arial" w:hAnsi="Arial"/>
          <w:i/>
          <w:iCs/>
          <w:color w:val="595959"/>
          <w:sz w:val="18"/>
          <w:szCs w:val="18"/>
        </w:rPr>
        <w:t xml:space="preserve">Table 3.2: Key assumptions (full log in Appendix B).</w:t>
      </w:r>
    </w:p>
    <w:p>
      <w:pPr>
        <w:pStyle w:val="Heading2"/>
      </w:pPr>
      <w:r>
        <w:t xml:space="preserve">3.3   Design constraints and implications</w:t>
      </w:r>
    </w:p>
    <w:p>
      <w:pPr>
        <w:spacing w:after="130" w:line="276"/>
        <w:jc w:val="both"/>
      </w:pPr>
      <w:r>
        <w:rPr>
          <w:rFonts w:ascii="Arial" w:cs="Arial" w:eastAsia="Arial" w:hAnsi="Arial"/>
          <w:sz w:val="22"/>
          <w:szCs w:val="22"/>
        </w:rPr>
        <w:t xml:space="preserve">Table 3.3 lists the confirmed constraints fixed by the brief; detailed constraint notes are in Appendix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Constraint</w:t>
            </w:r>
          </w:p>
        </w:tc>
        <w:tc>
          <w:tcPr>
            <w:tcW w:type="dxa" w:w="4826"/>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Design implication</w:t>
            </w:r>
          </w:p>
        </w:tc>
      </w:tr>
      <w:tr>
        <w:tc>
          <w:tcPr>
            <w:tcW w:type="dxa" w:w="42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400 000 shovels/yr; 220 workdays; one 9-hour shift, 480 effective minutes</w:t>
            </w:r>
          </w:p>
        </w:tc>
        <w:tc>
          <w:tcPr>
            <w:tcW w:type="dxa" w:w="48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Capacity target and takt basis</w:t>
            </w:r>
          </w:p>
        </w:tc>
      </w:tr>
      <w:tr>
        <w:tc>
          <w:tcPr>
            <w:tcW w:type="dxa" w:w="42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5 percent scrap at tube cutting and sheet stamping only</w:t>
            </w:r>
          </w:p>
        </w:tc>
        <w:tc>
          <w:tcPr>
            <w:tcW w:type="dxa" w:w="48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Inflate those volumes; no other scrap</w:t>
            </w:r>
          </w:p>
        </w:tc>
      </w:tr>
      <w:tr>
        <w:tc>
          <w:tcPr>
            <w:tcW w:type="dxa" w:w="42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Two weeks raw material and four weeks finished goods; all materials stored indoors</w:t>
            </w:r>
          </w:p>
        </w:tc>
        <w:tc>
          <w:tcPr>
            <w:tcW w:type="dxa" w:w="48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Indoor store capacities</w:t>
            </w:r>
          </w:p>
        </w:tc>
      </w:tr>
      <w:tr>
        <w:tc>
          <w:tcPr>
            <w:tcW w:type="dxa" w:w="42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Powder coating in a separate, fully enclosed area</w:t>
            </w:r>
          </w:p>
        </w:tc>
        <w:tc>
          <w:tcPr>
            <w:tcW w:type="dxa" w:w="48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Enclosed, extracted department</w:t>
            </w:r>
          </w:p>
        </w:tc>
      </w:tr>
      <w:tr>
        <w:tc>
          <w:tcPr>
            <w:tcW w:type="dxa" w:w="42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All packaging by hand with a final visual check</w:t>
            </w:r>
          </w:p>
        </w:tc>
        <w:tc>
          <w:tcPr>
            <w:tcW w:type="dxa" w:w="48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Manual packaging and inspection station</w:t>
            </w:r>
          </w:p>
        </w:tc>
      </w:tr>
      <w:tr>
        <w:tc>
          <w:tcPr>
            <w:tcW w:type="dxa" w:w="42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Deliveries and collections during weekday working hours only</w:t>
            </w:r>
          </w:p>
        </w:tc>
        <w:tc>
          <w:tcPr>
            <w:tcW w:type="dxa" w:w="48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Scheduling within the shift</w:t>
            </w:r>
          </w:p>
        </w:tc>
      </w:tr>
      <w:tr>
        <w:tc>
          <w:tcPr>
            <w:tcW w:type="dxa" w:w="42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Large orders on DigMore's own truck fleet; access from public roads</w:t>
            </w:r>
          </w:p>
        </w:tc>
        <w:tc>
          <w:tcPr>
            <w:tcW w:type="dxa" w:w="48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On-site truck space and controlled site access</w:t>
            </w:r>
          </w:p>
        </w:tc>
      </w:tr>
      <w:tr>
        <w:tc>
          <w:tcPr>
            <w:tcW w:type="dxa" w:w="42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Approximately 10 percent of space reserved for future expansion</w:t>
            </w:r>
          </w:p>
        </w:tc>
        <w:tc>
          <w:tcPr>
            <w:tcW w:type="dxa" w:w="48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Spare area in the layout</w:t>
            </w:r>
          </w:p>
        </w:tc>
      </w:tr>
      <w:tr>
        <w:tc>
          <w:tcPr>
            <w:tcW w:type="dxa" w:w="42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Process flow charts must form part of the quality management system</w:t>
            </w:r>
          </w:p>
        </w:tc>
        <w:tc>
          <w:tcPr>
            <w:tcW w:type="dxa" w:w="48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Flow charts embedded in the report</w:t>
            </w:r>
          </w:p>
        </w:tc>
      </w:tr>
      <w:tr>
        <w:tc>
          <w:tcPr>
            <w:tcW w:type="dxa" w:w="42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MFP to include receiving, dispatch, production, storage, offices and support</w:t>
            </w:r>
          </w:p>
        </w:tc>
        <w:tc>
          <w:tcPr>
            <w:tcW w:type="dxa" w:w="48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Scope of the final plan</w:t>
            </w:r>
          </w:p>
        </w:tc>
      </w:tr>
    </w:tbl>
    <w:p>
      <w:pPr>
        <w:spacing w:after="130" w:before="40"/>
      </w:pPr>
      <w:r>
        <w:rPr>
          <w:rFonts w:ascii="Arial" w:cs="Arial" w:eastAsia="Arial" w:hAnsi="Arial"/>
          <w:i/>
          <w:iCs/>
          <w:color w:val="595959"/>
          <w:sz w:val="18"/>
          <w:szCs w:val="18"/>
        </w:rPr>
        <w:t xml:space="preserve">Table 3.3: Confirmed constraints from the 2026 brief.</w:t>
      </w:r>
    </w:p>
    <w:p>
      <w:pPr>
        <w:pStyle w:val="Heading1"/>
      </w:pPr>
      <w:r>
        <w:t xml:space="preserve">4   Product and Process Understanding</w:t>
      </w:r>
    </w:p>
    <w:p>
      <w:pPr>
        <w:pStyle w:val="Heading2"/>
      </w:pPr>
      <w:r>
        <w:t xml:space="preserve">4.1   Product structure and materials</w:t>
      </w:r>
    </w:p>
    <w:p>
      <w:pPr>
        <w:spacing w:after="130" w:line="276"/>
        <w:jc w:val="both"/>
      </w:pPr>
      <w:r>
        <w:rPr>
          <w:rFonts w:ascii="Arial" w:cs="Arial" w:eastAsia="Arial" w:hAnsi="Arial"/>
          <w:sz w:val="22"/>
          <w:szCs w:val="22"/>
        </w:rPr>
        <w:t xml:space="preserve">The DigMore folding mini shovel is assembled from three manufactured aluminium parts and bought-in items. The back handle section is a 150 mm round-tube section, narrowed and externally threaded at one end with a knurled grip at the other. The middle handle section is a 150 mm round-tube section with an internal thread that receives the grip, and it attaches to the shovel head through a hinge secured with a rivet, giving the folding action. The shovel head and hinge connector are stamped from aluminium sheet, bent to shape and riveted together; the finished head is 150 mm long by 120 mm wide. The shovel is finished in black powder coating and packed by hand into a bought-in bag and carton.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600"/>
        <w:gridCol w:w="2426"/>
      </w:tblGrid>
      <w:tr>
        <w:trPr>
          <w:tblHeader/>
        </w:trPr>
        <w:tc>
          <w:tcPr>
            <w:tcW w:type="dxa" w:w="19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Product element</w:t>
            </w:r>
          </w:p>
        </w:tc>
        <w:tc>
          <w:tcPr>
            <w:tcW w:type="dxa" w:w="21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Material or bought-in item</w:t>
            </w:r>
          </w:p>
        </w:tc>
        <w:tc>
          <w:tcPr>
            <w:tcW w:type="dxa" w:w="26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Main process</w:t>
            </w:r>
          </w:p>
        </w:tc>
        <w:tc>
          <w:tcPr>
            <w:tcW w:type="dxa" w:w="2426"/>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Design relevance</w:t>
            </w:r>
          </w:p>
        </w:tc>
      </w:tr>
      <w:tr>
        <w:tc>
          <w:tcPr>
            <w:tcW w:type="dxa" w:w="1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Back handle section</w:t>
            </w:r>
          </w:p>
        </w:tc>
        <w:tc>
          <w:tcPr>
            <w:tcW w:type="dxa" w:w="2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Aluminium round tube</w:t>
            </w:r>
          </w:p>
        </w:tc>
        <w:tc>
          <w:tcPr>
            <w:tcW w:type="dxa" w:w="26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Cut, narrow, thread, knurl</w:t>
            </w:r>
          </w:p>
        </w:tc>
        <w:tc>
          <w:tcPr>
            <w:tcW w:type="dxa" w:w="24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Tube cutting and forming workstations</w:t>
            </w:r>
          </w:p>
        </w:tc>
      </w:tr>
      <w:tr>
        <w:tc>
          <w:tcPr>
            <w:tcW w:type="dxa" w:w="1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Middle handle section</w:t>
            </w:r>
          </w:p>
        </w:tc>
        <w:tc>
          <w:tcPr>
            <w:tcW w:type="dxa" w:w="2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Aluminium round tube</w:t>
            </w:r>
          </w:p>
        </w:tc>
        <w:tc>
          <w:tcPr>
            <w:tcW w:type="dxa" w:w="26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Cut, internal thread</w:t>
            </w:r>
          </w:p>
        </w:tc>
        <w:tc>
          <w:tcPr>
            <w:tcW w:type="dxa" w:w="24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Tube cutting and threading</w:t>
            </w:r>
          </w:p>
        </w:tc>
      </w:tr>
      <w:tr>
        <w:tc>
          <w:tcPr>
            <w:tcW w:type="dxa" w:w="1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Shovel head</w:t>
            </w:r>
          </w:p>
        </w:tc>
        <w:tc>
          <w:tcPr>
            <w:tcW w:type="dxa" w:w="2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Aluminium sheet</w:t>
            </w:r>
          </w:p>
        </w:tc>
        <w:tc>
          <w:tcPr>
            <w:tcW w:type="dxa" w:w="26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Stamp, bend, sharpen, serrate</w:t>
            </w:r>
          </w:p>
        </w:tc>
        <w:tc>
          <w:tcPr>
            <w:tcW w:type="dxa" w:w="24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Sheet stamping and finishing</w:t>
            </w:r>
          </w:p>
        </w:tc>
      </w:tr>
      <w:tr>
        <w:tc>
          <w:tcPr>
            <w:tcW w:type="dxa" w:w="1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Hinge connector</w:t>
            </w:r>
          </w:p>
        </w:tc>
        <w:tc>
          <w:tcPr>
            <w:tcW w:type="dxa" w:w="2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Aluminium sheet</w:t>
            </w:r>
          </w:p>
        </w:tc>
        <w:tc>
          <w:tcPr>
            <w:tcW w:type="dxa" w:w="26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Stamp, bend</w:t>
            </w:r>
          </w:p>
        </w:tc>
        <w:tc>
          <w:tcPr>
            <w:tcW w:type="dxa" w:w="24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Sheet stamping</w:t>
            </w:r>
          </w:p>
        </w:tc>
      </w:tr>
      <w:tr>
        <w:tc>
          <w:tcPr>
            <w:tcW w:type="dxa" w:w="1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Rivet</w:t>
            </w:r>
          </w:p>
        </w:tc>
        <w:tc>
          <w:tcPr>
            <w:tcW w:type="dxa" w:w="2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Bought-in (assumption)</w:t>
            </w:r>
          </w:p>
        </w:tc>
        <w:tc>
          <w:tcPr>
            <w:tcW w:type="dxa" w:w="26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Riveting</w:t>
            </w:r>
          </w:p>
        </w:tc>
        <w:tc>
          <w:tcPr>
            <w:tcW w:type="dxa" w:w="24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Subassembly; quantity to verify</w:t>
            </w:r>
          </w:p>
        </w:tc>
      </w:tr>
      <w:tr>
        <w:tc>
          <w:tcPr>
            <w:tcW w:type="dxa" w:w="1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Packaging (bag, carton)</w:t>
            </w:r>
          </w:p>
        </w:tc>
        <w:tc>
          <w:tcPr>
            <w:tcW w:type="dxa" w:w="2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Bought-in (assumption)</w:t>
            </w:r>
          </w:p>
        </w:tc>
        <w:tc>
          <w:tcPr>
            <w:tcW w:type="dxa" w:w="26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Hand packaging</w:t>
            </w:r>
          </w:p>
        </w:tc>
        <w:tc>
          <w:tcPr>
            <w:tcW w:type="dxa" w:w="24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Packaging station; order and pallet loads</w:t>
            </w:r>
          </w:p>
        </w:tc>
      </w:tr>
    </w:tbl>
    <w:p>
      <w:pPr>
        <w:spacing w:after="130" w:before="40"/>
      </w:pPr>
      <w:r>
        <w:rPr>
          <w:rFonts w:ascii="Arial" w:cs="Arial" w:eastAsia="Arial" w:hAnsi="Arial"/>
          <w:i/>
          <w:iCs/>
          <w:color w:val="595959"/>
          <w:sz w:val="18"/>
          <w:szCs w:val="18"/>
        </w:rPr>
        <w:t xml:space="preserve">Table 4.1: Product elements (detailed bill of materials in Appendix C).</w:t>
      </w:r>
    </w:p>
    <w:p>
      <w:pPr>
        <w:pStyle w:val="Heading2"/>
      </w:pPr>
      <w:r>
        <w:t xml:space="preserve">4.2   Manufacturing process flow</w:t>
      </w:r>
    </w:p>
    <w:p>
      <w:pPr>
        <w:spacing w:after="130" w:line="276"/>
        <w:jc w:val="both"/>
      </w:pPr>
      <w:r>
        <w:rPr>
          <w:rFonts w:ascii="Arial" w:cs="Arial" w:eastAsia="Arial" w:hAnsi="Arial"/>
          <w:sz w:val="22"/>
          <w:szCs w:val="22"/>
        </w:rPr>
        <w:t xml:space="preserve">Raw materials are received, inspected and stored indoors, then split into a tube stream and a sheet stream that run in parallel. The tube stream cuts handle blanks, with a 5 percent scrap exit, and branches into the back-handle and middle-handle paths. The sheet stream branches into the shovel-head and hinge-connector paths, with a 5 percent scrap exit at stamping. The head and hinge converge at riveting to form the shovel-head subassembly, which is heat treated, sandblasted and hand polished. All coated parts then converge at the enclosed powder-coating area, after which the shovel is assembled, hand packed with a final visual inspection, stored, and either collected by the customer for small orders or dispatched on the company fleet for large orders. The concise flow below can be converted to draw.io; the full process flow chart, which forms part of the quality management system, is in Appendix D.</w:t>
      </w:r>
    </w:p>
    <w:p>
      <w:pPr>
        <w:spacing w:after="28" w:line="248"/>
        <w:ind w:left="240"/>
      </w:pPr>
      <w:r>
        <w:rPr>
          <w:rFonts w:ascii="Arial" w:cs="Arial" w:eastAsia="Arial" w:hAnsi="Arial"/>
          <w:sz w:val="20"/>
          <w:szCs w:val="20"/>
        </w:rPr>
        <w:t xml:space="preserve">Receiving -&gt; Raw material inspection -&gt; Raw material storage (indoor)</w:t>
      </w:r>
    </w:p>
    <w:p>
      <w:pPr>
        <w:spacing w:after="28" w:line="248"/>
        <w:ind w:left="580"/>
      </w:pPr>
      <w:r>
        <w:rPr>
          <w:rFonts w:ascii="Arial" w:cs="Arial" w:eastAsia="Arial" w:hAnsi="Arial"/>
          <w:sz w:val="20"/>
          <w:szCs w:val="20"/>
        </w:rPr>
        <w:t xml:space="preserve">Tube stream: Tube cutting  [5% scrap -&gt; scrap / waste storage]</w:t>
      </w:r>
    </w:p>
    <w:p>
      <w:pPr>
        <w:spacing w:after="28" w:line="248"/>
        <w:ind w:left="920"/>
      </w:pPr>
      <w:r>
        <w:rPr>
          <w:rFonts w:ascii="Arial" w:cs="Arial" w:eastAsia="Arial" w:hAnsi="Arial"/>
          <w:sz w:val="20"/>
          <w:szCs w:val="20"/>
        </w:rPr>
        <w:t xml:space="preserve">Back handle: stamp/narrow end -&gt; knurl + external thread -&gt; WIP</w:t>
      </w:r>
    </w:p>
    <w:p>
      <w:pPr>
        <w:spacing w:after="28" w:line="248"/>
        <w:ind w:left="920"/>
      </w:pPr>
      <w:r>
        <w:rPr>
          <w:rFonts w:ascii="Arial" w:cs="Arial" w:eastAsia="Arial" w:hAnsi="Arial"/>
          <w:sz w:val="20"/>
          <w:szCs w:val="20"/>
        </w:rPr>
        <w:t xml:space="preserve">Middle handle: internal thread -&gt; WIP</w:t>
      </w:r>
    </w:p>
    <w:p>
      <w:pPr>
        <w:spacing w:after="28" w:line="248"/>
        <w:ind w:left="580"/>
      </w:pPr>
      <w:r>
        <w:rPr>
          <w:rFonts w:ascii="Arial" w:cs="Arial" w:eastAsia="Arial" w:hAnsi="Arial"/>
          <w:sz w:val="20"/>
          <w:szCs w:val="20"/>
        </w:rPr>
        <w:t xml:space="preserve">Sheet stream: Sheet stamping  [5% scrap -&gt; scrap / waste storage]</w:t>
      </w:r>
    </w:p>
    <w:p>
      <w:pPr>
        <w:spacing w:after="28" w:line="248"/>
        <w:ind w:left="920"/>
      </w:pPr>
      <w:r>
        <w:rPr>
          <w:rFonts w:ascii="Arial" w:cs="Arial" w:eastAsia="Arial" w:hAnsi="Arial"/>
          <w:sz w:val="20"/>
          <w:szCs w:val="20"/>
        </w:rPr>
        <w:t xml:space="preserve">Shovel head: stamp -&gt; shape/bend -&gt; sharpen -&gt; serrate -&gt; WIP</w:t>
      </w:r>
    </w:p>
    <w:p>
      <w:pPr>
        <w:spacing w:after="28" w:line="248"/>
        <w:ind w:left="920"/>
      </w:pPr>
      <w:r>
        <w:rPr>
          <w:rFonts w:ascii="Arial" w:cs="Arial" w:eastAsia="Arial" w:hAnsi="Arial"/>
          <w:sz w:val="20"/>
          <w:szCs w:val="20"/>
        </w:rPr>
        <w:t xml:space="preserve">Hinge connector: stamp -&gt; bend -&gt; WIP</w:t>
      </w:r>
    </w:p>
    <w:p>
      <w:pPr>
        <w:spacing w:after="28" w:line="248"/>
        <w:ind w:left="580"/>
      </w:pPr>
      <w:r>
        <w:rPr>
          <w:rFonts w:ascii="Arial" w:cs="Arial" w:eastAsia="Arial" w:hAnsi="Arial"/>
          <w:sz w:val="20"/>
          <w:szCs w:val="20"/>
        </w:rPr>
        <w:t xml:space="preserve">Riveting (head + hinge) -&gt; heat treatment -&gt; sandblasting -&gt; hand polishing -&gt; WIP</w:t>
      </w:r>
    </w:p>
    <w:p>
      <w:pPr>
        <w:spacing w:after="28" w:line="248"/>
        <w:ind w:left="580"/>
      </w:pPr>
      <w:r>
        <w:rPr>
          <w:rFonts w:ascii="Arial" w:cs="Arial" w:eastAsia="Arial" w:hAnsi="Arial"/>
          <w:sz w:val="20"/>
          <w:szCs w:val="20"/>
        </w:rPr>
        <w:t xml:space="preserve">Powder coating (separate enclosed area) -&gt; final assembly -&gt; manual packaging + final visual inspection</w:t>
      </w:r>
    </w:p>
    <w:p>
      <w:pPr>
        <w:spacing w:after="28" w:line="248"/>
        <w:ind w:left="580"/>
      </w:pPr>
      <w:r>
        <w:rPr>
          <w:rFonts w:ascii="Arial" w:cs="Arial" w:eastAsia="Arial" w:hAnsi="Arial"/>
          <w:sz w:val="20"/>
          <w:szCs w:val="20"/>
        </w:rPr>
        <w:t xml:space="preserve">Finished goods storage -&gt; small order collection (customer)  OR  large order dispatch (own fleet)</w:t>
      </w:r>
    </w:p>
    <w:p>
      <w:pPr>
        <w:pStyle w:val="Heading2"/>
      </w:pPr>
      <w:r>
        <w:t xml:space="preserve">4.3   Route sheet summary</w:t>
      </w:r>
    </w:p>
    <w:p>
      <w:pPr>
        <w:spacing w:after="130" w:line="276"/>
        <w:jc w:val="both"/>
      </w:pPr>
      <w:r>
        <w:rPr>
          <w:rFonts w:ascii="Arial" w:cs="Arial" w:eastAsia="Arial" w:hAnsi="Arial"/>
          <w:sz w:val="22"/>
          <w:szCs w:val="22"/>
        </w:rPr>
        <w:t xml:space="preserve">Table 4.2 summarises the process route by group, with the brief processing-time basis. The full eight-column route sheet, with every operation, input, output, time, workstation and quality note, is in Appendix 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400"/>
        <w:gridCol w:w="2226"/>
      </w:tblGrid>
      <w:tr>
        <w:trPr>
          <w:tblHeader/>
        </w:trPr>
        <w:tc>
          <w:tcPr>
            <w:tcW w:type="dxa" w:w="17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Process group</w:t>
            </w:r>
          </w:p>
        </w:tc>
        <w:tc>
          <w:tcPr>
            <w:tcW w:type="dxa" w:w="27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Main operations</w:t>
            </w:r>
          </w:p>
        </w:tc>
        <w:tc>
          <w:tcPr>
            <w:tcW w:type="dxa" w:w="24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Brief processing-time basis</w:t>
            </w:r>
          </w:p>
        </w:tc>
        <w:tc>
          <w:tcPr>
            <w:tcW w:type="dxa" w:w="2226"/>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Design implication</w:t>
            </w:r>
          </w:p>
        </w:tc>
      </w:tr>
      <w:tr>
        <w:tc>
          <w:tcPr>
            <w:tcW w:type="dxa" w:w="17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Tube processing</w:t>
            </w:r>
          </w:p>
        </w:tc>
        <w:tc>
          <w:tcPr>
            <w:tcW w:type="dxa" w:w="27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Cut handle; narrow grip end; internal and external thread; knurl</w:t>
            </w:r>
          </w:p>
        </w:tc>
        <w:tc>
          <w:tcPr>
            <w:tcW w:type="dxa" w:w="24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15 s/cut; 5 s/pipe; 20 s/pipe; 1 min/pipe</w:t>
            </w:r>
          </w:p>
        </w:tc>
        <w:tc>
          <w:tcPr>
            <w:tcW w:type="dxa" w:w="22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Cutting and threading workstations; 5% cutting scrap</w:t>
            </w:r>
          </w:p>
        </w:tc>
      </w:tr>
      <w:tr>
        <w:tc>
          <w:tcPr>
            <w:tcW w:type="dxa" w:w="17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Sheet stamping and forming</w:t>
            </w:r>
          </w:p>
        </w:tc>
        <w:tc>
          <w:tcPr>
            <w:tcW w:type="dxa" w:w="27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Stamp shovel head; stamp hinge connector</w:t>
            </w:r>
          </w:p>
        </w:tc>
        <w:tc>
          <w:tcPr>
            <w:tcW w:type="dxa" w:w="24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2 s/part each</w:t>
            </w:r>
          </w:p>
        </w:tc>
        <w:tc>
          <w:tcPr>
            <w:tcW w:type="dxa" w:w="22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Sheet stamping presses; 5% stamping scrap</w:t>
            </w:r>
          </w:p>
        </w:tc>
      </w:tr>
      <w:tr>
        <w:tc>
          <w:tcPr>
            <w:tcW w:type="dxa" w:w="17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Shovel head preparation</w:t>
            </w:r>
          </w:p>
        </w:tc>
        <w:tc>
          <w:tcPr>
            <w:tcW w:type="dxa" w:w="27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Shape/bend; sharpen; serrate</w:t>
            </w:r>
          </w:p>
        </w:tc>
        <w:tc>
          <w:tcPr>
            <w:tcW w:type="dxa" w:w="24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2 s; 2 min; 1 min</w:t>
            </w:r>
          </w:p>
        </w:tc>
        <w:tc>
          <w:tcPr>
            <w:tcW w:type="dxa" w:w="22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Slow sharpening and serrating drive capacity</w:t>
            </w:r>
          </w:p>
        </w:tc>
      </w:tr>
      <w:tr>
        <w:tc>
          <w:tcPr>
            <w:tcW w:type="dxa" w:w="17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Hinge connector preparation</w:t>
            </w:r>
          </w:p>
        </w:tc>
        <w:tc>
          <w:tcPr>
            <w:tcW w:type="dxa" w:w="27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Bend hinge connector</w:t>
            </w:r>
          </w:p>
        </w:tc>
        <w:tc>
          <w:tcPr>
            <w:tcW w:type="dxa" w:w="24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5 s/part</w:t>
            </w:r>
          </w:p>
        </w:tc>
        <w:tc>
          <w:tcPr>
            <w:tcW w:type="dxa" w:w="22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Bending station</w:t>
            </w:r>
          </w:p>
        </w:tc>
      </w:tr>
      <w:tr>
        <w:tc>
          <w:tcPr>
            <w:tcW w:type="dxa" w:w="17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Subassembly</w:t>
            </w:r>
          </w:p>
        </w:tc>
        <w:tc>
          <w:tcPr>
            <w:tcW w:type="dxa" w:w="27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Rivet hinge connector to shovel head</w:t>
            </w:r>
          </w:p>
        </w:tc>
        <w:tc>
          <w:tcPr>
            <w:tcW w:type="dxa" w:w="24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5 s/shovel</w:t>
            </w:r>
          </w:p>
        </w:tc>
        <w:tc>
          <w:tcPr>
            <w:tcW w:type="dxa" w:w="22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Riveting station forms the folding joint</w:t>
            </w:r>
          </w:p>
        </w:tc>
      </w:tr>
      <w:tr>
        <w:tc>
          <w:tcPr>
            <w:tcW w:type="dxa" w:w="17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Finishing</w:t>
            </w:r>
          </w:p>
        </w:tc>
        <w:tc>
          <w:tcPr>
            <w:tcW w:type="dxa" w:w="27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Heat treat; sandblast; hand polish/deburr</w:t>
            </w:r>
          </w:p>
        </w:tc>
        <w:tc>
          <w:tcPr>
            <w:tcW w:type="dxa" w:w="24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equipment-dependent; equipment-dependent; 1 min/head</w:t>
            </w:r>
          </w:p>
        </w:tc>
        <w:tc>
          <w:tcPr>
            <w:tcW w:type="dxa" w:w="22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Equipment-dependent areas; supplier-based sizing</w:t>
            </w:r>
          </w:p>
        </w:tc>
      </w:tr>
      <w:tr>
        <w:tc>
          <w:tcPr>
            <w:tcW w:type="dxa" w:w="17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Powder coating</w:t>
            </w:r>
          </w:p>
        </w:tc>
        <w:tc>
          <w:tcPr>
            <w:tcW w:type="dxa" w:w="27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Powder-coat all parts (black)</w:t>
            </w:r>
          </w:p>
        </w:tc>
        <w:tc>
          <w:tcPr>
            <w:tcW w:type="dxa" w:w="24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equipment-dependent</w:t>
            </w:r>
          </w:p>
        </w:tc>
        <w:tc>
          <w:tcPr>
            <w:tcW w:type="dxa" w:w="22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Separate, fully enclosed and extracted area</w:t>
            </w:r>
          </w:p>
        </w:tc>
      </w:tr>
      <w:tr>
        <w:tc>
          <w:tcPr>
            <w:tcW w:type="dxa" w:w="17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Final assembly</w:t>
            </w:r>
          </w:p>
        </w:tc>
        <w:tc>
          <w:tcPr>
            <w:tcW w:type="dxa" w:w="27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Assemble shovel head and handle</w:t>
            </w:r>
          </w:p>
        </w:tc>
        <w:tc>
          <w:tcPr>
            <w:tcW w:type="dxa" w:w="24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30 s/shovel</w:t>
            </w:r>
          </w:p>
        </w:tc>
        <w:tc>
          <w:tcPr>
            <w:tcW w:type="dxa" w:w="22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Assembly workstation</w:t>
            </w:r>
          </w:p>
        </w:tc>
      </w:tr>
      <w:tr>
        <w:tc>
          <w:tcPr>
            <w:tcW w:type="dxa" w:w="17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Packaging and dispatch</w:t>
            </w:r>
          </w:p>
        </w:tc>
        <w:tc>
          <w:tcPr>
            <w:tcW w:type="dxa" w:w="27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Hand packaging with final visual check</w:t>
            </w:r>
          </w:p>
        </w:tc>
        <w:tc>
          <w:tcPr>
            <w:tcW w:type="dxa" w:w="24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workstation-dependent</w:t>
            </w:r>
          </w:p>
        </w:tc>
        <w:tc>
          <w:tcPr>
            <w:tcW w:type="dxa" w:w="22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Manual station; small and large order handling</w:t>
            </w:r>
          </w:p>
        </w:tc>
      </w:tr>
    </w:tbl>
    <w:p>
      <w:pPr>
        <w:spacing w:after="130" w:before="40"/>
      </w:pPr>
      <w:r>
        <w:rPr>
          <w:rFonts w:ascii="Arial" w:cs="Arial" w:eastAsia="Arial" w:hAnsi="Arial"/>
          <w:i/>
          <w:iCs/>
          <w:color w:val="595959"/>
          <w:sz w:val="18"/>
          <w:szCs w:val="18"/>
        </w:rPr>
        <w:t xml:space="preserve">Table 4.2: Route sheet summary by process group (full route sheet in Appendix D).</w:t>
      </w:r>
    </w:p>
    <w:p>
      <w:pPr>
        <w:pageBreakBefore/>
      </w:pPr>
      <w:r>
        <w:rPr>
          <w:rFonts w:ascii="Arial" w:cs="Arial" w:eastAsia="Arial" w:hAnsi="Arial"/>
          <w:b/>
          <w:bCs/>
          <w:color w:val="1F4E79"/>
          <w:sz w:val="30"/>
          <w:szCs w:val="30"/>
        </w:rPr>
        <w:t xml:space="preserve">Appendices</w:t>
      </w:r>
    </w:p>
    <w:p>
      <w:pPr>
        <w:spacing w:after="130" w:line="276"/>
        <w:jc w:val="both"/>
      </w:pPr>
      <w:r>
        <w:rPr>
          <w:rFonts w:ascii="Arial" w:cs="Arial" w:eastAsia="Arial" w:hAnsi="Arial"/>
          <w:sz w:val="22"/>
          <w:szCs w:val="22"/>
        </w:rPr>
        <w:t xml:space="preserve">The following appendices hold the detailed tables and calculations that support the main report. They are referenced from the main body and do not count towards the report body page limit.</w:t>
      </w:r>
    </w:p>
    <w:p>
      <w:pPr>
        <w:pStyle w:val="Heading1"/>
      </w:pPr>
      <w:r>
        <w:t xml:space="preserve">Appendix A   Full design requirements traceability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2650"/>
        <w:gridCol w:w="3100"/>
        <w:gridCol w:w="1826"/>
      </w:tblGrid>
      <w:tr>
        <w:trPr>
          <w:tblHeader/>
        </w:trPr>
        <w:tc>
          <w:tcPr>
            <w:tcW w:type="dxa" w:w="145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Requirement category</w:t>
            </w:r>
          </w:p>
        </w:tc>
        <w:tc>
          <w:tcPr>
            <w:tcW w:type="dxa" w:w="265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Client requirement</w:t>
            </w:r>
          </w:p>
        </w:tc>
        <w:tc>
          <w:tcPr>
            <w:tcW w:type="dxa" w:w="31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Design implication</w:t>
            </w:r>
          </w:p>
        </w:tc>
        <w:tc>
          <w:tcPr>
            <w:tcW w:type="dxa" w:w="1826"/>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Where addressed</w:t>
            </w:r>
          </w:p>
        </w:tc>
      </w:tr>
      <w:tr>
        <w:tc>
          <w:tcPr>
            <w:tcW w:type="dxa" w:w="14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Production demand</w:t>
            </w:r>
          </w:p>
        </w:tc>
        <w:tc>
          <w:tcPr>
            <w:tcW w:type="dxa" w:w="26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400 000 folding mini shovels per year</w:t>
            </w:r>
          </w:p>
        </w:tc>
        <w:tc>
          <w:tcPr>
            <w:tcW w:type="dxa" w:w="3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Daily output of 1 819; drives all capacity calculations</w:t>
            </w:r>
          </w:p>
        </w:tc>
        <w:tc>
          <w:tcPr>
            <w:tcW w:type="dxa" w:w="18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3.1; Section 5</w:t>
            </w:r>
          </w:p>
        </w:tc>
      </w:tr>
      <w:tr>
        <w:tc>
          <w:tcPr>
            <w:tcW w:type="dxa" w:w="14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Operating time</w:t>
            </w:r>
          </w:p>
        </w:tc>
        <w:tc>
          <w:tcPr>
            <w:tcW w:type="dxa" w:w="26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One 9-hour shift; 30+15+15 min breaks; 220 workdays</w:t>
            </w:r>
          </w:p>
        </w:tc>
        <w:tc>
          <w:tcPr>
            <w:tcW w:type="dxa" w:w="3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480 effective minutes/day; takt basis</w:t>
            </w:r>
          </w:p>
        </w:tc>
        <w:tc>
          <w:tcPr>
            <w:tcW w:type="dxa" w:w="18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3.1; Section 5</w:t>
            </w:r>
          </w:p>
        </w:tc>
      </w:tr>
      <w:tr>
        <w:tc>
          <w:tcPr>
            <w:tcW w:type="dxa" w:w="14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Scrap</w:t>
            </w:r>
          </w:p>
        </w:tc>
        <w:tc>
          <w:tcPr>
            <w:tcW w:type="dxa" w:w="26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5% at tube cutting and 5% at sheet stamping; no other</w:t>
            </w:r>
          </w:p>
        </w:tc>
        <w:tc>
          <w:tcPr>
            <w:tcW w:type="dxa" w:w="3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Inflate those volumes and material quantities</w:t>
            </w:r>
          </w:p>
        </w:tc>
        <w:tc>
          <w:tcPr>
            <w:tcW w:type="dxa" w:w="18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3.1; Appendix E</w:t>
            </w:r>
          </w:p>
        </w:tc>
      </w:tr>
      <w:tr>
        <w:tc>
          <w:tcPr>
            <w:tcW w:type="dxa" w:w="14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Raw material storage</w:t>
            </w:r>
          </w:p>
        </w:tc>
        <w:tc>
          <w:tcPr>
            <w:tcW w:type="dxa" w:w="26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Two weeks, stored indoors</w:t>
            </w:r>
          </w:p>
        </w:tc>
        <w:tc>
          <w:tcPr>
            <w:tcW w:type="dxa" w:w="3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Raw material store capacity and 3D space</w:t>
            </w:r>
          </w:p>
        </w:tc>
        <w:tc>
          <w:tcPr>
            <w:tcW w:type="dxa" w:w="18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3.1; Section 6</w:t>
            </w:r>
          </w:p>
        </w:tc>
      </w:tr>
      <w:tr>
        <w:tc>
          <w:tcPr>
            <w:tcW w:type="dxa" w:w="14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Finished goods storage</w:t>
            </w:r>
          </w:p>
        </w:tc>
        <w:tc>
          <w:tcPr>
            <w:tcW w:type="dxa" w:w="26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Four weeks, stored indoors</w:t>
            </w:r>
          </w:p>
        </w:tc>
        <w:tc>
          <w:tcPr>
            <w:tcW w:type="dxa" w:w="3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Finished goods store capacity and 3D space</w:t>
            </w:r>
          </w:p>
        </w:tc>
        <w:tc>
          <w:tcPr>
            <w:tcW w:type="dxa" w:w="18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3.1; Section 6</w:t>
            </w:r>
          </w:p>
        </w:tc>
      </w:tr>
      <w:tr>
        <w:tc>
          <w:tcPr>
            <w:tcW w:type="dxa" w:w="14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WIP staging</w:t>
            </w:r>
          </w:p>
        </w:tc>
        <w:tc>
          <w:tcPr>
            <w:tcW w:type="dxa" w:w="26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Defined by the designer</w:t>
            </w:r>
          </w:p>
        </w:tc>
        <w:tc>
          <w:tcPr>
            <w:tcW w:type="dxa" w:w="3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WIP staging space at decoupling points</w:t>
            </w:r>
          </w:p>
        </w:tc>
        <w:tc>
          <w:tcPr>
            <w:tcW w:type="dxa" w:w="18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3.2; Section 6</w:t>
            </w:r>
          </w:p>
        </w:tc>
      </w:tr>
      <w:tr>
        <w:tc>
          <w:tcPr>
            <w:tcW w:type="dxa" w:w="14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Powder coating</w:t>
            </w:r>
          </w:p>
        </w:tc>
        <w:tc>
          <w:tcPr>
            <w:tcW w:type="dxa" w:w="26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Separate, fully enclosed area (fumes)</w:t>
            </w:r>
          </w:p>
        </w:tc>
        <w:tc>
          <w:tcPr>
            <w:tcW w:type="dxa" w:w="3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Enclosed, extracted department</w:t>
            </w:r>
          </w:p>
        </w:tc>
        <w:tc>
          <w:tcPr>
            <w:tcW w:type="dxa" w:w="18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3.3; 4.2</w:t>
            </w:r>
          </w:p>
        </w:tc>
      </w:tr>
      <w:tr>
        <w:tc>
          <w:tcPr>
            <w:tcW w:type="dxa" w:w="14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Receiving</w:t>
            </w:r>
          </w:p>
        </w:tc>
        <w:tc>
          <w:tcPr>
            <w:tcW w:type="dxa" w:w="26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Accept supplier delivery vehicles</w:t>
            </w:r>
          </w:p>
        </w:tc>
        <w:tc>
          <w:tcPr>
            <w:tcW w:type="dxa" w:w="3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Receiving dock and inspection space</w:t>
            </w:r>
          </w:p>
        </w:tc>
        <w:tc>
          <w:tcPr>
            <w:tcW w:type="dxa" w:w="18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3.1; Section 6</w:t>
            </w:r>
          </w:p>
        </w:tc>
      </w:tr>
      <w:tr>
        <w:tc>
          <w:tcPr>
            <w:tcW w:type="dxa" w:w="14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Small order collection</w:t>
            </w:r>
          </w:p>
        </w:tc>
        <w:tc>
          <w:tcPr>
            <w:tcW w:type="dxa" w:w="26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On-site by customers</w:t>
            </w:r>
          </w:p>
        </w:tc>
        <w:tc>
          <w:tcPr>
            <w:tcW w:type="dxa" w:w="3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Collection bay separate from production</w:t>
            </w:r>
          </w:p>
        </w:tc>
        <w:tc>
          <w:tcPr>
            <w:tcW w:type="dxa" w:w="18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3.1; Section 6</w:t>
            </w:r>
          </w:p>
        </w:tc>
      </w:tr>
      <w:tr>
        <w:tc>
          <w:tcPr>
            <w:tcW w:type="dxa" w:w="14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Large order dispatch</w:t>
            </w:r>
          </w:p>
        </w:tc>
        <w:tc>
          <w:tcPr>
            <w:tcW w:type="dxa" w:w="26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From the facility</w:t>
            </w:r>
          </w:p>
        </w:tc>
        <w:tc>
          <w:tcPr>
            <w:tcW w:type="dxa" w:w="3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Dispatch dock and order staging</w:t>
            </w:r>
          </w:p>
        </w:tc>
        <w:tc>
          <w:tcPr>
            <w:tcW w:type="dxa" w:w="18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3.1; Section 6</w:t>
            </w:r>
          </w:p>
        </w:tc>
      </w:tr>
      <w:tr>
        <w:tc>
          <w:tcPr>
            <w:tcW w:type="dxa" w:w="14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Truck fleet</w:t>
            </w:r>
          </w:p>
        </w:tc>
        <w:tc>
          <w:tcPr>
            <w:tcW w:type="dxa" w:w="26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Company's own delivery trucks</w:t>
            </w:r>
          </w:p>
        </w:tc>
        <w:tc>
          <w:tcPr>
            <w:tcW w:type="dxa" w:w="3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On-site truck parking and marshalling</w:t>
            </w:r>
          </w:p>
        </w:tc>
        <w:tc>
          <w:tcPr>
            <w:tcW w:type="dxa" w:w="18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3.2; Section 7</w:t>
            </w:r>
          </w:p>
        </w:tc>
      </w:tr>
      <w:tr>
        <w:tc>
          <w:tcPr>
            <w:tcW w:type="dxa" w:w="14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QMS flow charts</w:t>
            </w:r>
          </w:p>
        </w:tc>
        <w:tc>
          <w:tcPr>
            <w:tcW w:type="dxa" w:w="26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Form part of the quality management system</w:t>
            </w:r>
          </w:p>
        </w:tc>
        <w:tc>
          <w:tcPr>
            <w:tcW w:type="dxa" w:w="3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Flow charts developed and embedded</w:t>
            </w:r>
          </w:p>
        </w:tc>
        <w:tc>
          <w:tcPr>
            <w:tcW w:type="dxa" w:w="18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3.1; 4.2</w:t>
            </w:r>
          </w:p>
        </w:tc>
      </w:tr>
      <w:tr>
        <w:tc>
          <w:tcPr>
            <w:tcW w:type="dxa" w:w="14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Offices</w:t>
            </w:r>
          </w:p>
        </w:tc>
        <w:tc>
          <w:tcPr>
            <w:tcW w:type="dxa" w:w="26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Named managers, admin team, supervisors</w:t>
            </w:r>
          </w:p>
        </w:tc>
        <w:tc>
          <w:tcPr>
            <w:tcW w:type="dxa" w:w="3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Office space by role and headcount</w:t>
            </w:r>
          </w:p>
        </w:tc>
        <w:tc>
          <w:tcPr>
            <w:tcW w:type="dxa" w:w="18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3.1; Section 7</w:t>
            </w:r>
          </w:p>
        </w:tc>
      </w:tr>
      <w:tr>
        <w:tc>
          <w:tcPr>
            <w:tcW w:type="dxa" w:w="14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Amenities</w:t>
            </w:r>
          </w:p>
        </w:tc>
        <w:tc>
          <w:tcPr>
            <w:tcW w:type="dxa" w:w="26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Restrooms, lockers, cafeteria for all</w:t>
            </w:r>
          </w:p>
        </w:tc>
        <w:tc>
          <w:tcPr>
            <w:tcW w:type="dxa" w:w="3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Amenity space sized to headcount</w:t>
            </w:r>
          </w:p>
        </w:tc>
        <w:tc>
          <w:tcPr>
            <w:tcW w:type="dxa" w:w="18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3.1; Section 7</w:t>
            </w:r>
          </w:p>
        </w:tc>
      </w:tr>
      <w:tr>
        <w:tc>
          <w:tcPr>
            <w:tcW w:type="dxa" w:w="14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Parking</w:t>
            </w:r>
          </w:p>
        </w:tc>
        <w:tc>
          <w:tcPr>
            <w:tcW w:type="dxa" w:w="26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All personnel, with reasoning</w:t>
            </w:r>
          </w:p>
        </w:tc>
        <w:tc>
          <w:tcPr>
            <w:tcW w:type="dxa" w:w="3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Bays from headcount plus visitors/collection</w:t>
            </w:r>
          </w:p>
        </w:tc>
        <w:tc>
          <w:tcPr>
            <w:tcW w:type="dxa" w:w="18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3.2; Section 7</w:t>
            </w:r>
          </w:p>
        </w:tc>
      </w:tr>
      <w:tr>
        <w:tc>
          <w:tcPr>
            <w:tcW w:type="dxa" w:w="14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Security</w:t>
            </w:r>
          </w:p>
        </w:tc>
        <w:tc>
          <w:tcPr>
            <w:tcW w:type="dxa" w:w="26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Controlled entrance/exit, goods-vehicle flow</w:t>
            </w:r>
          </w:p>
        </w:tc>
        <w:tc>
          <w:tcPr>
            <w:tcW w:type="dxa" w:w="3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Security point and segregated routes</w:t>
            </w:r>
          </w:p>
        </w:tc>
        <w:tc>
          <w:tcPr>
            <w:tcW w:type="dxa" w:w="18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3.3; Section 7</w:t>
            </w:r>
          </w:p>
        </w:tc>
      </w:tr>
      <w:tr>
        <w:tc>
          <w:tcPr>
            <w:tcW w:type="dxa" w:w="14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Waste handling</w:t>
            </w:r>
          </w:p>
        </w:tc>
        <w:tc>
          <w:tcPr>
            <w:tcW w:type="dxa" w:w="26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Waste handling and management</w:t>
            </w:r>
          </w:p>
        </w:tc>
        <w:tc>
          <w:tcPr>
            <w:tcW w:type="dxa" w:w="3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Segregated waste collection and storage</w:t>
            </w:r>
          </w:p>
        </w:tc>
        <w:tc>
          <w:tcPr>
            <w:tcW w:type="dxa" w:w="18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3.1; Section 7</w:t>
            </w:r>
          </w:p>
        </w:tc>
      </w:tr>
      <w:tr>
        <w:tc>
          <w:tcPr>
            <w:tcW w:type="dxa" w:w="14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Utilities</w:t>
            </w:r>
          </w:p>
        </w:tc>
        <w:tc>
          <w:tcPr>
            <w:tcW w:type="dxa" w:w="26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Water, electricity, plumbing</w:t>
            </w:r>
          </w:p>
        </w:tc>
        <w:tc>
          <w:tcPr>
            <w:tcW w:type="dxa" w:w="3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Utility provision and service space</w:t>
            </w:r>
          </w:p>
        </w:tc>
        <w:tc>
          <w:tcPr>
            <w:tcW w:type="dxa" w:w="18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3.1; Section 7</w:t>
            </w:r>
          </w:p>
        </w:tc>
      </w:tr>
      <w:tr>
        <w:tc>
          <w:tcPr>
            <w:tcW w:type="dxa" w:w="14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Future expansion</w:t>
            </w:r>
          </w:p>
        </w:tc>
        <w:tc>
          <w:tcPr>
            <w:tcW w:type="dxa" w:w="26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About 10% within 5 years</w:t>
            </w:r>
          </w:p>
        </w:tc>
        <w:tc>
          <w:tcPr>
            <w:tcW w:type="dxa" w:w="3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10% spare area reserved</w:t>
            </w:r>
          </w:p>
        </w:tc>
        <w:tc>
          <w:tcPr>
            <w:tcW w:type="dxa" w:w="18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3.3; layout</w:t>
            </w:r>
          </w:p>
        </w:tc>
      </w:tr>
      <w:tr>
        <w:tc>
          <w:tcPr>
            <w:tcW w:type="dxa" w:w="14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Master Facility Plan</w:t>
            </w:r>
          </w:p>
        </w:tc>
        <w:tc>
          <w:tcPr>
            <w:tcW w:type="dxa" w:w="26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Three alternatives, justification, final MFP</w:t>
            </w:r>
          </w:p>
        </w:tc>
        <w:tc>
          <w:tcPr>
            <w:tcW w:type="dxa" w:w="3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Structured alternatives and MFP</w:t>
            </w:r>
          </w:p>
        </w:tc>
        <w:tc>
          <w:tcPr>
            <w:tcW w:type="dxa" w:w="18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2.2; Sections 7-8</w:t>
            </w:r>
          </w:p>
        </w:tc>
      </w:tr>
    </w:tbl>
    <w:p>
      <w:pPr>
        <w:spacing w:after="130" w:before="40"/>
      </w:pPr>
      <w:r>
        <w:rPr>
          <w:rFonts w:ascii="Arial" w:cs="Arial" w:eastAsia="Arial" w:hAnsi="Arial"/>
          <w:i/>
          <w:iCs/>
          <w:color w:val="595959"/>
          <w:sz w:val="18"/>
          <w:szCs w:val="18"/>
        </w:rPr>
        <w:t xml:space="preserve">Appendix A: Requirements traceability matrix.</w:t>
      </w:r>
    </w:p>
    <w:p>
      <w:pPr>
        <w:pStyle w:val="Heading1"/>
      </w:pPr>
      <w:r>
        <w:t xml:space="preserve">Appendix B   Detailed assumptions and constraints log</w:t>
      </w:r>
    </w:p>
    <w:p>
      <w:pPr>
        <w:spacing w:after="30" w:before="80"/>
      </w:pPr>
      <w:r>
        <w:rPr>
          <w:rFonts w:ascii="Arial" w:cs="Arial" w:eastAsia="Arial" w:hAnsi="Arial"/>
          <w:b/>
          <w:bCs/>
          <w:sz w:val="22"/>
          <w:szCs w:val="22"/>
        </w:rPr>
        <w:t xml:space="preserve">B.1 Assumptions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50"/>
        <w:gridCol w:w="1900"/>
        <w:gridCol w:w="1850"/>
        <w:gridCol w:w="1726"/>
      </w:tblGrid>
      <w:tr>
        <w:trPr>
          <w:tblHeader/>
        </w:trPr>
        <w:tc>
          <w:tcPr>
            <w:tcW w:type="dxa" w:w="15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Assumption</w:t>
            </w:r>
          </w:p>
        </w:tc>
        <w:tc>
          <w:tcPr>
            <w:tcW w:type="dxa" w:w="205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Value or basis</w:t>
            </w:r>
          </w:p>
        </w:tc>
        <w:tc>
          <w:tcPr>
            <w:tcW w:type="dxa" w:w="19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Reason</w:t>
            </w:r>
          </w:p>
        </w:tc>
        <w:tc>
          <w:tcPr>
            <w:tcW w:type="dxa" w:w="185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Impact</w:t>
            </w:r>
          </w:p>
        </w:tc>
        <w:tc>
          <w:tcPr>
            <w:tcW w:type="dxa" w:w="1726"/>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Verification</w:t>
            </w:r>
          </w:p>
        </w:tc>
      </w:tr>
      <w:tr>
        <w:tc>
          <w:tcPr>
            <w:tcW w:type="dxa" w:w="15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Small order</w:t>
            </w:r>
          </w:p>
        </w:tc>
        <w:tc>
          <w:tcPr>
            <w:tcW w:type="dxa" w:w="20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Up to one pallet, customer-collected</w:t>
            </w:r>
          </w:p>
        </w:tc>
        <w:tc>
          <w:tcPr>
            <w:tcW w:type="dxa" w:w="1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Brief leaves order sizes to designer</w:t>
            </w:r>
          </w:p>
        </w:tc>
        <w:tc>
          <w:tcPr>
            <w:tcW w:type="dxa" w:w="18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Sizes collection bay and access</w:t>
            </w:r>
          </w:p>
        </w:tc>
        <w:tc>
          <w:tcPr>
            <w:tcW w:type="dxa" w:w="17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Confirm with order data</w:t>
            </w:r>
          </w:p>
        </w:tc>
      </w:tr>
      <w:tr>
        <w:tc>
          <w:tcPr>
            <w:tcW w:type="dxa" w:w="15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Large order</w:t>
            </w:r>
          </w:p>
        </w:tc>
        <w:tc>
          <w:tcPr>
            <w:tcW w:type="dxa" w:w="20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More than one pallet, on company fleet</w:t>
            </w:r>
          </w:p>
        </w:tc>
        <w:tc>
          <w:tcPr>
            <w:tcW w:type="dxa" w:w="1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As above</w:t>
            </w:r>
          </w:p>
        </w:tc>
        <w:tc>
          <w:tcPr>
            <w:tcW w:type="dxa" w:w="18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Sizes dispatch dock and truck space</w:t>
            </w:r>
          </w:p>
        </w:tc>
        <w:tc>
          <w:tcPr>
            <w:tcW w:type="dxa" w:w="17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Confirm with order data</w:t>
            </w:r>
          </w:p>
        </w:tc>
      </w:tr>
      <w:tr>
        <w:tc>
          <w:tcPr>
            <w:tcW w:type="dxa" w:w="15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WIP policy</w:t>
            </w:r>
          </w:p>
        </w:tc>
        <w:tc>
          <w:tcPr>
            <w:tcW w:type="dxa" w:w="20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About one shift at decoupling points</w:t>
            </w:r>
          </w:p>
        </w:tc>
        <w:tc>
          <w:tcPr>
            <w:tcW w:type="dxa" w:w="1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Batch operations need buffers</w:t>
            </w:r>
          </w:p>
        </w:tc>
        <w:tc>
          <w:tcPr>
            <w:tcW w:type="dxa" w:w="18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WIP staging space</w:t>
            </w:r>
          </w:p>
        </w:tc>
        <w:tc>
          <w:tcPr>
            <w:tcW w:type="dxa" w:w="17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Refine in line balancing</w:t>
            </w:r>
          </w:p>
        </w:tc>
      </w:tr>
      <w:tr>
        <w:tc>
          <w:tcPr>
            <w:tcW w:type="dxa" w:w="15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Delivery / dispatch frequency</w:t>
            </w:r>
          </w:p>
        </w:tc>
        <w:tc>
          <w:tcPr>
            <w:tcW w:type="dxa" w:w="20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Weekdays within the inventory buffers</w:t>
            </w:r>
          </w:p>
        </w:tc>
        <w:tc>
          <w:tcPr>
            <w:tcW w:type="dxa" w:w="1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Brief allows negotiated schedules</w:t>
            </w:r>
          </w:p>
        </w:tc>
        <w:tc>
          <w:tcPr>
            <w:tcW w:type="dxa" w:w="18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Dock use and store turnover</w:t>
            </w:r>
          </w:p>
        </w:tc>
        <w:tc>
          <w:tcPr>
            <w:tcW w:type="dxa" w:w="17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Confirm with supplier/logistics</w:t>
            </w:r>
          </w:p>
        </w:tc>
      </w:tr>
      <w:tr>
        <w:tc>
          <w:tcPr>
            <w:tcW w:type="dxa" w:w="15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Packaging unit load</w:t>
            </w:r>
          </w:p>
        </w:tc>
        <w:tc>
          <w:tcPr>
            <w:tcW w:type="dxa" w:w="20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Bag per shovel, then boxes, then pallets</w:t>
            </w:r>
          </w:p>
        </w:tc>
        <w:tc>
          <w:tcPr>
            <w:tcW w:type="dxa" w:w="1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Brief: bag-then-box hand packing</w:t>
            </w:r>
          </w:p>
        </w:tc>
        <w:tc>
          <w:tcPr>
            <w:tcW w:type="dxa" w:w="18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Store capacity, orders, handling</w:t>
            </w:r>
          </w:p>
        </w:tc>
        <w:tc>
          <w:tcPr>
            <w:tcW w:type="dxa" w:w="17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Confirm box/pallet sizes</w:t>
            </w:r>
          </w:p>
        </w:tc>
      </w:tr>
      <w:tr>
        <w:tc>
          <w:tcPr>
            <w:tcW w:type="dxa" w:w="15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Material handling</w:t>
            </w:r>
          </w:p>
        </w:tc>
        <w:tc>
          <w:tcPr>
            <w:tcW w:type="dxa" w:w="20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Forklift, pallet truck, trolley</w:t>
            </w:r>
          </w:p>
        </w:tc>
        <w:tc>
          <w:tcPr>
            <w:tcW w:type="dxa" w:w="1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Standard for the loads</w:t>
            </w:r>
          </w:p>
        </w:tc>
        <w:tc>
          <w:tcPr>
            <w:tcW w:type="dxa" w:w="18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Aisle widths and docks</w:t>
            </w:r>
          </w:p>
        </w:tc>
        <w:tc>
          <w:tcPr>
            <w:tcW w:type="dxa" w:w="17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Confirm against loads/flow</w:t>
            </w:r>
          </w:p>
        </w:tc>
      </w:tr>
      <w:tr>
        <w:tc>
          <w:tcPr>
            <w:tcW w:type="dxa" w:w="15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Aisle widths</w:t>
            </w:r>
          </w:p>
        </w:tc>
        <w:tc>
          <w:tcPr>
            <w:tcW w:type="dxa" w:w="20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Main 3.0-3.7 m; pedestrian 1.5 m</w:t>
            </w:r>
          </w:p>
        </w:tc>
        <w:tc>
          <w:tcPr>
            <w:tcW w:type="dxa" w:w="1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Depends on chosen equipment</w:t>
            </w:r>
          </w:p>
        </w:tc>
        <w:tc>
          <w:tcPr>
            <w:tcW w:type="dxa" w:w="18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Floor area and flow</w:t>
            </w:r>
          </w:p>
        </w:tc>
        <w:tc>
          <w:tcPr>
            <w:tcW w:type="dxa" w:w="17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Set from final equipment</w:t>
            </w:r>
          </w:p>
        </w:tc>
      </w:tr>
      <w:tr>
        <w:tc>
          <w:tcPr>
            <w:tcW w:type="dxa" w:w="15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Office / supervisor numbers</w:t>
            </w:r>
          </w:p>
        </w:tc>
        <w:tc>
          <w:tcPr>
            <w:tcW w:type="dxa" w:w="20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One per named role; ~1 supervisor per dept</w:t>
            </w:r>
          </w:p>
        </w:tc>
        <w:tc>
          <w:tcPr>
            <w:tcW w:type="dxa" w:w="1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Brief names roles, not counts</w:t>
            </w:r>
          </w:p>
        </w:tc>
        <w:tc>
          <w:tcPr>
            <w:tcW w:type="dxa" w:w="18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Office space and labour</w:t>
            </w:r>
          </w:p>
        </w:tc>
        <w:tc>
          <w:tcPr>
            <w:tcW w:type="dxa" w:w="17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Confirm with management</w:t>
            </w:r>
          </w:p>
        </w:tc>
      </w:tr>
      <w:tr>
        <w:tc>
          <w:tcPr>
            <w:tcW w:type="dxa" w:w="15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Parking basis</w:t>
            </w:r>
          </w:p>
        </w:tc>
        <w:tc>
          <w:tcPr>
            <w:tcW w:type="dxa" w:w="20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One bay per on-site employee plus visitor/collection</w:t>
            </w:r>
          </w:p>
        </w:tc>
        <w:tc>
          <w:tcPr>
            <w:tcW w:type="dxa" w:w="1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Brief requires parking for all</w:t>
            </w:r>
          </w:p>
        </w:tc>
        <w:tc>
          <w:tcPr>
            <w:tcW w:type="dxa" w:w="18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Parking area and site</w:t>
            </w:r>
          </w:p>
        </w:tc>
        <w:tc>
          <w:tcPr>
            <w:tcW w:type="dxa" w:w="17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Finalise once labour is known</w:t>
            </w:r>
          </w:p>
        </w:tc>
      </w:tr>
      <w:tr>
        <w:tc>
          <w:tcPr>
            <w:tcW w:type="dxa" w:w="15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Equipment dimensions / cycle times</w:t>
            </w:r>
          </w:p>
        </w:tc>
        <w:tc>
          <w:tcPr>
            <w:tcW w:type="dxa" w:w="20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Heat treat, sandblast, powder coat, packaging</w:t>
            </w:r>
          </w:p>
        </w:tc>
        <w:tc>
          <w:tcPr>
            <w:tcW w:type="dxa" w:w="1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Not in brief</w:t>
            </w:r>
          </w:p>
        </w:tc>
        <w:tc>
          <w:tcPr>
            <w:tcW w:type="dxa" w:w="18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Department sizes and capacity</w:t>
            </w:r>
          </w:p>
        </w:tc>
        <w:tc>
          <w:tcPr>
            <w:tcW w:type="dxa" w:w="17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Supplier-based estimate required</w:t>
            </w:r>
          </w:p>
        </w:tc>
      </w:tr>
    </w:tbl>
    <w:p>
      <w:pPr>
        <w:spacing w:after="30" w:before="80"/>
      </w:pPr>
      <w:r>
        <w:rPr>
          <w:rFonts w:ascii="Arial" w:cs="Arial" w:eastAsia="Arial" w:hAnsi="Arial"/>
          <w:b/>
          <w:bCs/>
          <w:sz w:val="22"/>
          <w:szCs w:val="22"/>
        </w:rPr>
        <w:t xml:space="preserve">B.2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050"/>
        <w:gridCol w:w="3676"/>
      </w:tblGrid>
      <w:tr>
        <w:trPr>
          <w:tblHeader/>
        </w:trPr>
        <w:tc>
          <w:tcPr>
            <w:tcW w:type="dxa" w:w="33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Constraint</w:t>
            </w:r>
          </w:p>
        </w:tc>
        <w:tc>
          <w:tcPr>
            <w:tcW w:type="dxa" w:w="205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Source</w:t>
            </w:r>
          </w:p>
        </w:tc>
        <w:tc>
          <w:tcPr>
            <w:tcW w:type="dxa" w:w="3676"/>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Design implication</w:t>
            </w:r>
          </w:p>
        </w:tc>
      </w:tr>
      <w:tr>
        <w:tc>
          <w:tcPr>
            <w:tcW w:type="dxa" w:w="33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400 000 shovels/yr; 220 workdays; 9-h shift, 480 effective min</w:t>
            </w:r>
          </w:p>
        </w:tc>
        <w:tc>
          <w:tcPr>
            <w:tcW w:type="dxa" w:w="20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Brief</w:t>
            </w:r>
          </w:p>
        </w:tc>
        <w:tc>
          <w:tcPr>
            <w:tcW w:type="dxa" w:w="367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Capacity target and takt basis</w:t>
            </w:r>
          </w:p>
        </w:tc>
      </w:tr>
      <w:tr>
        <w:tc>
          <w:tcPr>
            <w:tcW w:type="dxa" w:w="33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5% scrap at tube cutting and sheet stamping only</w:t>
            </w:r>
          </w:p>
        </w:tc>
        <w:tc>
          <w:tcPr>
            <w:tcW w:type="dxa" w:w="20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Brief</w:t>
            </w:r>
          </w:p>
        </w:tc>
        <w:tc>
          <w:tcPr>
            <w:tcW w:type="dxa" w:w="367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Inflate those volumes; no other scrap</w:t>
            </w:r>
          </w:p>
        </w:tc>
      </w:tr>
      <w:tr>
        <w:tc>
          <w:tcPr>
            <w:tcW w:type="dxa" w:w="33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Two weeks raw material; four weeks finished goods; all indoors</w:t>
            </w:r>
          </w:p>
        </w:tc>
        <w:tc>
          <w:tcPr>
            <w:tcW w:type="dxa" w:w="20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Brief</w:t>
            </w:r>
          </w:p>
        </w:tc>
        <w:tc>
          <w:tcPr>
            <w:tcW w:type="dxa" w:w="367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Indoor store capacities</w:t>
            </w:r>
          </w:p>
        </w:tc>
      </w:tr>
      <w:tr>
        <w:tc>
          <w:tcPr>
            <w:tcW w:type="dxa" w:w="33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Powder coating in a separate, fully enclosed area</w:t>
            </w:r>
          </w:p>
        </w:tc>
        <w:tc>
          <w:tcPr>
            <w:tcW w:type="dxa" w:w="20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Brief (safety)</w:t>
            </w:r>
          </w:p>
        </w:tc>
        <w:tc>
          <w:tcPr>
            <w:tcW w:type="dxa" w:w="367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Enclosed, extracted department</w:t>
            </w:r>
          </w:p>
        </w:tc>
      </w:tr>
      <w:tr>
        <w:tc>
          <w:tcPr>
            <w:tcW w:type="dxa" w:w="33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All packaging by hand with a final visual check</w:t>
            </w:r>
          </w:p>
        </w:tc>
        <w:tc>
          <w:tcPr>
            <w:tcW w:type="dxa" w:w="20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Brief (quality)</w:t>
            </w:r>
          </w:p>
        </w:tc>
        <w:tc>
          <w:tcPr>
            <w:tcW w:type="dxa" w:w="367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Manual packaging and inspection</w:t>
            </w:r>
          </w:p>
        </w:tc>
      </w:tr>
      <w:tr>
        <w:tc>
          <w:tcPr>
            <w:tcW w:type="dxa" w:w="33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Deliveries and collections during weekday working hours only</w:t>
            </w:r>
          </w:p>
        </w:tc>
        <w:tc>
          <w:tcPr>
            <w:tcW w:type="dxa" w:w="20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Brief</w:t>
            </w:r>
          </w:p>
        </w:tc>
        <w:tc>
          <w:tcPr>
            <w:tcW w:type="dxa" w:w="367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Scheduling within the shift</w:t>
            </w:r>
          </w:p>
        </w:tc>
      </w:tr>
      <w:tr>
        <w:tc>
          <w:tcPr>
            <w:tcW w:type="dxa" w:w="33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Company truck fleet for large orders; access from public roads</w:t>
            </w:r>
          </w:p>
        </w:tc>
        <w:tc>
          <w:tcPr>
            <w:tcW w:type="dxa" w:w="20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Brief</w:t>
            </w:r>
          </w:p>
        </w:tc>
        <w:tc>
          <w:tcPr>
            <w:tcW w:type="dxa" w:w="367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On-site truck space and site access</w:t>
            </w:r>
          </w:p>
        </w:tc>
      </w:tr>
      <w:tr>
        <w:tc>
          <w:tcPr>
            <w:tcW w:type="dxa" w:w="33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About 10% space reserved for expansion</w:t>
            </w:r>
          </w:p>
        </w:tc>
        <w:tc>
          <w:tcPr>
            <w:tcW w:type="dxa" w:w="20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Brief</w:t>
            </w:r>
          </w:p>
        </w:tc>
        <w:tc>
          <w:tcPr>
            <w:tcW w:type="dxa" w:w="367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Spare area in the layout</w:t>
            </w:r>
          </w:p>
        </w:tc>
      </w:tr>
      <w:tr>
        <w:tc>
          <w:tcPr>
            <w:tcW w:type="dxa" w:w="33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Aluminium tube OD 31.70 mm, wall 3.18 mm; sheet 2.5 mm</w:t>
            </w:r>
          </w:p>
        </w:tc>
        <w:tc>
          <w:tcPr>
            <w:tcW w:type="dxa" w:w="20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Brief (supplier spec)</w:t>
            </w:r>
          </w:p>
        </w:tc>
        <w:tc>
          <w:tcPr>
            <w:tcW w:type="dxa" w:w="367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Fixes raw material dimensions</w:t>
            </w:r>
          </w:p>
        </w:tc>
      </w:tr>
      <w:tr>
        <w:tc>
          <w:tcPr>
            <w:tcW w:type="dxa" w:w="33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Process flow charts form part of the QMS</w:t>
            </w:r>
          </w:p>
        </w:tc>
        <w:tc>
          <w:tcPr>
            <w:tcW w:type="dxa" w:w="20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Brief</w:t>
            </w:r>
          </w:p>
        </w:tc>
        <w:tc>
          <w:tcPr>
            <w:tcW w:type="dxa" w:w="367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Flow charts embedded</w:t>
            </w:r>
          </w:p>
        </w:tc>
      </w:tr>
    </w:tbl>
    <w:p>
      <w:pPr>
        <w:spacing w:after="130" w:before="40"/>
      </w:pPr>
      <w:r>
        <w:rPr>
          <w:rFonts w:ascii="Arial" w:cs="Arial" w:eastAsia="Arial" w:hAnsi="Arial"/>
          <w:i/>
          <w:iCs/>
          <w:color w:val="595959"/>
          <w:sz w:val="18"/>
          <w:szCs w:val="18"/>
        </w:rPr>
        <w:t xml:space="preserve">Appendix B: Detailed assumptions and constraints.</w:t>
      </w:r>
    </w:p>
    <w:p>
      <w:pPr>
        <w:pStyle w:val="Heading1"/>
      </w:pPr>
      <w:r>
        <w:t xml:space="preserve">Appendix C   Product structure and preliminary bill of materials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126"/>
      </w:tblGrid>
      <w:tr>
        <w:trPr>
          <w:tblHeader/>
        </w:trPr>
        <w:tc>
          <w:tcPr>
            <w:tcW w:type="dxa" w:w="9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Level</w:t>
            </w:r>
          </w:p>
        </w:tc>
        <w:tc>
          <w:tcPr>
            <w:tcW w:type="dxa" w:w="40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Item</w:t>
            </w:r>
          </w:p>
        </w:tc>
        <w:tc>
          <w:tcPr>
            <w:tcW w:type="dxa" w:w="4126"/>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Source or type</w:t>
            </w:r>
          </w:p>
        </w:tc>
      </w:tr>
      <w:tr>
        <w:tc>
          <w:tcPr>
            <w:tcW w:type="dxa" w:w="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0</w:t>
            </w:r>
          </w:p>
        </w:tc>
        <w:tc>
          <w:tcPr>
            <w:tcW w:type="dxa" w:w="40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Finished folding mini shovel</w:t>
            </w:r>
          </w:p>
        </w:tc>
        <w:tc>
          <w:tcPr>
            <w:tcW w:type="dxa" w:w="41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Assembled and packed</w:t>
            </w:r>
          </w:p>
        </w:tc>
      </w:tr>
      <w:tr>
        <w:tc>
          <w:tcPr>
            <w:tcW w:type="dxa" w:w="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1</w:t>
            </w:r>
          </w:p>
        </w:tc>
        <w:tc>
          <w:tcPr>
            <w:tcW w:type="dxa" w:w="40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Back handle section (grip)</w:t>
            </w:r>
          </w:p>
        </w:tc>
        <w:tc>
          <w:tcPr>
            <w:tcW w:type="dxa" w:w="41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From aluminium round tube</w:t>
            </w:r>
          </w:p>
        </w:tc>
      </w:tr>
      <w:tr>
        <w:tc>
          <w:tcPr>
            <w:tcW w:type="dxa" w:w="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1</w:t>
            </w:r>
          </w:p>
        </w:tc>
        <w:tc>
          <w:tcPr>
            <w:tcW w:type="dxa" w:w="40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Middle handle section</w:t>
            </w:r>
          </w:p>
        </w:tc>
        <w:tc>
          <w:tcPr>
            <w:tcW w:type="dxa" w:w="41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From aluminium round tube</w:t>
            </w:r>
          </w:p>
        </w:tc>
      </w:tr>
      <w:tr>
        <w:tc>
          <w:tcPr>
            <w:tcW w:type="dxa" w:w="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1</w:t>
            </w:r>
          </w:p>
        </w:tc>
        <w:tc>
          <w:tcPr>
            <w:tcW w:type="dxa" w:w="40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Shovel-head subassembly</w:t>
            </w:r>
          </w:p>
        </w:tc>
        <w:tc>
          <w:tcPr>
            <w:tcW w:type="dxa" w:w="41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Subassembly</w:t>
            </w:r>
          </w:p>
        </w:tc>
      </w:tr>
      <w:tr>
        <w:tc>
          <w:tcPr>
            <w:tcW w:type="dxa" w:w="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2</w:t>
            </w:r>
          </w:p>
        </w:tc>
        <w:tc>
          <w:tcPr>
            <w:tcW w:type="dxa" w:w="40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Shovel head</w:t>
            </w:r>
          </w:p>
        </w:tc>
        <w:tc>
          <w:tcPr>
            <w:tcW w:type="dxa" w:w="41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From aluminium sheet</w:t>
            </w:r>
          </w:p>
        </w:tc>
      </w:tr>
      <w:tr>
        <w:tc>
          <w:tcPr>
            <w:tcW w:type="dxa" w:w="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2</w:t>
            </w:r>
          </w:p>
        </w:tc>
        <w:tc>
          <w:tcPr>
            <w:tcW w:type="dxa" w:w="40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Hinge connector</w:t>
            </w:r>
          </w:p>
        </w:tc>
        <w:tc>
          <w:tcPr>
            <w:tcW w:type="dxa" w:w="41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From aluminium sheet</w:t>
            </w:r>
          </w:p>
        </w:tc>
      </w:tr>
      <w:tr>
        <w:tc>
          <w:tcPr>
            <w:tcW w:type="dxa" w:w="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2</w:t>
            </w:r>
          </w:p>
        </w:tc>
        <w:tc>
          <w:tcPr>
            <w:tcW w:type="dxa" w:w="40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Rivet</w:t>
            </w:r>
          </w:p>
        </w:tc>
        <w:tc>
          <w:tcPr>
            <w:tcW w:type="dxa" w:w="41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Bought-in</w:t>
            </w:r>
          </w:p>
        </w:tc>
      </w:tr>
      <w:tr>
        <w:tc>
          <w:tcPr>
            <w:tcW w:type="dxa" w:w="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1</w:t>
            </w:r>
          </w:p>
        </w:tc>
        <w:tc>
          <w:tcPr>
            <w:tcW w:type="dxa" w:w="40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Packaging (bag, carton)</w:t>
            </w:r>
          </w:p>
        </w:tc>
        <w:tc>
          <w:tcPr>
            <w:tcW w:type="dxa" w:w="41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Bought-in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900"/>
        <w:gridCol w:w="2900"/>
        <w:gridCol w:w="1826"/>
      </w:tblGrid>
      <w:tr>
        <w:trPr>
          <w:tblHeader/>
        </w:trPr>
        <w:tc>
          <w:tcPr>
            <w:tcW w:type="dxa" w:w="17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Component</w:t>
            </w:r>
          </w:p>
        </w:tc>
        <w:tc>
          <w:tcPr>
            <w:tcW w:type="dxa" w:w="17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Status</w:t>
            </w:r>
          </w:p>
        </w:tc>
        <w:tc>
          <w:tcPr>
            <w:tcW w:type="dxa" w:w="9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Qty/shovel</w:t>
            </w:r>
          </w:p>
        </w:tc>
        <w:tc>
          <w:tcPr>
            <w:tcW w:type="dxa" w:w="29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Main process</w:t>
            </w:r>
          </w:p>
        </w:tc>
        <w:tc>
          <w:tcPr>
            <w:tcW w:type="dxa" w:w="1826"/>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Notes</w:t>
            </w:r>
          </w:p>
        </w:tc>
      </w:tr>
      <w:tr>
        <w:tc>
          <w:tcPr>
            <w:tcW w:type="dxa" w:w="17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Back handle (grip)</w:t>
            </w:r>
          </w:p>
        </w:tc>
        <w:tc>
          <w:tcPr>
            <w:tcW w:type="dxa" w:w="17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Made (tube)</w:t>
            </w:r>
          </w:p>
        </w:tc>
        <w:tc>
          <w:tcPr>
            <w:tcW w:type="dxa" w:w="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1</w:t>
            </w:r>
          </w:p>
        </w:tc>
        <w:tc>
          <w:tcPr>
            <w:tcW w:type="dxa" w:w="2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Cut, narrow, external thread, knurl</w:t>
            </w:r>
          </w:p>
        </w:tc>
        <w:tc>
          <w:tcPr>
            <w:tcW w:type="dxa" w:w="18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Tube OD 31.70, wall 3.18 mm</w:t>
            </w:r>
          </w:p>
        </w:tc>
      </w:tr>
      <w:tr>
        <w:tc>
          <w:tcPr>
            <w:tcW w:type="dxa" w:w="17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Middle handle</w:t>
            </w:r>
          </w:p>
        </w:tc>
        <w:tc>
          <w:tcPr>
            <w:tcW w:type="dxa" w:w="17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Made (tube)</w:t>
            </w:r>
          </w:p>
        </w:tc>
        <w:tc>
          <w:tcPr>
            <w:tcW w:type="dxa" w:w="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1</w:t>
            </w:r>
          </w:p>
        </w:tc>
        <w:tc>
          <w:tcPr>
            <w:tcW w:type="dxa" w:w="2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Cut, internal thread, hinge to head</w:t>
            </w:r>
          </w:p>
        </w:tc>
        <w:tc>
          <w:tcPr>
            <w:tcW w:type="dxa" w:w="18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Same tube</w:t>
            </w:r>
          </w:p>
        </w:tc>
      </w:tr>
      <w:tr>
        <w:tc>
          <w:tcPr>
            <w:tcW w:type="dxa" w:w="17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Shovel head</w:t>
            </w:r>
          </w:p>
        </w:tc>
        <w:tc>
          <w:tcPr>
            <w:tcW w:type="dxa" w:w="17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Made (sheet)</w:t>
            </w:r>
          </w:p>
        </w:tc>
        <w:tc>
          <w:tcPr>
            <w:tcW w:type="dxa" w:w="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1</w:t>
            </w:r>
          </w:p>
        </w:tc>
        <w:tc>
          <w:tcPr>
            <w:tcW w:type="dxa" w:w="2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Stamp, bend, sharpen, serrate</w:t>
            </w:r>
          </w:p>
        </w:tc>
        <w:tc>
          <w:tcPr>
            <w:tcW w:type="dxa" w:w="18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2.5 mm sheet; 150 x 120 mm</w:t>
            </w:r>
          </w:p>
        </w:tc>
      </w:tr>
      <w:tr>
        <w:tc>
          <w:tcPr>
            <w:tcW w:type="dxa" w:w="17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Hinge connector</w:t>
            </w:r>
          </w:p>
        </w:tc>
        <w:tc>
          <w:tcPr>
            <w:tcW w:type="dxa" w:w="17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Made (sheet)</w:t>
            </w:r>
          </w:p>
        </w:tc>
        <w:tc>
          <w:tcPr>
            <w:tcW w:type="dxa" w:w="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1</w:t>
            </w:r>
          </w:p>
        </w:tc>
        <w:tc>
          <w:tcPr>
            <w:tcW w:type="dxa" w:w="2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Stamp, bend</w:t>
            </w:r>
          </w:p>
        </w:tc>
        <w:tc>
          <w:tcPr>
            <w:tcW w:type="dxa" w:w="18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2.5 mm sheet</w:t>
            </w:r>
          </w:p>
        </w:tc>
      </w:tr>
      <w:tr>
        <w:tc>
          <w:tcPr>
            <w:tcW w:type="dxa" w:w="17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Rivet</w:t>
            </w:r>
          </w:p>
        </w:tc>
        <w:tc>
          <w:tcPr>
            <w:tcW w:type="dxa" w:w="17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Bought-in</w:t>
            </w:r>
          </w:p>
        </w:tc>
        <w:tc>
          <w:tcPr>
            <w:tcW w:type="dxa" w:w="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1 (maybe 2; verify)</w:t>
            </w:r>
          </w:p>
        </w:tc>
        <w:tc>
          <w:tcPr>
            <w:tcW w:type="dxa" w:w="2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Rivet hinge to head</w:t>
            </w:r>
          </w:p>
        </w:tc>
        <w:tc>
          <w:tcPr>
            <w:tcW w:type="dxa" w:w="18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Quantity is an assumption</w:t>
            </w:r>
          </w:p>
        </w:tc>
      </w:tr>
      <w:tr>
        <w:tc>
          <w:tcPr>
            <w:tcW w:type="dxa" w:w="17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Bag + carton</w:t>
            </w:r>
          </w:p>
        </w:tc>
        <w:tc>
          <w:tcPr>
            <w:tcW w:type="dxa" w:w="17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Bought-in</w:t>
            </w:r>
          </w:p>
        </w:tc>
        <w:tc>
          <w:tcPr>
            <w:tcW w:type="dxa" w:w="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1 bag; box per load</w:t>
            </w:r>
          </w:p>
        </w:tc>
        <w:tc>
          <w:tcPr>
            <w:tcW w:type="dxa" w:w="2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Hand packaging</w:t>
            </w:r>
          </w:p>
        </w:tc>
        <w:tc>
          <w:tcPr>
            <w:tcW w:type="dxa" w:w="18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Units per box to be set</w:t>
            </w:r>
          </w:p>
        </w:tc>
      </w:tr>
    </w:tbl>
    <w:p>
      <w:pPr>
        <w:spacing w:after="130" w:before="40"/>
      </w:pPr>
      <w:r>
        <w:rPr>
          <w:rFonts w:ascii="Arial" w:cs="Arial" w:eastAsia="Arial" w:hAnsi="Arial"/>
          <w:i/>
          <w:iCs/>
          <w:color w:val="595959"/>
          <w:sz w:val="18"/>
          <w:szCs w:val="18"/>
        </w:rPr>
        <w:t xml:space="preserve">Appendix C: Product structure and preliminary bill of materials.</w:t>
      </w:r>
    </w:p>
    <w:p>
      <w:pPr>
        <w:pStyle w:val="Heading1"/>
      </w:pPr>
      <w:r>
        <w:t xml:space="preserve">Appendix E   Front-end demand and scrap calculations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Quantity</w:t>
            </w:r>
          </w:p>
        </w:tc>
        <w:tc>
          <w:tcPr>
            <w:tcW w:type="dxa" w:w="4526"/>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8"/>
                <w:szCs w:val="18"/>
              </w:rPr>
              <w:t xml:space="preserve">Calculation and result</w:t>
            </w:r>
          </w:p>
        </w:tc>
      </w:tr>
      <w:tr>
        <w:tc>
          <w:tcPr>
            <w:tcW w:type="dxa" w:w="45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Daily demand (good)</w:t>
            </w:r>
          </w:p>
        </w:tc>
        <w:tc>
          <w:tcPr>
            <w:tcW w:type="dxa" w:w="45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400 000 / 220 = 1 818.18, rounded up to 1 819 shovels/day</w:t>
            </w:r>
          </w:p>
        </w:tc>
      </w:tr>
      <w:tr>
        <w:tc>
          <w:tcPr>
            <w:tcW w:type="dxa" w:w="45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Effective production time</w:t>
            </w:r>
          </w:p>
        </w:tc>
        <w:tc>
          <w:tcPr>
            <w:tcW w:type="dxa" w:w="45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540 min shift - 60 min breaks = 480 min/day</w:t>
            </w:r>
          </w:p>
        </w:tc>
      </w:tr>
      <w:tr>
        <w:tc>
          <w:tcPr>
            <w:tcW w:type="dxa" w:w="45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Takt time</w:t>
            </w:r>
          </w:p>
        </w:tc>
        <w:tc>
          <w:tcPr>
            <w:tcW w:type="dxa" w:w="45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480 / 1 819 = 0.264 min, about 15.84 s/shovel</w:t>
            </w:r>
          </w:p>
        </w:tc>
      </w:tr>
      <w:tr>
        <w:tc>
          <w:tcPr>
            <w:tcW w:type="dxa" w:w="45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Scrap-adjusted tube cutting</w:t>
            </w:r>
          </w:p>
        </w:tc>
        <w:tc>
          <w:tcPr>
            <w:tcW w:type="dxa" w:w="45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2 sections/shovel x 1 819 = 3 638 good; 3 638 / 0.95 = about 3 830 cut sections/day</w:t>
            </w:r>
          </w:p>
        </w:tc>
      </w:tr>
      <w:tr>
        <w:tc>
          <w:tcPr>
            <w:tcW w:type="dxa" w:w="45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Scrap-adjusted sheet stamping (head)</w:t>
            </w:r>
          </w:p>
        </w:tc>
        <w:tc>
          <w:tcPr>
            <w:tcW w:type="dxa" w:w="45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1 819 good / 0.95 = about 1 915 stamped heads/day</w:t>
            </w:r>
          </w:p>
        </w:tc>
      </w:tr>
      <w:tr>
        <w:tc>
          <w:tcPr>
            <w:tcW w:type="dxa" w:w="45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Scrap-adjusted sheet stamping (hinge)</w:t>
            </w:r>
          </w:p>
        </w:tc>
        <w:tc>
          <w:tcPr>
            <w:tcW w:type="dxa" w:w="45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8"/>
                <w:szCs w:val="18"/>
              </w:rPr>
              <w:t xml:space="preserve">1 819 good / 0.95 = about 1 915 stamped hinge connectors/day</w:t>
            </w:r>
          </w:p>
        </w:tc>
      </w:tr>
    </w:tbl>
    <w:p>
      <w:pPr>
        <w:spacing w:after="130" w:line="276"/>
        <w:jc w:val="both"/>
      </w:pPr>
      <w:r>
        <w:rPr>
          <w:rFonts w:ascii="Arial" w:cs="Arial" w:eastAsia="Arial" w:hAnsi="Arial"/>
          <w:sz w:val="22"/>
          <w:szCs w:val="22"/>
        </w:rPr>
        <w:t xml:space="preserve">The full per-process machine and labour calculations, raw material, inventory, storage and space calculations are held in the capacity workbook and summarised in Section 5 onward.</w:t>
      </w:r>
    </w:p>
    <w:p>
      <w:pPr>
        <w:spacing w:after="130" w:before="40"/>
      </w:pPr>
      <w:r>
        <w:rPr>
          <w:rFonts w:ascii="Arial" w:cs="Arial" w:eastAsia="Arial" w:hAnsi="Arial"/>
          <w:i/>
          <w:iCs/>
          <w:color w:val="595959"/>
          <w:sz w:val="18"/>
          <w:szCs w:val="18"/>
        </w:rPr>
        <w:t xml:space="preserve">Appendix E: Front-end demand and scrap basis.</w:t>
      </w:r>
    </w:p>
    <w:p>
      <w:pPr>
        <w:pStyle w:val="Heading1"/>
      </w:pPr>
      <w:r>
        <w:t xml:space="preserve">Appendix F   Items requiring verification</w:t>
      </w:r>
    </w:p>
    <w:p>
      <w:pPr>
        <w:pStyle w:val="ListParagraph"/>
        <w:numPr>
          <w:ilvl w:val="0"/>
          <w:numId w:val="2"/>
        </w:numPr>
        <w:spacing w:after="30" w:line="264"/>
        <w:jc w:val="both"/>
      </w:pPr>
      <w:r>
        <w:rPr>
          <w:rFonts w:ascii="Arial" w:cs="Arial" w:eastAsia="Arial" w:hAnsi="Arial"/>
          <w:sz w:val="22"/>
          <w:szCs w:val="22"/>
        </w:rPr>
        <w:t xml:space="preserve">Rivet quantity per shovel (one or two) and rivet specification.</w:t>
      </w:r>
    </w:p>
    <w:p>
      <w:pPr>
        <w:pStyle w:val="ListParagraph"/>
        <w:numPr>
          <w:ilvl w:val="0"/>
          <w:numId w:val="2"/>
        </w:numPr>
        <w:spacing w:after="30" w:line="264"/>
        <w:jc w:val="both"/>
      </w:pPr>
      <w:r>
        <w:rPr>
          <w:rFonts w:ascii="Arial" w:cs="Arial" w:eastAsia="Arial" w:hAnsi="Arial"/>
          <w:sz w:val="22"/>
          <w:szCs w:val="22"/>
        </w:rPr>
        <w:t xml:space="preserve">Packaging unit load: units per box and boxes per pallet, which fix the small and large order quantities.</w:t>
      </w:r>
    </w:p>
    <w:p>
      <w:pPr>
        <w:pStyle w:val="ListParagraph"/>
        <w:numPr>
          <w:ilvl w:val="0"/>
          <w:numId w:val="2"/>
        </w:numPr>
        <w:spacing w:after="30" w:line="264"/>
        <w:jc w:val="both"/>
      </w:pPr>
      <w:r>
        <w:rPr>
          <w:rFonts w:ascii="Arial" w:cs="Arial" w:eastAsia="Arial" w:hAnsi="Arial"/>
          <w:sz w:val="22"/>
          <w:szCs w:val="22"/>
        </w:rPr>
        <w:t xml:space="preserve">Equipment-dependent cycle times: heat treatment, sandblasting, powder coating and the packaging workstation rate.</w:t>
      </w:r>
    </w:p>
    <w:p>
      <w:pPr>
        <w:pStyle w:val="ListParagraph"/>
        <w:numPr>
          <w:ilvl w:val="0"/>
          <w:numId w:val="2"/>
        </w:numPr>
        <w:spacing w:after="30" w:line="264"/>
        <w:jc w:val="both"/>
      </w:pPr>
      <w:r>
        <w:rPr>
          <w:rFonts w:ascii="Arial" w:cs="Arial" w:eastAsia="Arial" w:hAnsi="Arial"/>
          <w:sz w:val="22"/>
          <w:szCs w:val="22"/>
        </w:rPr>
        <w:t xml:space="preserve">Machine dimensions, specifications and cost (supplier quotations).</w:t>
      </w:r>
    </w:p>
    <w:p>
      <w:pPr>
        <w:pStyle w:val="ListParagraph"/>
        <w:numPr>
          <w:ilvl w:val="0"/>
          <w:numId w:val="2"/>
        </w:numPr>
        <w:spacing w:after="30" w:line="264"/>
        <w:jc w:val="both"/>
      </w:pPr>
      <w:r>
        <w:rPr>
          <w:rFonts w:ascii="Arial" w:cs="Arial" w:eastAsia="Arial" w:hAnsi="Arial"/>
          <w:sz w:val="22"/>
          <w:szCs w:val="22"/>
        </w:rPr>
        <w:t xml:space="preserve">Aisle widths, finalised from the selected material handling equipment.</w:t>
      </w:r>
    </w:p>
    <w:p>
      <w:pPr>
        <w:pStyle w:val="ListParagraph"/>
        <w:numPr>
          <w:ilvl w:val="0"/>
          <w:numId w:val="2"/>
        </w:numPr>
        <w:spacing w:after="30" w:line="264"/>
        <w:jc w:val="both"/>
      </w:pPr>
      <w:r>
        <w:rPr>
          <w:rFonts w:ascii="Arial" w:cs="Arial" w:eastAsia="Arial" w:hAnsi="Arial"/>
          <w:sz w:val="22"/>
          <w:szCs w:val="22"/>
        </w:rPr>
        <w:t xml:space="preserve">Parking basis and bay counts, finalised once labour is calculated.</w:t>
      </w:r>
    </w:p>
    <w:p>
      <w:pPr>
        <w:pStyle w:val="ListParagraph"/>
        <w:numPr>
          <w:ilvl w:val="0"/>
          <w:numId w:val="2"/>
        </w:numPr>
        <w:spacing w:after="30" w:line="264"/>
        <w:jc w:val="both"/>
      </w:pPr>
      <w:r>
        <w:rPr>
          <w:rFonts w:ascii="Arial" w:cs="Arial" w:eastAsia="Arial" w:hAnsi="Arial"/>
          <w:sz w:val="22"/>
          <w:szCs w:val="22"/>
        </w:rPr>
        <w:t xml:space="preserve">Office and supervisor headcounts, confirmed with management.</w:t>
      </w:r>
    </w:p>
    <w:p>
      <w:pPr>
        <w:pStyle w:val="ListParagraph"/>
        <w:numPr>
          <w:ilvl w:val="0"/>
          <w:numId w:val="2"/>
        </w:numPr>
        <w:spacing w:after="30" w:line="264"/>
        <w:jc w:val="both"/>
      </w:pPr>
      <w:r>
        <w:rPr>
          <w:rFonts w:ascii="Arial" w:cs="Arial" w:eastAsia="Arial" w:hAnsi="Arial"/>
          <w:sz w:val="22"/>
          <w:szCs w:val="22"/>
        </w:rPr>
        <w:t xml:space="preserve">Work-in-progress buffer sizes, refined during line balancing.</w:t>
      </w:r>
    </w:p>
    <w:p>
      <w:pPr>
        <w:pStyle w:val="ListParagraph"/>
        <w:numPr>
          <w:ilvl w:val="0"/>
          <w:numId w:val="2"/>
        </w:numPr>
        <w:spacing w:after="30" w:line="264"/>
        <w:jc w:val="both"/>
      </w:pPr>
      <w:r>
        <w:rPr>
          <w:rFonts w:ascii="Arial" w:cs="Arial" w:eastAsia="Arial" w:hAnsi="Arial"/>
          <w:sz w:val="22"/>
          <w:szCs w:val="22"/>
        </w:rPr>
        <w:t xml:space="preserve">Tube stock length and sheet size and nesting, confirmed with the supplier.</w:t>
      </w:r>
    </w:p>
    <w:p>
      <w:pPr>
        <w:sectPr>
          <w:pgSz w:w="11906" w:h="16838" w:orient="portrait"/>
          <w:pgMar w:top="1440" w:right="1440" w:bottom="1440" w:left="1440" w:header="708" w:footer="708" w:gutter="0"/>
          <w:pgNumType/>
          <w:docGrid w:linePitch="360"/>
        </w:sectPr>
      </w:pPr>
    </w:p>
    <w:p>
      <w:pPr>
        <w:pStyle w:val="Heading1"/>
      </w:pPr>
      <w:r>
        <w:t xml:space="preserve">Appendix D   Detailed process flow chart and route sheet</w:t>
      </w:r>
    </w:p>
    <w:p>
      <w:pPr>
        <w:spacing w:after="40"/>
        <w:jc w:val="center"/>
      </w:pPr>
      <w:r>
        <w:drawing>
          <wp:inline distT="0" distB="0" distL="0" distR="0">
            <wp:extent cx="8763000" cy="2209800"/>
            <wp:effectExtent t="0" r="0" b="0" l="0"/>
            <wp:docPr id="1" name="FlowChart" descr="IE process flow chart with parallel streams, scrap exits, WIP, enclosed powder coating and legend" title="DigMore process flo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0" cy="2209800"/>
                    </a:xfrm>
                    <a:prstGeom prst="rect">
                      <a:avLst/>
                    </a:prstGeom>
                  </pic:spPr>
                </pic:pic>
              </a:graphicData>
            </a:graphic>
          </wp:inline>
        </w:drawing>
      </w:r>
    </w:p>
    <w:p>
      <w:pPr>
        <w:spacing w:after="130" w:before="40"/>
      </w:pPr>
      <w:r>
        <w:rPr>
          <w:rFonts w:ascii="Arial" w:cs="Arial" w:eastAsia="Arial" w:hAnsi="Arial"/>
          <w:i/>
          <w:iCs/>
          <w:color w:val="595959"/>
          <w:sz w:val="18"/>
          <w:szCs w:val="18"/>
        </w:rPr>
        <w:t xml:space="preserve">Figure D.1: DigMore process flow chart (IE convention; part of the quality management system).</w:t>
      </w:r>
    </w:p>
    <w:p>
      <w:pPr>
        <w:spacing w:after="130" w:line="276"/>
        <w:jc w:val="both"/>
      </w:pPr>
      <w:r>
        <w:rPr>
          <w:rFonts w:ascii="Arial" w:cs="Arial" w:eastAsia="Arial" w:hAnsi="Arial"/>
          <w:sz w:val="22"/>
          <w:szCs w:val="22"/>
        </w:rPr>
        <w:t xml:space="preserve">Table D.1 is the full process route sheet. Processing times are taken directly from the 2026 brief; equipment- or workstation-dependent times are shown as to be determined. The 5 percent scrap points are flagged in the note column.</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00"/>
        <w:gridCol w:w="1450"/>
        <w:gridCol w:w="1900"/>
        <w:gridCol w:w="1950"/>
        <w:gridCol w:w="1950"/>
        <w:gridCol w:w="1700"/>
        <w:gridCol w:w="2050"/>
        <w:gridCol w:w="2358"/>
      </w:tblGrid>
      <w:tr>
        <w:trPr>
          <w:tblHeader/>
        </w:trPr>
        <w:tc>
          <w:tcPr>
            <w:tcW w:type="dxa" w:w="6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5"/>
                <w:szCs w:val="15"/>
              </w:rPr>
              <w:t xml:space="preserve">Step</w:t>
            </w:r>
          </w:p>
        </w:tc>
        <w:tc>
          <w:tcPr>
            <w:tcW w:type="dxa" w:w="145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5"/>
                <w:szCs w:val="15"/>
              </w:rPr>
              <w:t xml:space="preserve">Component</w:t>
            </w:r>
          </w:p>
        </w:tc>
        <w:tc>
          <w:tcPr>
            <w:tcW w:type="dxa" w:w="19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5"/>
                <w:szCs w:val="15"/>
              </w:rPr>
              <w:t xml:space="preserve">Operation</w:t>
            </w:r>
          </w:p>
        </w:tc>
        <w:tc>
          <w:tcPr>
            <w:tcW w:type="dxa" w:w="195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5"/>
                <w:szCs w:val="15"/>
              </w:rPr>
              <w:t xml:space="preserve">Input</w:t>
            </w:r>
          </w:p>
        </w:tc>
        <w:tc>
          <w:tcPr>
            <w:tcW w:type="dxa" w:w="195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5"/>
                <w:szCs w:val="15"/>
              </w:rPr>
              <w:t xml:space="preserve">Output</w:t>
            </w:r>
          </w:p>
        </w:tc>
        <w:tc>
          <w:tcPr>
            <w:tcW w:type="dxa" w:w="17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5"/>
                <w:szCs w:val="15"/>
              </w:rPr>
              <w:t xml:space="preserve">Time (brief)</w:t>
            </w:r>
          </w:p>
        </w:tc>
        <w:tc>
          <w:tcPr>
            <w:tcW w:type="dxa" w:w="205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5"/>
                <w:szCs w:val="15"/>
              </w:rPr>
              <w:t xml:space="preserve">Equipment / workstation</w:t>
            </w:r>
          </w:p>
        </w:tc>
        <w:tc>
          <w:tcPr>
            <w:tcW w:type="dxa" w:w="2358"/>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2"/>
              <w:jc w:val="left"/>
            </w:pPr>
            <w:r>
              <w:rPr>
                <w:rFonts w:ascii="Arial" w:cs="Arial" w:eastAsia="Arial" w:hAnsi="Arial"/>
                <w:b/>
                <w:bCs/>
                <w:color w:val="FFFFFF"/>
                <w:sz w:val="15"/>
                <w:szCs w:val="15"/>
              </w:rPr>
              <w:t xml:space="preserve">Note</w:t>
            </w:r>
          </w:p>
        </w:tc>
      </w:tr>
      <w:tr>
        <w:tc>
          <w:tcPr>
            <w:tcW w:type="dxa" w:w="6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10</w:t>
            </w:r>
          </w:p>
        </w:tc>
        <w:tc>
          <w:tcPr>
            <w:tcW w:type="dxa" w:w="14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Raw material</w:t>
            </w:r>
          </w:p>
        </w:tc>
        <w:tc>
          <w:tcPr>
            <w:tcW w:type="dxa" w:w="1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Receiving and inspection</w:t>
            </w:r>
          </w:p>
        </w:tc>
        <w:tc>
          <w:tcPr>
            <w:tcW w:type="dxa" w:w="19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Tube, sheet, bought-in items</w:t>
            </w:r>
          </w:p>
        </w:tc>
        <w:tc>
          <w:tcPr>
            <w:tcW w:type="dxa" w:w="19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Inspected material in store</w:t>
            </w:r>
          </w:p>
        </w:tc>
        <w:tc>
          <w:tcPr>
            <w:tcW w:type="dxa" w:w="17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Not specified</w:t>
            </w:r>
          </w:p>
        </w:tc>
        <w:tc>
          <w:tcPr>
            <w:tcW w:type="dxa" w:w="20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Receiving dock / inspection</w:t>
            </w:r>
          </w:p>
        </w:tc>
        <w:tc>
          <w:tcPr>
            <w:tcW w:type="dxa" w:w="2358"/>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Incoming quality check</w:t>
            </w:r>
          </w:p>
        </w:tc>
      </w:tr>
      <w:tr>
        <w:tc>
          <w:tcPr>
            <w:tcW w:type="dxa" w:w="6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20</w:t>
            </w:r>
          </w:p>
        </w:tc>
        <w:tc>
          <w:tcPr>
            <w:tcW w:type="dxa" w:w="14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Handle</w:t>
            </w:r>
          </w:p>
        </w:tc>
        <w:tc>
          <w:tcPr>
            <w:tcW w:type="dxa" w:w="1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Cut handle</w:t>
            </w:r>
          </w:p>
        </w:tc>
        <w:tc>
          <w:tcPr>
            <w:tcW w:type="dxa" w:w="19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Aluminium round tube</w:t>
            </w:r>
          </w:p>
        </w:tc>
        <w:tc>
          <w:tcPr>
            <w:tcW w:type="dxa" w:w="19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150 mm sections (back, middle)</w:t>
            </w:r>
          </w:p>
        </w:tc>
        <w:tc>
          <w:tcPr>
            <w:tcW w:type="dxa" w:w="17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15 s per cut</w:t>
            </w:r>
          </w:p>
        </w:tc>
        <w:tc>
          <w:tcPr>
            <w:tcW w:type="dxa" w:w="20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Tube cutting / saw</w:t>
            </w:r>
          </w:p>
        </w:tc>
        <w:tc>
          <w:tcPr>
            <w:tcW w:type="dxa" w:w="2358"/>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5% scrap point</w:t>
            </w:r>
          </w:p>
        </w:tc>
      </w:tr>
      <w:tr>
        <w:tc>
          <w:tcPr>
            <w:tcW w:type="dxa" w:w="6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30</w:t>
            </w:r>
          </w:p>
        </w:tc>
        <w:tc>
          <w:tcPr>
            <w:tcW w:type="dxa" w:w="14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Middle handle</w:t>
            </w:r>
          </w:p>
        </w:tc>
        <w:tc>
          <w:tcPr>
            <w:tcW w:type="dxa" w:w="1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Internal thread</w:t>
            </w:r>
          </w:p>
        </w:tc>
        <w:tc>
          <w:tcPr>
            <w:tcW w:type="dxa" w:w="19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150 mm tube section</w:t>
            </w:r>
          </w:p>
        </w:tc>
        <w:tc>
          <w:tcPr>
            <w:tcW w:type="dxa" w:w="19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Threaded middle section</w:t>
            </w:r>
          </w:p>
        </w:tc>
        <w:tc>
          <w:tcPr>
            <w:tcW w:type="dxa" w:w="17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20 s per pipe</w:t>
            </w:r>
          </w:p>
        </w:tc>
        <w:tc>
          <w:tcPr>
            <w:tcW w:type="dxa" w:w="20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Threading machine</w:t>
            </w:r>
          </w:p>
        </w:tc>
        <w:tc>
          <w:tcPr>
            <w:tcW w:type="dxa" w:w="2358"/>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Receives grip</w:t>
            </w:r>
          </w:p>
        </w:tc>
      </w:tr>
      <w:tr>
        <w:tc>
          <w:tcPr>
            <w:tcW w:type="dxa" w:w="6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40</w:t>
            </w:r>
          </w:p>
        </w:tc>
        <w:tc>
          <w:tcPr>
            <w:tcW w:type="dxa" w:w="14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Back handle</w:t>
            </w:r>
          </w:p>
        </w:tc>
        <w:tc>
          <w:tcPr>
            <w:tcW w:type="dxa" w:w="1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Stamp / form narrow end</w:t>
            </w:r>
          </w:p>
        </w:tc>
        <w:tc>
          <w:tcPr>
            <w:tcW w:type="dxa" w:w="19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150 mm tube section</w:t>
            </w:r>
          </w:p>
        </w:tc>
        <w:tc>
          <w:tcPr>
            <w:tcW w:type="dxa" w:w="19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Narrowed-end tube</w:t>
            </w:r>
          </w:p>
        </w:tc>
        <w:tc>
          <w:tcPr>
            <w:tcW w:type="dxa" w:w="17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5 s per pipe</w:t>
            </w:r>
          </w:p>
        </w:tc>
        <w:tc>
          <w:tcPr>
            <w:tcW w:type="dxa" w:w="20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Stamping / forming</w:t>
            </w:r>
          </w:p>
        </w:tc>
        <w:tc>
          <w:tcPr>
            <w:tcW w:type="dxa" w:w="2358"/>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Prepares for thread</w:t>
            </w:r>
          </w:p>
        </w:tc>
      </w:tr>
      <w:tr>
        <w:tc>
          <w:tcPr>
            <w:tcW w:type="dxa" w:w="6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50</w:t>
            </w:r>
          </w:p>
        </w:tc>
        <w:tc>
          <w:tcPr>
            <w:tcW w:type="dxa" w:w="14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Back handle</w:t>
            </w:r>
          </w:p>
        </w:tc>
        <w:tc>
          <w:tcPr>
            <w:tcW w:type="dxa" w:w="1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Knurl + external thread</w:t>
            </w:r>
          </w:p>
        </w:tc>
        <w:tc>
          <w:tcPr>
            <w:tcW w:type="dxa" w:w="19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Narrowed-end tube</w:t>
            </w:r>
          </w:p>
        </w:tc>
        <w:tc>
          <w:tcPr>
            <w:tcW w:type="dxa" w:w="19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Threaded, knurled grip</w:t>
            </w:r>
          </w:p>
        </w:tc>
        <w:tc>
          <w:tcPr>
            <w:tcW w:type="dxa" w:w="17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1 min per pipe</w:t>
            </w:r>
          </w:p>
        </w:tc>
        <w:tc>
          <w:tcPr>
            <w:tcW w:type="dxa" w:w="20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Knurl / thread machine</w:t>
            </w:r>
          </w:p>
        </w:tc>
        <w:tc>
          <w:tcPr>
            <w:tcW w:type="dxa" w:w="2358"/>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Grip and male thread</w:t>
            </w:r>
          </w:p>
        </w:tc>
      </w:tr>
      <w:tr>
        <w:tc>
          <w:tcPr>
            <w:tcW w:type="dxa" w:w="6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60</w:t>
            </w:r>
          </w:p>
        </w:tc>
        <w:tc>
          <w:tcPr>
            <w:tcW w:type="dxa" w:w="14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Shovel head</w:t>
            </w:r>
          </w:p>
        </w:tc>
        <w:tc>
          <w:tcPr>
            <w:tcW w:type="dxa" w:w="1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Stamp shovel head</w:t>
            </w:r>
          </w:p>
        </w:tc>
        <w:tc>
          <w:tcPr>
            <w:tcW w:type="dxa" w:w="19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Aluminium sheet</w:t>
            </w:r>
          </w:p>
        </w:tc>
        <w:tc>
          <w:tcPr>
            <w:tcW w:type="dxa" w:w="19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Head blank</w:t>
            </w:r>
          </w:p>
        </w:tc>
        <w:tc>
          <w:tcPr>
            <w:tcW w:type="dxa" w:w="17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2 s per part</w:t>
            </w:r>
          </w:p>
        </w:tc>
        <w:tc>
          <w:tcPr>
            <w:tcW w:type="dxa" w:w="20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Stamping press</w:t>
            </w:r>
          </w:p>
        </w:tc>
        <w:tc>
          <w:tcPr>
            <w:tcW w:type="dxa" w:w="2358"/>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5% scrap point</w:t>
            </w:r>
          </w:p>
        </w:tc>
      </w:tr>
      <w:tr>
        <w:tc>
          <w:tcPr>
            <w:tcW w:type="dxa" w:w="6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70</w:t>
            </w:r>
          </w:p>
        </w:tc>
        <w:tc>
          <w:tcPr>
            <w:tcW w:type="dxa" w:w="14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Shovel head</w:t>
            </w:r>
          </w:p>
        </w:tc>
        <w:tc>
          <w:tcPr>
            <w:tcW w:type="dxa" w:w="1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Shape / bend head</w:t>
            </w:r>
          </w:p>
        </w:tc>
        <w:tc>
          <w:tcPr>
            <w:tcW w:type="dxa" w:w="19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Head blank</w:t>
            </w:r>
          </w:p>
        </w:tc>
        <w:tc>
          <w:tcPr>
            <w:tcW w:type="dxa" w:w="19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Formed head</w:t>
            </w:r>
          </w:p>
        </w:tc>
        <w:tc>
          <w:tcPr>
            <w:tcW w:type="dxa" w:w="17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2 s per head</w:t>
            </w:r>
          </w:p>
        </w:tc>
        <w:tc>
          <w:tcPr>
            <w:tcW w:type="dxa" w:w="20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Press / bending</w:t>
            </w:r>
          </w:p>
        </w:tc>
        <w:tc>
          <w:tcPr>
            <w:tcW w:type="dxa" w:w="2358"/>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Forms to shape</w:t>
            </w:r>
          </w:p>
        </w:tc>
      </w:tr>
      <w:tr>
        <w:tc>
          <w:tcPr>
            <w:tcW w:type="dxa" w:w="6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80</w:t>
            </w:r>
          </w:p>
        </w:tc>
        <w:tc>
          <w:tcPr>
            <w:tcW w:type="dxa" w:w="14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Shovel head</w:t>
            </w:r>
          </w:p>
        </w:tc>
        <w:tc>
          <w:tcPr>
            <w:tcW w:type="dxa" w:w="1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Sharpen blade</w:t>
            </w:r>
          </w:p>
        </w:tc>
        <w:tc>
          <w:tcPr>
            <w:tcW w:type="dxa" w:w="19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Formed head</w:t>
            </w:r>
          </w:p>
        </w:tc>
        <w:tc>
          <w:tcPr>
            <w:tcW w:type="dxa" w:w="19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Sharpened head</w:t>
            </w:r>
          </w:p>
        </w:tc>
        <w:tc>
          <w:tcPr>
            <w:tcW w:type="dxa" w:w="17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2 min per shovel</w:t>
            </w:r>
          </w:p>
        </w:tc>
        <w:tc>
          <w:tcPr>
            <w:tcW w:type="dxa" w:w="20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Sharpening station</w:t>
            </w:r>
          </w:p>
        </w:tc>
        <w:tc>
          <w:tcPr>
            <w:tcW w:type="dxa" w:w="2358"/>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Edge preparation</w:t>
            </w:r>
          </w:p>
        </w:tc>
      </w:tr>
      <w:tr>
        <w:tc>
          <w:tcPr>
            <w:tcW w:type="dxa" w:w="6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90</w:t>
            </w:r>
          </w:p>
        </w:tc>
        <w:tc>
          <w:tcPr>
            <w:tcW w:type="dxa" w:w="14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Shovel head</w:t>
            </w:r>
          </w:p>
        </w:tc>
        <w:tc>
          <w:tcPr>
            <w:tcW w:type="dxa" w:w="1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Serrate edge</w:t>
            </w:r>
          </w:p>
        </w:tc>
        <w:tc>
          <w:tcPr>
            <w:tcW w:type="dxa" w:w="19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Sharpened head</w:t>
            </w:r>
          </w:p>
        </w:tc>
        <w:tc>
          <w:tcPr>
            <w:tcW w:type="dxa" w:w="19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Serrated head</w:t>
            </w:r>
          </w:p>
        </w:tc>
        <w:tc>
          <w:tcPr>
            <w:tcW w:type="dxa" w:w="17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1 min per shovel</w:t>
            </w:r>
          </w:p>
        </w:tc>
        <w:tc>
          <w:tcPr>
            <w:tcW w:type="dxa" w:w="20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Serrating station</w:t>
            </w:r>
          </w:p>
        </w:tc>
        <w:tc>
          <w:tcPr>
            <w:tcW w:type="dxa" w:w="2358"/>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Serrated edge</w:t>
            </w:r>
          </w:p>
        </w:tc>
      </w:tr>
      <w:tr>
        <w:tc>
          <w:tcPr>
            <w:tcW w:type="dxa" w:w="6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100</w:t>
            </w:r>
          </w:p>
        </w:tc>
        <w:tc>
          <w:tcPr>
            <w:tcW w:type="dxa" w:w="14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Hinge connector</w:t>
            </w:r>
          </w:p>
        </w:tc>
        <w:tc>
          <w:tcPr>
            <w:tcW w:type="dxa" w:w="1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Stamp hinge connector</w:t>
            </w:r>
          </w:p>
        </w:tc>
        <w:tc>
          <w:tcPr>
            <w:tcW w:type="dxa" w:w="19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Aluminium sheet</w:t>
            </w:r>
          </w:p>
        </w:tc>
        <w:tc>
          <w:tcPr>
            <w:tcW w:type="dxa" w:w="19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Connector blank</w:t>
            </w:r>
          </w:p>
        </w:tc>
        <w:tc>
          <w:tcPr>
            <w:tcW w:type="dxa" w:w="17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2 s per part</w:t>
            </w:r>
          </w:p>
        </w:tc>
        <w:tc>
          <w:tcPr>
            <w:tcW w:type="dxa" w:w="20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Stamping press</w:t>
            </w:r>
          </w:p>
        </w:tc>
        <w:tc>
          <w:tcPr>
            <w:tcW w:type="dxa" w:w="2358"/>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5% scrap point</w:t>
            </w:r>
          </w:p>
        </w:tc>
      </w:tr>
      <w:tr>
        <w:tc>
          <w:tcPr>
            <w:tcW w:type="dxa" w:w="6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110</w:t>
            </w:r>
          </w:p>
        </w:tc>
        <w:tc>
          <w:tcPr>
            <w:tcW w:type="dxa" w:w="14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Hinge connector</w:t>
            </w:r>
          </w:p>
        </w:tc>
        <w:tc>
          <w:tcPr>
            <w:tcW w:type="dxa" w:w="1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Bend hinge connector</w:t>
            </w:r>
          </w:p>
        </w:tc>
        <w:tc>
          <w:tcPr>
            <w:tcW w:type="dxa" w:w="19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Connector blank</w:t>
            </w:r>
          </w:p>
        </w:tc>
        <w:tc>
          <w:tcPr>
            <w:tcW w:type="dxa" w:w="19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Formed connector</w:t>
            </w:r>
          </w:p>
        </w:tc>
        <w:tc>
          <w:tcPr>
            <w:tcW w:type="dxa" w:w="17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5 s per part</w:t>
            </w:r>
          </w:p>
        </w:tc>
        <w:tc>
          <w:tcPr>
            <w:tcW w:type="dxa" w:w="20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Bending station</w:t>
            </w:r>
          </w:p>
        </w:tc>
        <w:tc>
          <w:tcPr>
            <w:tcW w:type="dxa" w:w="2358"/>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Bent to shape</w:t>
            </w:r>
          </w:p>
        </w:tc>
      </w:tr>
      <w:tr>
        <w:tc>
          <w:tcPr>
            <w:tcW w:type="dxa" w:w="6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120</w:t>
            </w:r>
          </w:p>
        </w:tc>
        <w:tc>
          <w:tcPr>
            <w:tcW w:type="dxa" w:w="14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Head subassembly</w:t>
            </w:r>
          </w:p>
        </w:tc>
        <w:tc>
          <w:tcPr>
            <w:tcW w:type="dxa" w:w="1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Rivet hinge to head</w:t>
            </w:r>
          </w:p>
        </w:tc>
        <w:tc>
          <w:tcPr>
            <w:tcW w:type="dxa" w:w="19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Head + connector + rivet</w:t>
            </w:r>
          </w:p>
        </w:tc>
        <w:tc>
          <w:tcPr>
            <w:tcW w:type="dxa" w:w="19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Shovel-head subassembly</w:t>
            </w:r>
          </w:p>
        </w:tc>
        <w:tc>
          <w:tcPr>
            <w:tcW w:type="dxa" w:w="17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5 s per shovel</w:t>
            </w:r>
          </w:p>
        </w:tc>
        <w:tc>
          <w:tcPr>
            <w:tcW w:type="dxa" w:w="20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Riveting station</w:t>
            </w:r>
          </w:p>
        </w:tc>
        <w:tc>
          <w:tcPr>
            <w:tcW w:type="dxa" w:w="2358"/>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Forms folding joint</w:t>
            </w:r>
          </w:p>
        </w:tc>
      </w:tr>
      <w:tr>
        <w:tc>
          <w:tcPr>
            <w:tcW w:type="dxa" w:w="6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130</w:t>
            </w:r>
          </w:p>
        </w:tc>
        <w:tc>
          <w:tcPr>
            <w:tcW w:type="dxa" w:w="14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Head subassembly</w:t>
            </w:r>
          </w:p>
        </w:tc>
        <w:tc>
          <w:tcPr>
            <w:tcW w:type="dxa" w:w="1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Heat treat</w:t>
            </w:r>
          </w:p>
        </w:tc>
        <w:tc>
          <w:tcPr>
            <w:tcW w:type="dxa" w:w="19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Subassembly</w:t>
            </w:r>
          </w:p>
        </w:tc>
        <w:tc>
          <w:tcPr>
            <w:tcW w:type="dxa" w:w="19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Heat-treated subassembly</w:t>
            </w:r>
          </w:p>
        </w:tc>
        <w:tc>
          <w:tcPr>
            <w:tcW w:type="dxa" w:w="17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To be determined</w:t>
            </w:r>
          </w:p>
        </w:tc>
        <w:tc>
          <w:tcPr>
            <w:tcW w:type="dxa" w:w="20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Heat-treatment oven</w:t>
            </w:r>
          </w:p>
        </w:tc>
        <w:tc>
          <w:tcPr>
            <w:tcW w:type="dxa" w:w="2358"/>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Equipment-dependent</w:t>
            </w:r>
          </w:p>
        </w:tc>
      </w:tr>
      <w:tr>
        <w:tc>
          <w:tcPr>
            <w:tcW w:type="dxa" w:w="6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140</w:t>
            </w:r>
          </w:p>
        </w:tc>
        <w:tc>
          <w:tcPr>
            <w:tcW w:type="dxa" w:w="14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Head subassembly</w:t>
            </w:r>
          </w:p>
        </w:tc>
        <w:tc>
          <w:tcPr>
            <w:tcW w:type="dxa" w:w="1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Sandblast</w:t>
            </w:r>
          </w:p>
        </w:tc>
        <w:tc>
          <w:tcPr>
            <w:tcW w:type="dxa" w:w="19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Subassembly</w:t>
            </w:r>
          </w:p>
        </w:tc>
        <w:tc>
          <w:tcPr>
            <w:tcW w:type="dxa" w:w="19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Sandblasted subassembly</w:t>
            </w:r>
          </w:p>
        </w:tc>
        <w:tc>
          <w:tcPr>
            <w:tcW w:type="dxa" w:w="17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To be determined</w:t>
            </w:r>
          </w:p>
        </w:tc>
        <w:tc>
          <w:tcPr>
            <w:tcW w:type="dxa" w:w="20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Enclosed blast booth</w:t>
            </w:r>
          </w:p>
        </w:tc>
        <w:tc>
          <w:tcPr>
            <w:tcW w:type="dxa" w:w="2358"/>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Extraction required</w:t>
            </w:r>
          </w:p>
        </w:tc>
      </w:tr>
      <w:tr>
        <w:tc>
          <w:tcPr>
            <w:tcW w:type="dxa" w:w="6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150</w:t>
            </w:r>
          </w:p>
        </w:tc>
        <w:tc>
          <w:tcPr>
            <w:tcW w:type="dxa" w:w="14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Head subassembly</w:t>
            </w:r>
          </w:p>
        </w:tc>
        <w:tc>
          <w:tcPr>
            <w:tcW w:type="dxa" w:w="1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Hand polish / deburr</w:t>
            </w:r>
          </w:p>
        </w:tc>
        <w:tc>
          <w:tcPr>
            <w:tcW w:type="dxa" w:w="19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Subassembly</w:t>
            </w:r>
          </w:p>
        </w:tc>
        <w:tc>
          <w:tcPr>
            <w:tcW w:type="dxa" w:w="19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Deburred subassembly</w:t>
            </w:r>
          </w:p>
        </w:tc>
        <w:tc>
          <w:tcPr>
            <w:tcW w:type="dxa" w:w="17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1 min per head</w:t>
            </w:r>
          </w:p>
        </w:tc>
        <w:tc>
          <w:tcPr>
            <w:tcW w:type="dxa" w:w="20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Polishing station</w:t>
            </w:r>
          </w:p>
        </w:tc>
        <w:tc>
          <w:tcPr>
            <w:tcW w:type="dxa" w:w="2358"/>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Surface finish</w:t>
            </w:r>
          </w:p>
        </w:tc>
      </w:tr>
      <w:tr>
        <w:tc>
          <w:tcPr>
            <w:tcW w:type="dxa" w:w="6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160</w:t>
            </w:r>
          </w:p>
        </w:tc>
        <w:tc>
          <w:tcPr>
            <w:tcW w:type="dxa" w:w="14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All parts</w:t>
            </w:r>
          </w:p>
        </w:tc>
        <w:tc>
          <w:tcPr>
            <w:tcW w:type="dxa" w:w="1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Powder-coat (black)</w:t>
            </w:r>
          </w:p>
        </w:tc>
        <w:tc>
          <w:tcPr>
            <w:tcW w:type="dxa" w:w="19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Handles + subassembly</w:t>
            </w:r>
          </w:p>
        </w:tc>
        <w:tc>
          <w:tcPr>
            <w:tcW w:type="dxa" w:w="19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Coated parts</w:t>
            </w:r>
          </w:p>
        </w:tc>
        <w:tc>
          <w:tcPr>
            <w:tcW w:type="dxa" w:w="17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To be determined</w:t>
            </w:r>
          </w:p>
        </w:tc>
        <w:tc>
          <w:tcPr>
            <w:tcW w:type="dxa" w:w="20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Enclosed powder-coat line</w:t>
            </w:r>
          </w:p>
        </w:tc>
        <w:tc>
          <w:tcPr>
            <w:tcW w:type="dxa" w:w="2358"/>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Fully enclosed; safety</w:t>
            </w:r>
          </w:p>
        </w:tc>
      </w:tr>
      <w:tr>
        <w:tc>
          <w:tcPr>
            <w:tcW w:type="dxa" w:w="6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170</w:t>
            </w:r>
          </w:p>
        </w:tc>
        <w:tc>
          <w:tcPr>
            <w:tcW w:type="dxa" w:w="14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Finished shovel</w:t>
            </w:r>
          </w:p>
        </w:tc>
        <w:tc>
          <w:tcPr>
            <w:tcW w:type="dxa" w:w="1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Final assembly</w:t>
            </w:r>
          </w:p>
        </w:tc>
        <w:tc>
          <w:tcPr>
            <w:tcW w:type="dxa" w:w="19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Coated parts + rivet</w:t>
            </w:r>
          </w:p>
        </w:tc>
        <w:tc>
          <w:tcPr>
            <w:tcW w:type="dxa" w:w="19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Assembled shovel</w:t>
            </w:r>
          </w:p>
        </w:tc>
        <w:tc>
          <w:tcPr>
            <w:tcW w:type="dxa" w:w="17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30 s per shovel</w:t>
            </w:r>
          </w:p>
        </w:tc>
        <w:tc>
          <w:tcPr>
            <w:tcW w:type="dxa" w:w="20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Assembly station</w:t>
            </w:r>
          </w:p>
        </w:tc>
        <w:tc>
          <w:tcPr>
            <w:tcW w:type="dxa" w:w="2358"/>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Grip screws in; hinged head</w:t>
            </w:r>
          </w:p>
        </w:tc>
      </w:tr>
      <w:tr>
        <w:tc>
          <w:tcPr>
            <w:tcW w:type="dxa" w:w="6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180</w:t>
            </w:r>
          </w:p>
        </w:tc>
        <w:tc>
          <w:tcPr>
            <w:tcW w:type="dxa" w:w="14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Finished shovel</w:t>
            </w:r>
          </w:p>
        </w:tc>
        <w:tc>
          <w:tcPr>
            <w:tcW w:type="dxa" w:w="1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Hand packaging + visual check</w:t>
            </w:r>
          </w:p>
        </w:tc>
        <w:tc>
          <w:tcPr>
            <w:tcW w:type="dxa" w:w="19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Shovel + bag + box</w:t>
            </w:r>
          </w:p>
        </w:tc>
        <w:tc>
          <w:tcPr>
            <w:tcW w:type="dxa" w:w="19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Packaged shovel</w:t>
            </w:r>
          </w:p>
        </w:tc>
        <w:tc>
          <w:tcPr>
            <w:tcW w:type="dxa" w:w="17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To be determined</w:t>
            </w:r>
          </w:p>
        </w:tc>
        <w:tc>
          <w:tcPr>
            <w:tcW w:type="dxa" w:w="20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Packaging station</w:t>
            </w:r>
          </w:p>
        </w:tc>
        <w:tc>
          <w:tcPr>
            <w:tcW w:type="dxa" w:w="2358"/>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Final quality check</w:t>
            </w:r>
          </w:p>
        </w:tc>
      </w:tr>
      <w:tr>
        <w:tc>
          <w:tcPr>
            <w:tcW w:type="dxa" w:w="6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190</w:t>
            </w:r>
          </w:p>
        </w:tc>
        <w:tc>
          <w:tcPr>
            <w:tcW w:type="dxa" w:w="14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Finished goods</w:t>
            </w:r>
          </w:p>
        </w:tc>
        <w:tc>
          <w:tcPr>
            <w:tcW w:type="dxa" w:w="1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Finished goods storage</w:t>
            </w:r>
          </w:p>
        </w:tc>
        <w:tc>
          <w:tcPr>
            <w:tcW w:type="dxa" w:w="19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Packaged shovels</w:t>
            </w:r>
          </w:p>
        </w:tc>
        <w:tc>
          <w:tcPr>
            <w:tcW w:type="dxa" w:w="19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Stored stock</w:t>
            </w:r>
          </w:p>
        </w:tc>
        <w:tc>
          <w:tcPr>
            <w:tcW w:type="dxa" w:w="17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Not applicable</w:t>
            </w:r>
          </w:p>
        </w:tc>
        <w:tc>
          <w:tcPr>
            <w:tcW w:type="dxa" w:w="20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Finished goods store</w:t>
            </w:r>
          </w:p>
        </w:tc>
        <w:tc>
          <w:tcPr>
            <w:tcW w:type="dxa" w:w="2358"/>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4 weeks stock</w:t>
            </w:r>
          </w:p>
        </w:tc>
      </w:tr>
      <w:tr>
        <w:tc>
          <w:tcPr>
            <w:tcW w:type="dxa" w:w="6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200</w:t>
            </w:r>
          </w:p>
        </w:tc>
        <w:tc>
          <w:tcPr>
            <w:tcW w:type="dxa" w:w="14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Finished goods</w:t>
            </w:r>
          </w:p>
        </w:tc>
        <w:tc>
          <w:tcPr>
            <w:tcW w:type="dxa" w:w="1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Collection / dispatch</w:t>
            </w:r>
          </w:p>
        </w:tc>
        <w:tc>
          <w:tcPr>
            <w:tcW w:type="dxa" w:w="19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Packaged shovels</w:t>
            </w:r>
          </w:p>
        </w:tc>
        <w:tc>
          <w:tcPr>
            <w:tcW w:type="dxa" w:w="19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Collected / dispatched order</w:t>
            </w:r>
          </w:p>
        </w:tc>
        <w:tc>
          <w:tcPr>
            <w:tcW w:type="dxa" w:w="17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Not applicable</w:t>
            </w:r>
          </w:p>
        </w:tc>
        <w:tc>
          <w:tcPr>
            <w:tcW w:type="dxa" w:w="20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Collection bay / dock</w:t>
            </w:r>
          </w:p>
        </w:tc>
        <w:tc>
          <w:tcPr>
            <w:tcW w:type="dxa" w:w="2358"/>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2"/>
              <w:jc w:val="left"/>
            </w:pPr>
            <w:r>
              <w:rPr>
                <w:rFonts w:ascii="Arial" w:cs="Arial" w:eastAsia="Arial" w:hAnsi="Arial"/>
                <w:b w:val="false"/>
                <w:bCs w:val="false"/>
                <w:color w:val="000000"/>
                <w:sz w:val="15"/>
                <w:szCs w:val="15"/>
              </w:rPr>
              <w:t xml:space="preserve">Small = collect; large = fleet</w:t>
            </w:r>
          </w:p>
        </w:tc>
      </w:tr>
    </w:tbl>
    <w:p>
      <w:pPr>
        <w:spacing w:after="130" w:before="40"/>
      </w:pPr>
      <w:r>
        <w:rPr>
          <w:rFonts w:ascii="Arial" w:cs="Arial" w:eastAsia="Arial" w:hAnsi="Arial"/>
          <w:i/>
          <w:iCs/>
          <w:color w:val="595959"/>
          <w:sz w:val="18"/>
          <w:szCs w:val="18"/>
        </w:rPr>
        <w:t xml:space="preserve">Table D.1: Full process route sheet (times as stated in the 2026 brief).</w:t>
      </w: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60"/>
      <w:outlineLvl w:val="0"/>
    </w:pPr>
    <w:rPr>
      <w:rFonts w:ascii="Arial" w:cs="Arial" w:eastAsia="Arial" w:hAnsi="Arial"/>
      <w:b/>
      <w:bCs/>
      <w:color w:val="1F4E79"/>
      <w:sz w:val="28"/>
      <w:szCs w:val="28"/>
    </w:rPr>
  </w:style>
  <w:style w:type="paragraph" w:styleId="Heading2">
    <w:name w:val="Heading 2"/>
    <w:basedOn w:val="Normal"/>
    <w:next w:val="Normal"/>
    <w:qFormat/>
    <w:pPr>
      <w:keepNext/>
      <w:spacing w:after="90" w:before="1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6663cd63abe2df29c5c3b3724a4680969a2d6e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DigMore Sections 1-4 (restructured) with appendices</dc:title>
  <dc:creator>DigMore Facility Design</dc:creator>
  <cp:lastModifiedBy>Un-named</cp:lastModifiedBy>
  <cp:revision>1</cp:revision>
  <dcterms:created xsi:type="dcterms:W3CDTF">2026-06-08T14:01:00.477Z</dcterms:created>
  <dcterms:modified xsi:type="dcterms:W3CDTF">2026-06-08T14:01:00.483Z</dcterms:modified>
</cp:coreProperties>
</file>

<file path=docProps/custom.xml><?xml version="1.0" encoding="utf-8"?>
<Properties xmlns="http://schemas.openxmlformats.org/officeDocument/2006/custom-properties" xmlns:vt="http://schemas.openxmlformats.org/officeDocument/2006/docPropsVTypes"/>
</file>