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Detail Design Specifications</w:t>
      </w:r>
    </w:p>
    <w:p>
      <w:r>
        <w:t>This chapter converts the DigMore Co. demand and product specification into the quantitative parameters that govern the new facility: production rates, raw-material quantities, machine and operator requirements, workstation layouts, material handling, storage, receiving and dispatch, support facilities and floor space, including the 10 % future expansion allowance. Each parameter is derived from the 2026 assignment brief or the supporting calculation workbook, and each subsection closes with its implications for material flow and the Master Facility Plan. All equipment named is a market example used for sizing and illustration only; final selection requires supplier quotation.</w:t>
      </w:r>
    </w:p>
    <w:p>
      <w:pPr>
        <w:keepNext/>
        <w:jc w:val="center"/>
        <w:pBdr>
          <w:top w:val="dashed" w:sz="8" w:color="C00000" w:space="6"/>
          <w:left w:val="dashed" w:sz="8" w:color="C00000" w:space="6"/>
          <w:bottom w:val="dashed" w:sz="8" w:color="C00000" w:space="6"/>
          <w:right w:val="dashed" w:sz="8" w:color="C00000" w:space="6"/>
        </w:pBdr>
      </w:pPr>
      <w:r>
        <w:rPr>
          <w:i/>
          <w:color w:val="804000"/>
        </w:rPr>
        <w:t>[ INSERT FIGURE 1 — draw simple exploded view (15 min, diagrams.net) ]</w:t>
      </w:r>
    </w:p>
    <w:p>
      <w:pPr>
        <w:pStyle w:val="FigCap"/>
      </w:pPr>
      <w:r>
        <w:t>Figure 1: Folding mini shovel component breakdown — back handle, middle handle, shovel head and hinge connector (Ø31.70 × 3.18 mm aluminium tube; 2.5 mm aluminium sheet). Author’s own, from the 2026 brief.</w:t>
      </w:r>
    </w:p>
    <w:p>
      <w:pPr>
        <w:pStyle w:val="LnkLine"/>
      </w:pPr>
      <w:r>
        <w:rPr>
          <w:sz w:val="18"/>
        </w:rPr>
        <w:t xml:space="preserve">Open source page: </w:t>
      </w:r>
      <w:hyperlink r:id="rId9">
        <w:r>
          <w:rPr>
            <w:color w:val="0563C1"/>
            <w:u w:val="single"/>
            <w:sz w:val="18"/>
            <w:rFonts w:ascii="Arial" w:hAnsi="Arial"/>
          </w:rPr>
          <w:t>https://app.diagrams.net</w:t>
        </w:r>
      </w:hyperlink>
    </w:p>
    <w:p>
      <w:pPr>
        <w:pStyle w:val="Heading2"/>
      </w:pPr>
      <w:r>
        <w:t>6.1 Demand and Production Requirements</w:t>
      </w:r>
    </w:p>
    <w:p>
      <w:r>
        <w:t>The facility must produce 400 000 folding mini shovels per year over 220 working days on a single 9-hour shift containing one 30-minute lunch and two 15-minute tea breaks, leaving 480 productive minutes per day. Equipment is sized on the full 480 minutes (availability 1.0) — a design assumption with no setup or breakdown allowance, tested in Section 6.3. The daily requirement is rounded up to avoid an annual shortfall:</w:t>
      </w:r>
    </w:p>
    <w:p>
      <w:pPr>
        <w:tabs>
          <w:tab w:pos="9071" w:val="right"/>
        </w:tabs>
      </w:pPr>
      <w:r>
        <w:rPr>
          <w:rFonts w:ascii="Cambria Math" w:hAnsi="Cambria Math"/>
          <w:i/>
          <w:sz w:val="22"/>
        </w:rPr>
        <w:t xml:space="preserve">        Daily demand = ⌈400 000 / 220⌉ = ⌈1 818.2⌉ = 1 819 shovels/day</w:t>
      </w:r>
      <w:r>
        <w:rPr>
          <w:sz w:val="20"/>
        </w:rPr>
        <w:tab/>
        <w:t>(1)</w:t>
      </w:r>
    </w:p>
    <w:p>
      <w:pPr>
        <w:tabs>
          <w:tab w:pos="9071" w:val="right"/>
        </w:tabs>
      </w:pPr>
      <w:r>
        <w:rPr>
          <w:rFonts w:ascii="Cambria Math" w:hAnsi="Cambria Math"/>
          <w:i/>
          <w:sz w:val="22"/>
        </w:rPr>
        <w:t xml:space="preserve">        Takt time = 480 min / 1 819 = 0.264 min/shovel = 15.83 s/shovel</w:t>
      </w:r>
      <w:r>
        <w:rPr>
          <w:sz w:val="20"/>
        </w:rPr>
        <w:tab/>
        <w:t>(2)</w:t>
      </w:r>
    </w:p>
    <w:p>
      <w:r>
        <w:t>Hourly production is 1 819 / 8 ≈ 228 shovels per hour. The 5 % scrap allowance applies only to tube cutting and sheet stamping, so those operations and all upstream of them run at a gross rate of good ÷ 0.95.</w:t>
      </w:r>
    </w:p>
    <w:p>
      <w:pPr>
        <w:pStyle w:val="TblCap"/>
      </w:pPr>
      <w:r>
        <w:t>Table 1: Demand and production parameters</w:t>
      </w:r>
    </w:p>
    <w:tbl>
      <w:tblPr>
        <w:tblW w:type="auto" w:w="0"/>
        <w:tblLook w:firstColumn="1" w:firstRow="1" w:lastColumn="0" w:lastRow="0" w:noHBand="0" w:noVBand="1" w:val="04A0"/>
        <w:tblBorders>
          <w:top w:val="single" w:sz="4" w:color="7F7F7F"/>
          <w:left w:val="single" w:sz="4" w:color="7F7F7F"/>
          <w:bottom w:val="single" w:sz="4" w:color="7F7F7F"/>
          <w:right w:val="single" w:sz="4" w:color="7F7F7F"/>
          <w:insideH w:val="single" w:sz="4" w:color="7F7F7F"/>
          <w:insideV w:val="single" w:sz="4" w:color="7F7F7F"/>
        </w:tblBorders>
        <w:tblW w:w="5000" w:type="pct"/>
      </w:tblPr>
      <w:tblGrid>
        <w:gridCol w:w="2324"/>
        <w:gridCol w:w="2324"/>
        <w:gridCol w:w="2324"/>
        <w:gridCol w:w="2324"/>
      </w:tblGrid>
      <w:tr>
        <w:trPr>
          <w:cantSplit/>
          <w:tblHeader w:val="true"/>
        </w:trPr>
        <w:tc>
          <w:tcPr>
            <w:tcW w:type="dxa" w:w="2324"/>
            <w:shd w:val="clear" w:fill="E7E6E6"/>
          </w:tcPr>
          <w:p>
            <w:pPr>
              <w:spacing w:before="20" w:after="20"/>
            </w:pPr>
            <w:r>
              <w:rPr>
                <w:rFonts w:ascii="Arial" w:hAnsi="Arial"/>
                <w:b/>
                <w:sz w:val="18"/>
              </w:rPr>
              <w:t>Parameter</w:t>
            </w:r>
          </w:p>
        </w:tc>
        <w:tc>
          <w:tcPr>
            <w:tcW w:type="dxa" w:w="2324"/>
            <w:shd w:val="clear" w:fill="E7E6E6"/>
          </w:tcPr>
          <w:p>
            <w:pPr>
              <w:spacing w:before="20" w:after="20"/>
            </w:pPr>
            <w:r>
              <w:rPr>
                <w:rFonts w:ascii="Arial" w:hAnsi="Arial"/>
                <w:b/>
                <w:sz w:val="18"/>
              </w:rPr>
              <w:t>Value</w:t>
            </w:r>
          </w:p>
        </w:tc>
        <w:tc>
          <w:tcPr>
            <w:tcW w:type="dxa" w:w="2324"/>
            <w:shd w:val="clear" w:fill="E7E6E6"/>
          </w:tcPr>
          <w:p>
            <w:pPr>
              <w:spacing w:before="20" w:after="20"/>
            </w:pPr>
            <w:r>
              <w:rPr>
                <w:rFonts w:ascii="Arial" w:hAnsi="Arial"/>
                <w:b/>
                <w:sz w:val="18"/>
              </w:rPr>
              <w:t>Unit</w:t>
            </w:r>
          </w:p>
        </w:tc>
        <w:tc>
          <w:tcPr>
            <w:tcW w:type="dxa" w:w="2324"/>
            <w:shd w:val="clear" w:fill="E7E6E6"/>
          </w:tcPr>
          <w:p>
            <w:pPr>
              <w:spacing w:before="20" w:after="20"/>
            </w:pPr>
            <w:r>
              <w:rPr>
                <w:rFonts w:ascii="Arial" w:hAnsi="Arial"/>
                <w:b/>
                <w:sz w:val="18"/>
              </w:rPr>
              <w:t>Basis</w:t>
            </w:r>
          </w:p>
        </w:tc>
      </w:tr>
      <w:tr>
        <w:trPr>
          <w:cantSplit/>
        </w:trPr>
        <w:tc>
          <w:tcPr>
            <w:tcW w:type="dxa" w:w="2324"/>
          </w:tcPr>
          <w:p>
            <w:pPr>
              <w:spacing w:before="20" w:after="20"/>
            </w:pPr>
            <w:r>
              <w:rPr>
                <w:rFonts w:ascii="Arial" w:hAnsi="Arial"/>
                <w:sz w:val="18"/>
              </w:rPr>
              <w:t>Annual demand</w:t>
            </w:r>
          </w:p>
        </w:tc>
        <w:tc>
          <w:tcPr>
            <w:tcW w:type="dxa" w:w="2324"/>
          </w:tcPr>
          <w:p>
            <w:pPr>
              <w:spacing w:before="20" w:after="20"/>
            </w:pPr>
            <w:r>
              <w:rPr>
                <w:rFonts w:ascii="Arial" w:hAnsi="Arial"/>
                <w:sz w:val="18"/>
              </w:rPr>
              <w:t>400 000</w:t>
            </w:r>
          </w:p>
        </w:tc>
        <w:tc>
          <w:tcPr>
            <w:tcW w:type="dxa" w:w="2324"/>
          </w:tcPr>
          <w:p>
            <w:pPr>
              <w:spacing w:before="20" w:after="20"/>
            </w:pPr>
            <w:r>
              <w:rPr>
                <w:rFonts w:ascii="Arial" w:hAnsi="Arial"/>
                <w:sz w:val="18"/>
              </w:rPr>
              <w:t>shovels/yr</w:t>
            </w:r>
          </w:p>
        </w:tc>
        <w:tc>
          <w:tcPr>
            <w:tcW w:type="dxa" w:w="2324"/>
          </w:tcPr>
          <w:p>
            <w:pPr>
              <w:spacing w:before="20" w:after="20"/>
            </w:pPr>
            <w:r>
              <w:rPr>
                <w:rFonts w:ascii="Arial" w:hAnsi="Arial"/>
                <w:sz w:val="18"/>
              </w:rPr>
              <w:t>Brief</w:t>
            </w:r>
          </w:p>
        </w:tc>
      </w:tr>
      <w:tr>
        <w:trPr>
          <w:cantSplit/>
        </w:trPr>
        <w:tc>
          <w:tcPr>
            <w:tcW w:type="dxa" w:w="2324"/>
          </w:tcPr>
          <w:p>
            <w:pPr>
              <w:spacing w:before="20" w:after="20"/>
            </w:pPr>
            <w:r>
              <w:rPr>
                <w:rFonts w:ascii="Arial" w:hAnsi="Arial"/>
                <w:sz w:val="18"/>
              </w:rPr>
              <w:t>Working days</w:t>
            </w:r>
          </w:p>
        </w:tc>
        <w:tc>
          <w:tcPr>
            <w:tcW w:type="dxa" w:w="2324"/>
          </w:tcPr>
          <w:p>
            <w:pPr>
              <w:spacing w:before="20" w:after="20"/>
            </w:pPr>
            <w:r>
              <w:rPr>
                <w:rFonts w:ascii="Arial" w:hAnsi="Arial"/>
                <w:sz w:val="18"/>
              </w:rPr>
              <w:t>220</w:t>
            </w:r>
          </w:p>
        </w:tc>
        <w:tc>
          <w:tcPr>
            <w:tcW w:type="dxa" w:w="2324"/>
          </w:tcPr>
          <w:p>
            <w:pPr>
              <w:spacing w:before="20" w:after="20"/>
            </w:pPr>
            <w:r>
              <w:rPr>
                <w:rFonts w:ascii="Arial" w:hAnsi="Arial"/>
                <w:sz w:val="18"/>
              </w:rPr>
              <w:t>days/yr</w:t>
            </w:r>
          </w:p>
        </w:tc>
        <w:tc>
          <w:tcPr>
            <w:tcW w:type="dxa" w:w="2324"/>
          </w:tcPr>
          <w:p>
            <w:pPr>
              <w:spacing w:before="20" w:after="20"/>
            </w:pPr>
            <w:r>
              <w:rPr>
                <w:rFonts w:ascii="Arial" w:hAnsi="Arial"/>
                <w:sz w:val="18"/>
              </w:rPr>
              <w:t>Brief</w:t>
            </w:r>
          </w:p>
        </w:tc>
      </w:tr>
      <w:tr>
        <w:trPr>
          <w:cantSplit/>
        </w:trPr>
        <w:tc>
          <w:tcPr>
            <w:tcW w:type="dxa" w:w="2324"/>
          </w:tcPr>
          <w:p>
            <w:pPr>
              <w:spacing w:before="20" w:after="20"/>
            </w:pPr>
            <w:r>
              <w:rPr>
                <w:rFonts w:ascii="Arial" w:hAnsi="Arial"/>
                <w:sz w:val="18"/>
              </w:rPr>
              <w:t>Effective time</w:t>
            </w:r>
          </w:p>
        </w:tc>
        <w:tc>
          <w:tcPr>
            <w:tcW w:type="dxa" w:w="2324"/>
          </w:tcPr>
          <w:p>
            <w:pPr>
              <w:spacing w:before="20" w:after="20"/>
            </w:pPr>
            <w:r>
              <w:rPr>
                <w:rFonts w:ascii="Arial" w:hAnsi="Arial"/>
                <w:sz w:val="18"/>
              </w:rPr>
              <w:t>480</w:t>
            </w:r>
          </w:p>
        </w:tc>
        <w:tc>
          <w:tcPr>
            <w:tcW w:type="dxa" w:w="2324"/>
          </w:tcPr>
          <w:p>
            <w:pPr>
              <w:spacing w:before="20" w:after="20"/>
            </w:pPr>
            <w:r>
              <w:rPr>
                <w:rFonts w:ascii="Arial" w:hAnsi="Arial"/>
                <w:sz w:val="18"/>
              </w:rPr>
              <w:t>min/day</w:t>
            </w:r>
          </w:p>
        </w:tc>
        <w:tc>
          <w:tcPr>
            <w:tcW w:type="dxa" w:w="2324"/>
          </w:tcPr>
          <w:p>
            <w:pPr>
              <w:spacing w:before="20" w:after="20"/>
            </w:pPr>
            <w:r>
              <w:rPr>
                <w:rFonts w:ascii="Arial" w:hAnsi="Arial"/>
                <w:sz w:val="18"/>
              </w:rPr>
              <w:t>Shift 540 − breaks 60</w:t>
            </w:r>
          </w:p>
        </w:tc>
      </w:tr>
      <w:tr>
        <w:trPr>
          <w:cantSplit/>
        </w:trPr>
        <w:tc>
          <w:tcPr>
            <w:tcW w:type="dxa" w:w="2324"/>
          </w:tcPr>
          <w:p>
            <w:pPr>
              <w:spacing w:before="20" w:after="20"/>
            </w:pPr>
            <w:r>
              <w:rPr>
                <w:rFonts w:ascii="Arial" w:hAnsi="Arial"/>
                <w:sz w:val="18"/>
              </w:rPr>
              <w:t>Availability</w:t>
            </w:r>
          </w:p>
        </w:tc>
        <w:tc>
          <w:tcPr>
            <w:tcW w:type="dxa" w:w="2324"/>
          </w:tcPr>
          <w:p>
            <w:pPr>
              <w:spacing w:before="20" w:after="20"/>
            </w:pPr>
            <w:r>
              <w:rPr>
                <w:rFonts w:ascii="Arial" w:hAnsi="Arial"/>
                <w:sz w:val="18"/>
              </w:rPr>
              <w:t>1.0</w:t>
            </w:r>
          </w:p>
        </w:tc>
        <w:tc>
          <w:tcPr>
            <w:tcW w:type="dxa" w:w="2324"/>
          </w:tcPr>
          <w:p>
            <w:pPr>
              <w:spacing w:before="20" w:after="20"/>
            </w:pPr>
            <w:r>
              <w:rPr>
                <w:rFonts w:ascii="Arial" w:hAnsi="Arial"/>
                <w:sz w:val="18"/>
              </w:rPr>
              <w:t>–</w:t>
            </w:r>
          </w:p>
        </w:tc>
        <w:tc>
          <w:tcPr>
            <w:tcW w:type="dxa" w:w="2324"/>
          </w:tcPr>
          <w:p>
            <w:pPr>
              <w:spacing w:before="20" w:after="20"/>
            </w:pPr>
            <w:r>
              <w:rPr>
                <w:rFonts w:ascii="Arial" w:hAnsi="Arial"/>
                <w:sz w:val="18"/>
              </w:rPr>
              <w:t>Assumption (sensitivity §6.3)</w:t>
            </w:r>
          </w:p>
        </w:tc>
      </w:tr>
      <w:tr>
        <w:trPr>
          <w:cantSplit/>
        </w:trPr>
        <w:tc>
          <w:tcPr>
            <w:tcW w:type="dxa" w:w="2324"/>
          </w:tcPr>
          <w:p>
            <w:pPr>
              <w:spacing w:before="20" w:after="20"/>
            </w:pPr>
            <w:r>
              <w:rPr>
                <w:rFonts w:ascii="Arial" w:hAnsi="Arial"/>
                <w:sz w:val="18"/>
              </w:rPr>
              <w:t>Daily demand</w:t>
            </w:r>
          </w:p>
        </w:tc>
        <w:tc>
          <w:tcPr>
            <w:tcW w:type="dxa" w:w="2324"/>
          </w:tcPr>
          <w:p>
            <w:pPr>
              <w:spacing w:before="20" w:after="20"/>
            </w:pPr>
            <w:r>
              <w:rPr>
                <w:rFonts w:ascii="Arial" w:hAnsi="Arial"/>
                <w:sz w:val="18"/>
              </w:rPr>
              <w:t>1 819</w:t>
            </w:r>
          </w:p>
        </w:tc>
        <w:tc>
          <w:tcPr>
            <w:tcW w:type="dxa" w:w="2324"/>
          </w:tcPr>
          <w:p>
            <w:pPr>
              <w:spacing w:before="20" w:after="20"/>
            </w:pPr>
            <w:r>
              <w:rPr>
                <w:rFonts w:ascii="Arial" w:hAnsi="Arial"/>
                <w:sz w:val="18"/>
              </w:rPr>
              <w:t>shovels/day</w:t>
            </w:r>
          </w:p>
        </w:tc>
        <w:tc>
          <w:tcPr>
            <w:tcW w:type="dxa" w:w="2324"/>
          </w:tcPr>
          <w:p>
            <w:pPr>
              <w:spacing w:before="20" w:after="20"/>
            </w:pPr>
            <w:r>
              <w:rPr>
                <w:rFonts w:ascii="Arial" w:hAnsi="Arial"/>
                <w:sz w:val="18"/>
              </w:rPr>
              <w:t>Equation (1)</w:t>
            </w:r>
          </w:p>
        </w:tc>
      </w:tr>
      <w:tr>
        <w:trPr>
          <w:cantSplit/>
        </w:trPr>
        <w:tc>
          <w:tcPr>
            <w:tcW w:type="dxa" w:w="2324"/>
          </w:tcPr>
          <w:p>
            <w:pPr>
              <w:spacing w:before="20" w:after="20"/>
            </w:pPr>
            <w:r>
              <w:rPr>
                <w:rFonts w:ascii="Arial" w:hAnsi="Arial"/>
                <w:sz w:val="18"/>
              </w:rPr>
              <w:t>Takt time</w:t>
            </w:r>
          </w:p>
        </w:tc>
        <w:tc>
          <w:tcPr>
            <w:tcW w:type="dxa" w:w="2324"/>
          </w:tcPr>
          <w:p>
            <w:pPr>
              <w:spacing w:before="20" w:after="20"/>
            </w:pPr>
            <w:r>
              <w:rPr>
                <w:rFonts w:ascii="Arial" w:hAnsi="Arial"/>
                <w:sz w:val="18"/>
              </w:rPr>
              <w:t>15.83</w:t>
            </w:r>
          </w:p>
        </w:tc>
        <w:tc>
          <w:tcPr>
            <w:tcW w:type="dxa" w:w="2324"/>
          </w:tcPr>
          <w:p>
            <w:pPr>
              <w:spacing w:before="20" w:after="20"/>
            </w:pPr>
            <w:r>
              <w:rPr>
                <w:rFonts w:ascii="Arial" w:hAnsi="Arial"/>
                <w:sz w:val="18"/>
              </w:rPr>
              <w:t>s/shovel</w:t>
            </w:r>
          </w:p>
        </w:tc>
        <w:tc>
          <w:tcPr>
            <w:tcW w:type="dxa" w:w="2324"/>
          </w:tcPr>
          <w:p>
            <w:pPr>
              <w:spacing w:before="20" w:after="20"/>
            </w:pPr>
            <w:r>
              <w:rPr>
                <w:rFonts w:ascii="Arial" w:hAnsi="Arial"/>
                <w:sz w:val="18"/>
              </w:rPr>
              <w:t>Equation (2)</w:t>
            </w:r>
          </w:p>
        </w:tc>
      </w:tr>
      <w:tr>
        <w:trPr>
          <w:cantSplit/>
        </w:trPr>
        <w:tc>
          <w:tcPr>
            <w:tcW w:type="dxa" w:w="2324"/>
          </w:tcPr>
          <w:p>
            <w:pPr>
              <w:spacing w:before="20" w:after="20"/>
            </w:pPr>
            <w:r>
              <w:rPr>
                <w:rFonts w:ascii="Arial" w:hAnsi="Arial"/>
                <w:sz w:val="18"/>
              </w:rPr>
              <w:t>Scrap allowance</w:t>
            </w:r>
          </w:p>
        </w:tc>
        <w:tc>
          <w:tcPr>
            <w:tcW w:type="dxa" w:w="2324"/>
          </w:tcPr>
          <w:p>
            <w:pPr>
              <w:spacing w:before="20" w:after="20"/>
            </w:pPr>
            <w:r>
              <w:rPr>
                <w:rFonts w:ascii="Arial" w:hAnsi="Arial"/>
                <w:sz w:val="18"/>
              </w:rPr>
              <w:t>5 (cut &amp; stamp only)</w:t>
            </w:r>
          </w:p>
        </w:tc>
        <w:tc>
          <w:tcPr>
            <w:tcW w:type="dxa" w:w="2324"/>
          </w:tcPr>
          <w:p>
            <w:pPr>
              <w:spacing w:before="20" w:after="20"/>
            </w:pPr>
            <w:r>
              <w:rPr>
                <w:rFonts w:ascii="Arial" w:hAnsi="Arial"/>
                <w:sz w:val="18"/>
              </w:rPr>
              <w:t>%</w:t>
            </w:r>
          </w:p>
        </w:tc>
        <w:tc>
          <w:tcPr>
            <w:tcW w:type="dxa" w:w="2324"/>
          </w:tcPr>
          <w:p>
            <w:pPr>
              <w:spacing w:before="20" w:after="20"/>
            </w:pPr>
            <w:r>
              <w:rPr>
                <w:rFonts w:ascii="Arial" w:hAnsi="Arial"/>
                <w:sz w:val="18"/>
              </w:rPr>
              <w:t>Brief</w:t>
            </w:r>
          </w:p>
        </w:tc>
      </w:tr>
    </w:tbl>
    <w:p/>
    <w:p>
      <w:pPr>
        <w:pStyle w:val="TblCap"/>
      </w:pPr>
      <w:r>
        <w:t>Table 2: Part-level daily requirement</w:t>
      </w:r>
    </w:p>
    <w:tbl>
      <w:tblPr>
        <w:tblW w:type="auto" w:w="0"/>
        <w:tblLook w:firstColumn="1" w:firstRow="1" w:lastColumn="0" w:lastRow="0" w:noHBand="0" w:noVBand="1" w:val="04A0"/>
        <w:tblBorders>
          <w:top w:val="single" w:sz="4" w:color="7F7F7F"/>
          <w:left w:val="single" w:sz="4" w:color="7F7F7F"/>
          <w:bottom w:val="single" w:sz="4" w:color="7F7F7F"/>
          <w:right w:val="single" w:sz="4" w:color="7F7F7F"/>
          <w:insideH w:val="single" w:sz="4" w:color="7F7F7F"/>
          <w:insideV w:val="single" w:sz="4" w:color="7F7F7F"/>
        </w:tblBorders>
        <w:tblW w:w="5000" w:type="pct"/>
      </w:tblPr>
      <w:tblGrid>
        <w:gridCol w:w="2324"/>
        <w:gridCol w:w="2324"/>
        <w:gridCol w:w="2324"/>
        <w:gridCol w:w="2324"/>
      </w:tblGrid>
      <w:tr>
        <w:trPr>
          <w:cantSplit/>
          <w:tblHeader w:val="true"/>
        </w:trPr>
        <w:tc>
          <w:tcPr>
            <w:tcW w:type="dxa" w:w="2324"/>
            <w:shd w:val="clear" w:fill="E7E6E6"/>
          </w:tcPr>
          <w:p>
            <w:pPr>
              <w:spacing w:before="20" w:after="20"/>
            </w:pPr>
            <w:r>
              <w:rPr>
                <w:rFonts w:ascii="Arial" w:hAnsi="Arial"/>
                <w:b/>
                <w:sz w:val="18"/>
              </w:rPr>
              <w:t>Part</w:t>
            </w:r>
          </w:p>
        </w:tc>
        <w:tc>
          <w:tcPr>
            <w:tcW w:type="dxa" w:w="2324"/>
            <w:shd w:val="clear" w:fill="E7E6E6"/>
          </w:tcPr>
          <w:p>
            <w:pPr>
              <w:spacing w:before="20" w:after="20"/>
            </w:pPr>
            <w:r>
              <w:rPr>
                <w:rFonts w:ascii="Arial" w:hAnsi="Arial"/>
                <w:b/>
                <w:sz w:val="18"/>
              </w:rPr>
              <w:t>Qty/shovel</w:t>
            </w:r>
          </w:p>
        </w:tc>
        <w:tc>
          <w:tcPr>
            <w:tcW w:type="dxa" w:w="2324"/>
            <w:shd w:val="clear" w:fill="E7E6E6"/>
          </w:tcPr>
          <w:p>
            <w:pPr>
              <w:spacing w:before="20" w:after="20"/>
            </w:pPr>
            <w:r>
              <w:rPr>
                <w:rFonts w:ascii="Arial" w:hAnsi="Arial"/>
                <w:b/>
                <w:sz w:val="18"/>
              </w:rPr>
              <w:t>Good/day</w:t>
            </w:r>
          </w:p>
        </w:tc>
        <w:tc>
          <w:tcPr>
            <w:tcW w:type="dxa" w:w="2324"/>
            <w:shd w:val="clear" w:fill="E7E6E6"/>
          </w:tcPr>
          <w:p>
            <w:pPr>
              <w:spacing w:before="20" w:after="20"/>
            </w:pPr>
            <w:r>
              <w:rPr>
                <w:rFonts w:ascii="Arial" w:hAnsi="Arial"/>
                <w:b/>
                <w:sz w:val="18"/>
              </w:rPr>
              <w:t>Gross/day</w:t>
            </w:r>
          </w:p>
        </w:tc>
      </w:tr>
      <w:tr>
        <w:trPr>
          <w:cantSplit/>
        </w:trPr>
        <w:tc>
          <w:tcPr>
            <w:tcW w:type="dxa" w:w="2324"/>
          </w:tcPr>
          <w:p>
            <w:pPr>
              <w:spacing w:before="20" w:after="20"/>
            </w:pPr>
            <w:r>
              <w:rPr>
                <w:rFonts w:ascii="Arial" w:hAnsi="Arial"/>
                <w:sz w:val="18"/>
              </w:rPr>
              <w:t>Back handle section (tube)</w:t>
            </w:r>
          </w:p>
        </w:tc>
        <w:tc>
          <w:tcPr>
            <w:tcW w:type="dxa" w:w="2324"/>
          </w:tcPr>
          <w:p>
            <w:pPr>
              <w:spacing w:before="20" w:after="20"/>
            </w:pPr>
            <w:r>
              <w:rPr>
                <w:rFonts w:ascii="Arial" w:hAnsi="Arial"/>
                <w:sz w:val="18"/>
              </w:rPr>
              <w:t>1</w:t>
            </w:r>
          </w:p>
        </w:tc>
        <w:tc>
          <w:tcPr>
            <w:tcW w:type="dxa" w:w="2324"/>
          </w:tcPr>
          <w:p>
            <w:pPr>
              <w:spacing w:before="20" w:after="20"/>
            </w:pPr>
            <w:r>
              <w:rPr>
                <w:rFonts w:ascii="Arial" w:hAnsi="Arial"/>
                <w:sz w:val="18"/>
              </w:rPr>
              <w:t>1 819</w:t>
            </w:r>
          </w:p>
        </w:tc>
        <w:tc>
          <w:tcPr>
            <w:tcW w:type="dxa" w:w="2324"/>
          </w:tcPr>
          <w:p>
            <w:pPr>
              <w:spacing w:before="20" w:after="20"/>
            </w:pPr>
            <w:r>
              <w:rPr>
                <w:rFonts w:ascii="Arial" w:hAnsi="Arial"/>
                <w:sz w:val="18"/>
              </w:rPr>
              <w:t>1 915</w:t>
            </w:r>
          </w:p>
        </w:tc>
      </w:tr>
      <w:tr>
        <w:trPr>
          <w:cantSplit/>
        </w:trPr>
        <w:tc>
          <w:tcPr>
            <w:tcW w:type="dxa" w:w="2324"/>
          </w:tcPr>
          <w:p>
            <w:pPr>
              <w:spacing w:before="20" w:after="20"/>
            </w:pPr>
            <w:r>
              <w:rPr>
                <w:rFonts w:ascii="Arial" w:hAnsi="Arial"/>
                <w:sz w:val="18"/>
              </w:rPr>
              <w:t>Middle handle section (tube)</w:t>
            </w:r>
          </w:p>
        </w:tc>
        <w:tc>
          <w:tcPr>
            <w:tcW w:type="dxa" w:w="2324"/>
          </w:tcPr>
          <w:p>
            <w:pPr>
              <w:spacing w:before="20" w:after="20"/>
            </w:pPr>
            <w:r>
              <w:rPr>
                <w:rFonts w:ascii="Arial" w:hAnsi="Arial"/>
                <w:sz w:val="18"/>
              </w:rPr>
              <w:t>1</w:t>
            </w:r>
          </w:p>
        </w:tc>
        <w:tc>
          <w:tcPr>
            <w:tcW w:type="dxa" w:w="2324"/>
          </w:tcPr>
          <w:p>
            <w:pPr>
              <w:spacing w:before="20" w:after="20"/>
            </w:pPr>
            <w:r>
              <w:rPr>
                <w:rFonts w:ascii="Arial" w:hAnsi="Arial"/>
                <w:sz w:val="18"/>
              </w:rPr>
              <w:t>1 819</w:t>
            </w:r>
          </w:p>
        </w:tc>
        <w:tc>
          <w:tcPr>
            <w:tcW w:type="dxa" w:w="2324"/>
          </w:tcPr>
          <w:p>
            <w:pPr>
              <w:spacing w:before="20" w:after="20"/>
            </w:pPr>
            <w:r>
              <w:rPr>
                <w:rFonts w:ascii="Arial" w:hAnsi="Arial"/>
                <w:sz w:val="18"/>
              </w:rPr>
              <w:t>1 915</w:t>
            </w:r>
          </w:p>
        </w:tc>
      </w:tr>
      <w:tr>
        <w:trPr>
          <w:cantSplit/>
        </w:trPr>
        <w:tc>
          <w:tcPr>
            <w:tcW w:type="dxa" w:w="2324"/>
          </w:tcPr>
          <w:p>
            <w:pPr>
              <w:spacing w:before="20" w:after="20"/>
            </w:pPr>
            <w:r>
              <w:rPr>
                <w:rFonts w:ascii="Arial" w:hAnsi="Arial"/>
                <w:sz w:val="18"/>
              </w:rPr>
              <w:t>Total tube sections</w:t>
            </w:r>
          </w:p>
        </w:tc>
        <w:tc>
          <w:tcPr>
            <w:tcW w:type="dxa" w:w="2324"/>
          </w:tcPr>
          <w:p>
            <w:pPr>
              <w:spacing w:before="20" w:after="20"/>
            </w:pPr>
            <w:r>
              <w:rPr>
                <w:rFonts w:ascii="Arial" w:hAnsi="Arial"/>
                <w:sz w:val="18"/>
              </w:rPr>
              <w:t>2</w:t>
            </w:r>
          </w:p>
        </w:tc>
        <w:tc>
          <w:tcPr>
            <w:tcW w:type="dxa" w:w="2324"/>
          </w:tcPr>
          <w:p>
            <w:pPr>
              <w:spacing w:before="20" w:after="20"/>
            </w:pPr>
            <w:r>
              <w:rPr>
                <w:rFonts w:ascii="Arial" w:hAnsi="Arial"/>
                <w:sz w:val="18"/>
              </w:rPr>
              <w:t>3 638</w:t>
            </w:r>
          </w:p>
        </w:tc>
        <w:tc>
          <w:tcPr>
            <w:tcW w:type="dxa" w:w="2324"/>
          </w:tcPr>
          <w:p>
            <w:pPr>
              <w:spacing w:before="20" w:after="20"/>
            </w:pPr>
            <w:r>
              <w:rPr>
                <w:rFonts w:ascii="Arial" w:hAnsi="Arial"/>
                <w:sz w:val="18"/>
              </w:rPr>
              <w:t>3 830</w:t>
            </w:r>
          </w:p>
        </w:tc>
      </w:tr>
      <w:tr>
        <w:trPr>
          <w:cantSplit/>
        </w:trPr>
        <w:tc>
          <w:tcPr>
            <w:tcW w:type="dxa" w:w="2324"/>
          </w:tcPr>
          <w:p>
            <w:pPr>
              <w:spacing w:before="20" w:after="20"/>
            </w:pPr>
            <w:r>
              <w:rPr>
                <w:rFonts w:ascii="Arial" w:hAnsi="Arial"/>
                <w:sz w:val="18"/>
              </w:rPr>
              <w:t>Shovel head (sheet)</w:t>
            </w:r>
          </w:p>
        </w:tc>
        <w:tc>
          <w:tcPr>
            <w:tcW w:type="dxa" w:w="2324"/>
          </w:tcPr>
          <w:p>
            <w:pPr>
              <w:spacing w:before="20" w:after="20"/>
            </w:pPr>
            <w:r>
              <w:rPr>
                <w:rFonts w:ascii="Arial" w:hAnsi="Arial"/>
                <w:sz w:val="18"/>
              </w:rPr>
              <w:t>1</w:t>
            </w:r>
          </w:p>
        </w:tc>
        <w:tc>
          <w:tcPr>
            <w:tcW w:type="dxa" w:w="2324"/>
          </w:tcPr>
          <w:p>
            <w:pPr>
              <w:spacing w:before="20" w:after="20"/>
            </w:pPr>
            <w:r>
              <w:rPr>
                <w:rFonts w:ascii="Arial" w:hAnsi="Arial"/>
                <w:sz w:val="18"/>
              </w:rPr>
              <w:t>1 819</w:t>
            </w:r>
          </w:p>
        </w:tc>
        <w:tc>
          <w:tcPr>
            <w:tcW w:type="dxa" w:w="2324"/>
          </w:tcPr>
          <w:p>
            <w:pPr>
              <w:spacing w:before="20" w:after="20"/>
            </w:pPr>
            <w:r>
              <w:rPr>
                <w:rFonts w:ascii="Arial" w:hAnsi="Arial"/>
                <w:sz w:val="18"/>
              </w:rPr>
              <w:t>1 915</w:t>
            </w:r>
          </w:p>
        </w:tc>
      </w:tr>
      <w:tr>
        <w:trPr>
          <w:cantSplit/>
        </w:trPr>
        <w:tc>
          <w:tcPr>
            <w:tcW w:type="dxa" w:w="2324"/>
          </w:tcPr>
          <w:p>
            <w:pPr>
              <w:spacing w:before="20" w:after="20"/>
            </w:pPr>
            <w:r>
              <w:rPr>
                <w:rFonts w:ascii="Arial" w:hAnsi="Arial"/>
                <w:sz w:val="18"/>
              </w:rPr>
              <w:t>Hinge connector (sheet)</w:t>
            </w:r>
          </w:p>
        </w:tc>
        <w:tc>
          <w:tcPr>
            <w:tcW w:type="dxa" w:w="2324"/>
          </w:tcPr>
          <w:p>
            <w:pPr>
              <w:spacing w:before="20" w:after="20"/>
            </w:pPr>
            <w:r>
              <w:rPr>
                <w:rFonts w:ascii="Arial" w:hAnsi="Arial"/>
                <w:sz w:val="18"/>
              </w:rPr>
              <w:t>1</w:t>
            </w:r>
          </w:p>
        </w:tc>
        <w:tc>
          <w:tcPr>
            <w:tcW w:type="dxa" w:w="2324"/>
          </w:tcPr>
          <w:p>
            <w:pPr>
              <w:spacing w:before="20" w:after="20"/>
            </w:pPr>
            <w:r>
              <w:rPr>
                <w:rFonts w:ascii="Arial" w:hAnsi="Arial"/>
                <w:sz w:val="18"/>
              </w:rPr>
              <w:t>1 819</w:t>
            </w:r>
          </w:p>
        </w:tc>
        <w:tc>
          <w:tcPr>
            <w:tcW w:type="dxa" w:w="2324"/>
          </w:tcPr>
          <w:p>
            <w:pPr>
              <w:spacing w:before="20" w:after="20"/>
            </w:pPr>
            <w:r>
              <w:rPr>
                <w:rFonts w:ascii="Arial" w:hAnsi="Arial"/>
                <w:sz w:val="18"/>
              </w:rPr>
              <w:t>1 915</w:t>
            </w:r>
          </w:p>
        </w:tc>
      </w:tr>
    </w:tbl>
    <w:p/>
    <w:p>
      <w:r>
        <w:t>Packaging converts output into unit loads: 1 819 bought-out bags, 182 boxes (10/box) and 5 pallets (400/pallet) per day. Orders of one pallet or less are customer-collected; larger orders ship on DigMore’s own fleet.</w:t>
      </w:r>
    </w:p>
    <w:p>
      <w:r/>
      <w:r>
        <w:rPr>
          <w:b/>
        </w:rPr>
        <w:t>Key findings and layout implications.</w:t>
      </w:r>
      <w:r>
        <w:t xml:space="preserve"> Takt of 15.83 s against brief cycle times of up to 120 s makes parallelisation the facility’s sizing mechanism: sharpening (120 s), knurling (60 s), serrating (60 s) and polishing (60 s) require machine banks that dominate floor area and WIP staging. The product structure fixes the flow architecture before any layout is drawn: tube and sheet streams fabricate in parallel; the two sheet parts converge at riveting into the head subassembly; the streams converge only at final assembly, where three powder-coated items meet (back handle, middle handle, head subassembly).</w:t>
      </w:r>
    </w:p>
    <w:p>
      <w:pPr>
        <w:keepNext/>
        <w:jc w:val="center"/>
        <w:pBdr>
          <w:top w:val="dashed" w:sz="8" w:color="C00000" w:space="6"/>
          <w:left w:val="dashed" w:sz="8" w:color="C00000" w:space="6"/>
          <w:bottom w:val="dashed" w:sz="8" w:color="C00000" w:space="6"/>
          <w:right w:val="dashed" w:sz="8" w:color="C00000" w:space="6"/>
        </w:pBdr>
      </w:pPr>
      <w:r>
        <w:rPr>
          <w:i/>
          <w:color w:val="804000"/>
        </w:rPr>
        <w:t>[ INSERT FIGURE 2 — flow diagram (20 min, diagrams.net) ]</w:t>
      </w:r>
    </w:p>
    <w:p>
      <w:pPr>
        <w:pStyle w:val="FigCap"/>
      </w:pPr>
      <w:r>
        <w:t>Figure 2: High-level material flow from receiving to dispatch — parallel streams, riveting convergence, finishing and enclosed coating, final-assembly convergence, packaging and dispatch routes. Author’s own.</w:t>
      </w:r>
    </w:p>
    <w:p>
      <w:pPr>
        <w:pStyle w:val="LnkLine"/>
      </w:pPr>
      <w:r>
        <w:rPr>
          <w:sz w:val="18"/>
        </w:rPr>
        <w:t xml:space="preserve">Open source page: </w:t>
      </w:r>
      <w:hyperlink r:id="rId9">
        <w:r>
          <w:rPr>
            <w:color w:val="0563C1"/>
            <w:u w:val="single"/>
            <w:sz w:val="18"/>
            <w:rFonts w:ascii="Arial" w:hAnsi="Arial"/>
          </w:rPr>
          <w:t>https://app.diagrams.net</w:t>
        </w:r>
      </w:hyperlink>
    </w:p>
    <w:p>
      <w:pPr>
        <w:pStyle w:val="Heading2"/>
      </w:pPr>
      <w:r>
        <w:t>6.2 Raw Material Requirements</w:t>
      </w:r>
    </w:p>
    <w:p>
      <w:r>
        <w:t>Aluminium round tube (Ø31.70 × 3.18 mm) arrives as 6 m stock, the standard South African mill length (Premium Aluminium). The yield per tube must include saw kerf; a practical allowance of 2.5 mm is adopted from cold-saw blade data (an allowance, not a standard — confirm against the selected blade):</w:t>
      </w:r>
    </w:p>
    <w:p>
      <w:pPr>
        <w:tabs>
          <w:tab w:pos="9071" w:val="right"/>
        </w:tabs>
      </w:pPr>
      <w:r>
        <w:rPr>
          <w:rFonts w:ascii="Cambria Math" w:hAnsi="Cambria Math"/>
          <w:i/>
          <w:sz w:val="22"/>
        </w:rPr>
        <w:t xml:space="preserve">        Gross sections/day = 3 638 / 0.95 = 3 829.5 ≈ 3 830 tube sections/day</w:t>
      </w:r>
      <w:r>
        <w:rPr>
          <w:sz w:val="20"/>
        </w:rPr>
        <w:tab/>
        <w:t>(3)</w:t>
      </w:r>
    </w:p>
    <w:p>
      <w:pPr>
        <w:tabs>
          <w:tab w:pos="9071" w:val="right"/>
        </w:tabs>
      </w:pPr>
      <w:r>
        <w:rPr>
          <w:rFonts w:ascii="Cambria Math" w:hAnsi="Cambria Math"/>
          <w:i/>
          <w:sz w:val="22"/>
        </w:rPr>
        <w:t xml:space="preserve">        Sections/tube = ⌊6 000 / (150 + 2.5)⌋ = 39 sections</w:t>
      </w:r>
      <w:r>
        <w:rPr>
          <w:sz w:val="20"/>
        </w:rPr>
        <w:tab/>
        <w:t>(4)</w:t>
      </w:r>
    </w:p>
    <w:p>
      <w:pPr>
        <w:tabs>
          <w:tab w:pos="9071" w:val="right"/>
        </w:tabs>
      </w:pPr>
      <w:r>
        <w:rPr>
          <w:rFonts w:ascii="Cambria Math" w:hAnsi="Cambria Math"/>
          <w:i/>
          <w:sz w:val="22"/>
        </w:rPr>
        <w:t xml:space="preserve">        Tubes/day = ⌈3 829.5 / 39⌉ = 99  ⇒  990 tubes per two-week cover</w:t>
      </w:r>
      <w:r>
        <w:rPr>
          <w:sz w:val="20"/>
        </w:rPr>
        <w:tab/>
        <w:t>(5)</w:t>
      </w:r>
    </w:p>
    <w:p>
      <w:r>
        <w:t>Shovel heads and hinge connectors are stamped from 2 500 × 1 250 × 2.5 mm sheet — a standard South African size (Euro Steel) — at an assumed 75 % nesting efficiency:</w:t>
      </w:r>
    </w:p>
    <w:p>
      <w:pPr>
        <w:tabs>
          <w:tab w:pos="9071" w:val="right"/>
        </w:tabs>
      </w:pPr>
      <w:r>
        <w:rPr>
          <w:rFonts w:ascii="Cambria Math" w:hAnsi="Cambria Math"/>
          <w:i/>
          <w:sz w:val="22"/>
        </w:rPr>
        <w:t xml:space="preserve">        Parts/sheet: heads ⌊3.125×0.75/0.0238⌋ = 98;  hinges ⌊3.125×0.75/0.004⌋ = 585</w:t>
      </w:r>
      <w:r>
        <w:rPr>
          <w:sz w:val="20"/>
        </w:rPr>
        <w:tab/>
        <w:t>(6)</w:t>
      </w:r>
    </w:p>
    <w:p>
      <w:pPr>
        <w:tabs>
          <w:tab w:pos="9071" w:val="right"/>
        </w:tabs>
      </w:pPr>
      <w:r>
        <w:rPr>
          <w:rFonts w:ascii="Cambria Math" w:hAnsi="Cambria Math"/>
          <w:i/>
          <w:sz w:val="22"/>
        </w:rPr>
        <w:t xml:space="preserve">        Sheets/day = ⌈1 914.7/98⌉ + ⌈1 914.7/585⌉ = 20 + 4 = 24  ⇒  240 sheets per two weeks</w:t>
      </w:r>
      <w:r>
        <w:rPr>
          <w:sz w:val="20"/>
        </w:rPr>
        <w:tab/>
        <w:t>(7)</w:t>
      </w:r>
    </w:p>
    <w:p>
      <w:pPr>
        <w:pStyle w:val="TblCap"/>
      </w:pPr>
      <w:r>
        <w:t>Table 3: Two-week raw-material requirement and delivery unit loads</w:t>
      </w:r>
    </w:p>
    <w:tbl>
      <w:tblPr>
        <w:tblW w:type="auto" w:w="0"/>
        <w:tblLook w:firstColumn="1" w:firstRow="1" w:lastColumn="0" w:lastRow="0" w:noHBand="0" w:noVBand="1" w:val="04A0"/>
        <w:tblBorders>
          <w:top w:val="single" w:sz="4" w:color="7F7F7F"/>
          <w:left w:val="single" w:sz="4" w:color="7F7F7F"/>
          <w:bottom w:val="single" w:sz="4" w:color="7F7F7F"/>
          <w:right w:val="single" w:sz="4" w:color="7F7F7F"/>
          <w:insideH w:val="single" w:sz="4" w:color="7F7F7F"/>
          <w:insideV w:val="single" w:sz="4" w:color="7F7F7F"/>
        </w:tblBorders>
        <w:tblW w:w="5000" w:type="pct"/>
      </w:tblPr>
      <w:tblGrid>
        <w:gridCol w:w="1860"/>
        <w:gridCol w:w="1860"/>
        <w:gridCol w:w="1860"/>
        <w:gridCol w:w="1860"/>
        <w:gridCol w:w="1860"/>
      </w:tblGrid>
      <w:tr>
        <w:trPr>
          <w:cantSplit/>
          <w:tblHeader w:val="true"/>
        </w:trPr>
        <w:tc>
          <w:tcPr>
            <w:tcW w:type="dxa" w:w="1860"/>
            <w:shd w:val="clear" w:fill="E7E6E6"/>
          </w:tcPr>
          <w:p>
            <w:pPr>
              <w:spacing w:before="20" w:after="20"/>
            </w:pPr>
            <w:r>
              <w:rPr>
                <w:rFonts w:ascii="Arial" w:hAnsi="Arial"/>
                <w:b/>
                <w:sz w:val="18"/>
              </w:rPr>
              <w:t>Material</w:t>
            </w:r>
          </w:p>
        </w:tc>
        <w:tc>
          <w:tcPr>
            <w:tcW w:type="dxa" w:w="1860"/>
            <w:shd w:val="clear" w:fill="E7E6E6"/>
          </w:tcPr>
          <w:p>
            <w:pPr>
              <w:spacing w:before="20" w:after="20"/>
            </w:pPr>
            <w:r>
              <w:rPr>
                <w:rFonts w:ascii="Arial" w:hAnsi="Arial"/>
                <w:b/>
                <w:sz w:val="18"/>
              </w:rPr>
              <w:t>Daily</w:t>
            </w:r>
          </w:p>
        </w:tc>
        <w:tc>
          <w:tcPr>
            <w:tcW w:type="dxa" w:w="1860"/>
            <w:shd w:val="clear" w:fill="E7E6E6"/>
          </w:tcPr>
          <w:p>
            <w:pPr>
              <w:spacing w:before="20" w:after="20"/>
            </w:pPr>
            <w:r>
              <w:rPr>
                <w:rFonts w:ascii="Arial" w:hAnsi="Arial"/>
                <w:b/>
                <w:sz w:val="18"/>
              </w:rPr>
              <w:t>2-week stock</w:t>
            </w:r>
          </w:p>
        </w:tc>
        <w:tc>
          <w:tcPr>
            <w:tcW w:type="dxa" w:w="1860"/>
            <w:shd w:val="clear" w:fill="E7E6E6"/>
          </w:tcPr>
          <w:p>
            <w:pPr>
              <w:spacing w:before="20" w:after="20"/>
            </w:pPr>
            <w:r>
              <w:rPr>
                <w:rFonts w:ascii="Arial" w:hAnsi="Arial"/>
                <w:b/>
                <w:sz w:val="18"/>
              </w:rPr>
              <w:t>Delivery unit load</w:t>
            </w:r>
          </w:p>
        </w:tc>
        <w:tc>
          <w:tcPr>
            <w:tcW w:type="dxa" w:w="1860"/>
            <w:shd w:val="clear" w:fill="E7E6E6"/>
          </w:tcPr>
          <w:p>
            <w:pPr>
              <w:spacing w:before="20" w:after="20"/>
            </w:pPr>
            <w:r>
              <w:rPr>
                <w:rFonts w:ascii="Arial" w:hAnsi="Arial"/>
                <w:b/>
                <w:sz w:val="18"/>
              </w:rPr>
              <w:t>Offload</w:t>
            </w:r>
          </w:p>
        </w:tc>
      </w:tr>
      <w:tr>
        <w:trPr>
          <w:cantSplit/>
        </w:trPr>
        <w:tc>
          <w:tcPr>
            <w:tcW w:type="dxa" w:w="1860"/>
          </w:tcPr>
          <w:p>
            <w:pPr>
              <w:spacing w:before="20" w:after="20"/>
            </w:pPr>
            <w:r>
              <w:rPr>
                <w:rFonts w:ascii="Arial" w:hAnsi="Arial"/>
                <w:sz w:val="18"/>
              </w:rPr>
              <w:t>Al tube 6 m</w:t>
            </w:r>
          </w:p>
        </w:tc>
        <w:tc>
          <w:tcPr>
            <w:tcW w:type="dxa" w:w="1860"/>
          </w:tcPr>
          <w:p>
            <w:pPr>
              <w:spacing w:before="20" w:after="20"/>
            </w:pPr>
            <w:r>
              <w:rPr>
                <w:rFonts w:ascii="Arial" w:hAnsi="Arial"/>
                <w:sz w:val="18"/>
              </w:rPr>
              <w:t>99</w:t>
            </w:r>
          </w:p>
        </w:tc>
        <w:tc>
          <w:tcPr>
            <w:tcW w:type="dxa" w:w="1860"/>
          </w:tcPr>
          <w:p>
            <w:pPr>
              <w:spacing w:before="20" w:after="20"/>
            </w:pPr>
            <w:r>
              <w:rPr>
                <w:rFonts w:ascii="Arial" w:hAnsi="Arial"/>
                <w:sz w:val="18"/>
              </w:rPr>
              <w:t>990</w:t>
            </w:r>
          </w:p>
        </w:tc>
        <w:tc>
          <w:tcPr>
            <w:tcW w:type="dxa" w:w="1860"/>
          </w:tcPr>
          <w:p>
            <w:pPr>
              <w:spacing w:before="20" w:after="20"/>
            </w:pPr>
            <w:r>
              <w:rPr>
                <w:rFonts w:ascii="Arial" w:hAnsi="Arial"/>
                <w:sz w:val="18"/>
              </w:rPr>
              <w:t>Strapped bundle ≈25 [VERIFY] → 4 bundles/day</w:t>
            </w:r>
          </w:p>
        </w:tc>
        <w:tc>
          <w:tcPr>
            <w:tcW w:type="dxa" w:w="1860"/>
          </w:tcPr>
          <w:p>
            <w:pPr>
              <w:spacing w:before="20" w:after="20"/>
            </w:pPr>
            <w:r>
              <w:rPr>
                <w:rFonts w:ascii="Arial" w:hAnsi="Arial"/>
                <w:sz w:val="18"/>
              </w:rPr>
              <w:t>Forklift side-offload, ground bay</w:t>
            </w:r>
          </w:p>
        </w:tc>
      </w:tr>
      <w:tr>
        <w:trPr>
          <w:cantSplit/>
        </w:trPr>
        <w:tc>
          <w:tcPr>
            <w:tcW w:type="dxa" w:w="1860"/>
          </w:tcPr>
          <w:p>
            <w:pPr>
              <w:spacing w:before="20" w:after="20"/>
            </w:pPr>
            <w:r>
              <w:rPr>
                <w:rFonts w:ascii="Arial" w:hAnsi="Arial"/>
                <w:sz w:val="18"/>
              </w:rPr>
              <w:t>Al sheet 2 500×1 250</w:t>
            </w:r>
          </w:p>
        </w:tc>
        <w:tc>
          <w:tcPr>
            <w:tcW w:type="dxa" w:w="1860"/>
          </w:tcPr>
          <w:p>
            <w:pPr>
              <w:spacing w:before="20" w:after="20"/>
            </w:pPr>
            <w:r>
              <w:rPr>
                <w:rFonts w:ascii="Arial" w:hAnsi="Arial"/>
                <w:sz w:val="18"/>
              </w:rPr>
              <w:t>24</w:t>
            </w:r>
          </w:p>
        </w:tc>
        <w:tc>
          <w:tcPr>
            <w:tcW w:type="dxa" w:w="1860"/>
          </w:tcPr>
          <w:p>
            <w:pPr>
              <w:spacing w:before="20" w:after="20"/>
            </w:pPr>
            <w:r>
              <w:rPr>
                <w:rFonts w:ascii="Arial" w:hAnsi="Arial"/>
                <w:sz w:val="18"/>
              </w:rPr>
              <w:t>240</w:t>
            </w:r>
          </w:p>
        </w:tc>
        <w:tc>
          <w:tcPr>
            <w:tcW w:type="dxa" w:w="1860"/>
          </w:tcPr>
          <w:p>
            <w:pPr>
              <w:spacing w:before="20" w:after="20"/>
            </w:pPr>
            <w:r>
              <w:rPr>
                <w:rFonts w:ascii="Arial" w:hAnsi="Arial"/>
                <w:sz w:val="18"/>
              </w:rPr>
              <w:t>Pallet ≈60 sheets [VERIFY]</w:t>
            </w:r>
          </w:p>
        </w:tc>
        <w:tc>
          <w:tcPr>
            <w:tcW w:type="dxa" w:w="1860"/>
          </w:tcPr>
          <w:p>
            <w:pPr>
              <w:spacing w:before="20" w:after="20"/>
            </w:pPr>
            <w:r>
              <w:rPr>
                <w:rFonts w:ascii="Arial" w:hAnsi="Arial"/>
                <w:sz w:val="18"/>
              </w:rPr>
              <w:t>Shared dock</w:t>
            </w:r>
          </w:p>
        </w:tc>
      </w:tr>
      <w:tr>
        <w:trPr>
          <w:cantSplit/>
        </w:trPr>
        <w:tc>
          <w:tcPr>
            <w:tcW w:type="dxa" w:w="1860"/>
          </w:tcPr>
          <w:p>
            <w:pPr>
              <w:spacing w:before="20" w:after="20"/>
            </w:pPr>
            <w:r>
              <w:rPr>
                <w:rFonts w:ascii="Arial" w:hAnsi="Arial"/>
                <w:sz w:val="18"/>
              </w:rPr>
              <w:t>Packaging bags</w:t>
            </w:r>
          </w:p>
        </w:tc>
        <w:tc>
          <w:tcPr>
            <w:tcW w:type="dxa" w:w="1860"/>
          </w:tcPr>
          <w:p>
            <w:pPr>
              <w:spacing w:before="20" w:after="20"/>
            </w:pPr>
            <w:r>
              <w:rPr>
                <w:rFonts w:ascii="Arial" w:hAnsi="Arial"/>
                <w:sz w:val="18"/>
              </w:rPr>
              <w:t>1 819</w:t>
            </w:r>
          </w:p>
        </w:tc>
        <w:tc>
          <w:tcPr>
            <w:tcW w:type="dxa" w:w="1860"/>
          </w:tcPr>
          <w:p>
            <w:pPr>
              <w:spacing w:before="20" w:after="20"/>
            </w:pPr>
            <w:r>
              <w:rPr>
                <w:rFonts w:ascii="Arial" w:hAnsi="Arial"/>
                <w:sz w:val="18"/>
              </w:rPr>
              <w:t>18 190</w:t>
            </w:r>
          </w:p>
        </w:tc>
        <w:tc>
          <w:tcPr>
            <w:tcW w:type="dxa" w:w="1860"/>
          </w:tcPr>
          <w:p>
            <w:pPr>
              <w:spacing w:before="20" w:after="20"/>
            </w:pPr>
            <w:r>
              <w:rPr>
                <w:rFonts w:ascii="Arial" w:hAnsi="Arial"/>
                <w:sz w:val="18"/>
              </w:rPr>
              <w:t>Carton/pallet, weekly</w:t>
            </w:r>
          </w:p>
        </w:tc>
        <w:tc>
          <w:tcPr>
            <w:tcW w:type="dxa" w:w="1860"/>
          </w:tcPr>
          <w:p>
            <w:pPr>
              <w:spacing w:before="20" w:after="20"/>
            </w:pPr>
            <w:r>
              <w:rPr>
                <w:rFonts w:ascii="Arial" w:hAnsi="Arial"/>
                <w:sz w:val="18"/>
              </w:rPr>
              <w:t>Dock</w:t>
            </w:r>
          </w:p>
        </w:tc>
      </w:tr>
      <w:tr>
        <w:trPr>
          <w:cantSplit/>
        </w:trPr>
        <w:tc>
          <w:tcPr>
            <w:tcW w:type="dxa" w:w="1860"/>
          </w:tcPr>
          <w:p>
            <w:pPr>
              <w:spacing w:before="20" w:after="20"/>
            </w:pPr>
            <w:r>
              <w:rPr>
                <w:rFonts w:ascii="Arial" w:hAnsi="Arial"/>
                <w:sz w:val="18"/>
              </w:rPr>
              <w:t>Rivets (2/shovel assumed)</w:t>
            </w:r>
          </w:p>
        </w:tc>
        <w:tc>
          <w:tcPr>
            <w:tcW w:type="dxa" w:w="1860"/>
          </w:tcPr>
          <w:p>
            <w:pPr>
              <w:spacing w:before="20" w:after="20"/>
            </w:pPr>
            <w:r>
              <w:rPr>
                <w:rFonts w:ascii="Arial" w:hAnsi="Arial"/>
                <w:sz w:val="18"/>
              </w:rPr>
              <w:t>3 638</w:t>
            </w:r>
          </w:p>
        </w:tc>
        <w:tc>
          <w:tcPr>
            <w:tcW w:type="dxa" w:w="1860"/>
          </w:tcPr>
          <w:p>
            <w:pPr>
              <w:spacing w:before="20" w:after="20"/>
            </w:pPr>
            <w:r>
              <w:rPr>
                <w:rFonts w:ascii="Arial" w:hAnsi="Arial"/>
                <w:sz w:val="18"/>
              </w:rPr>
              <w:t>36 380</w:t>
            </w:r>
          </w:p>
        </w:tc>
        <w:tc>
          <w:tcPr>
            <w:tcW w:type="dxa" w:w="1860"/>
          </w:tcPr>
          <w:p>
            <w:pPr>
              <w:spacing w:before="20" w:after="20"/>
            </w:pPr>
            <w:r>
              <w:rPr>
                <w:rFonts w:ascii="Arial" w:hAnsi="Arial"/>
                <w:sz w:val="18"/>
              </w:rPr>
              <w:t>Carton, weekly [VERIFY]</w:t>
            </w:r>
          </w:p>
        </w:tc>
        <w:tc>
          <w:tcPr>
            <w:tcW w:type="dxa" w:w="1860"/>
          </w:tcPr>
          <w:p>
            <w:pPr>
              <w:spacing w:before="20" w:after="20"/>
            </w:pPr>
            <w:r>
              <w:rPr>
                <w:rFonts w:ascii="Arial" w:hAnsi="Arial"/>
                <w:sz w:val="18"/>
              </w:rPr>
              <w:t>Dock</w:t>
            </w:r>
          </w:p>
        </w:tc>
      </w:tr>
    </w:tbl>
    <w:p/>
    <w:p>
      <w:r/>
      <w:r>
        <w:rPr>
          <w:b/>
        </w:rPr>
        <w:t>Key findings and layout implications.</w:t>
      </w:r>
      <w:r>
        <w:t xml:space="preserve"> The two stores are physically dissimilar: 990 six-metre tubes need cantilever racking with long-side forklift access, while 240 sheets stack beside the presses. The tube offload face, storage face and saw feed face are designed as the same face, eliminating two handlings. Replenishment is light (2–3 consolidated deliveries per week), so receiving is sized by dispatch rather than inbound volume.</w:t>
      </w:r>
    </w:p>
    <w:p>
      <w:pPr>
        <w:pStyle w:val="Heading2"/>
      </w:pPr>
      <w:r>
        <w:t>6.3 Manufacturing Time and Capacity</w:t>
      </w:r>
    </w:p>
    <w:p>
      <w:r>
        <w:t>Each brief-specified process is tested against the 480 effective minutes per day:</w:t>
      </w:r>
    </w:p>
    <w:p>
      <w:pPr>
        <w:tabs>
          <w:tab w:pos="9071" w:val="right"/>
        </w:tabs>
      </w:pPr>
      <w:r>
        <w:rPr>
          <w:rFonts w:ascii="Cambria Math" w:hAnsi="Cambria Math"/>
          <w:i/>
          <w:sz w:val="22"/>
        </w:rPr>
        <w:t xml:space="preserve">        Machines = ⌈(gross units/day × cycle time) / (480 × 60 s)⌉</w:t>
      </w:r>
      <w:r>
        <w:rPr>
          <w:sz w:val="20"/>
        </w:rPr>
        <w:tab/>
        <w:t>(8)</w:t>
      </w:r>
    </w:p>
    <w:p>
      <w:pPr>
        <w:tabs>
          <w:tab w:pos="9071" w:val="right"/>
        </w:tabs>
      </w:pPr>
      <w:r>
        <w:rPr>
          <w:rFonts w:ascii="Cambria Math" w:hAnsi="Cambria Math"/>
          <w:i/>
          <w:sz w:val="22"/>
        </w:rPr>
        <w:t xml:space="preserve">        Utilisation = required minutes per day / (machines × 480)</w:t>
      </w:r>
      <w:r>
        <w:rPr>
          <w:sz w:val="20"/>
        </w:rPr>
        <w:tab/>
        <w:t>(9)</w:t>
      </w:r>
    </w:p>
    <w:p>
      <w:r>
        <w:t>Example — sharpening: ⌈1 819 × 120 / 28 800⌉ = ⌈7.58⌉ = 8 machines at 3 638/(8×480) = 94.7 %. Operators are assigned 1:1 to machines (workbook baseline).</w:t>
      </w:r>
    </w:p>
    <w:p>
      <w:pPr>
        <w:pStyle w:val="TblCap"/>
      </w:pPr>
      <w:r>
        <w:t>Table 4: Per-process capacity analysis (core exhibit)</w:t>
      </w:r>
    </w:p>
    <w:tbl>
      <w:tblPr>
        <w:tblW w:type="auto" w:w="0"/>
        <w:tblLook w:firstColumn="1" w:firstRow="1" w:lastColumn="0" w:lastRow="0" w:noHBand="0" w:noVBand="1" w:val="04A0"/>
        <w:tblBorders>
          <w:top w:val="single" w:sz="4" w:color="7F7F7F"/>
          <w:left w:val="single" w:sz="4" w:color="7F7F7F"/>
          <w:bottom w:val="single" w:sz="4" w:color="7F7F7F"/>
          <w:right w:val="single" w:sz="4" w:color="7F7F7F"/>
          <w:insideH w:val="single" w:sz="4" w:color="7F7F7F"/>
          <w:insideV w:val="single" w:sz="4" w:color="7F7F7F"/>
        </w:tblBorders>
        <w:tblW w:w="5000" w:type="pct"/>
      </w:tblPr>
      <w:tblGrid>
        <w:gridCol w:w="1328"/>
        <w:gridCol w:w="1328"/>
        <w:gridCol w:w="1328"/>
        <w:gridCol w:w="1328"/>
        <w:gridCol w:w="1328"/>
        <w:gridCol w:w="1328"/>
        <w:gridCol w:w="1328"/>
      </w:tblGrid>
      <w:tr>
        <w:trPr>
          <w:cantSplit/>
          <w:tblHeader w:val="true"/>
        </w:trPr>
        <w:tc>
          <w:tcPr>
            <w:tcW w:type="dxa" w:w="1328"/>
            <w:shd w:val="clear" w:fill="E7E6E6"/>
          </w:tcPr>
          <w:p>
            <w:pPr>
              <w:spacing w:before="20" w:after="20"/>
            </w:pPr>
            <w:r>
              <w:rPr>
                <w:rFonts w:ascii="Arial" w:hAnsi="Arial"/>
                <w:b/>
                <w:sz w:val="17"/>
              </w:rPr>
              <w:t>Process</w:t>
            </w:r>
          </w:p>
        </w:tc>
        <w:tc>
          <w:tcPr>
            <w:tcW w:type="dxa" w:w="1328"/>
            <w:shd w:val="clear" w:fill="E7E6E6"/>
          </w:tcPr>
          <w:p>
            <w:pPr>
              <w:spacing w:before="20" w:after="20"/>
            </w:pPr>
            <w:r>
              <w:rPr>
                <w:rFonts w:ascii="Arial" w:hAnsi="Arial"/>
                <w:b/>
                <w:sz w:val="17"/>
              </w:rPr>
              <w:t>Gross/day</w:t>
            </w:r>
          </w:p>
        </w:tc>
        <w:tc>
          <w:tcPr>
            <w:tcW w:type="dxa" w:w="1328"/>
            <w:shd w:val="clear" w:fill="E7E6E6"/>
          </w:tcPr>
          <w:p>
            <w:pPr>
              <w:spacing w:before="20" w:after="20"/>
            </w:pPr>
            <w:r>
              <w:rPr>
                <w:rFonts w:ascii="Arial" w:hAnsi="Arial"/>
                <w:b/>
                <w:sz w:val="17"/>
              </w:rPr>
              <w:t>Cycle (s)</w:t>
            </w:r>
          </w:p>
        </w:tc>
        <w:tc>
          <w:tcPr>
            <w:tcW w:type="dxa" w:w="1328"/>
            <w:shd w:val="clear" w:fill="E7E6E6"/>
          </w:tcPr>
          <w:p>
            <w:pPr>
              <w:spacing w:before="20" w:after="20"/>
            </w:pPr>
            <w:r>
              <w:rPr>
                <w:rFonts w:ascii="Arial" w:hAnsi="Arial"/>
                <w:b/>
                <w:sz w:val="17"/>
              </w:rPr>
              <w:t>Req. min/day</w:t>
            </w:r>
          </w:p>
        </w:tc>
        <w:tc>
          <w:tcPr>
            <w:tcW w:type="dxa" w:w="1328"/>
            <w:shd w:val="clear" w:fill="E7E6E6"/>
          </w:tcPr>
          <w:p>
            <w:pPr>
              <w:spacing w:before="20" w:after="20"/>
            </w:pPr>
            <w:r>
              <w:rPr>
                <w:rFonts w:ascii="Arial" w:hAnsi="Arial"/>
                <w:b/>
                <w:sz w:val="17"/>
              </w:rPr>
              <w:t>Machines</w:t>
            </w:r>
          </w:p>
        </w:tc>
        <w:tc>
          <w:tcPr>
            <w:tcW w:type="dxa" w:w="1328"/>
            <w:shd w:val="clear" w:fill="E7E6E6"/>
          </w:tcPr>
          <w:p>
            <w:pPr>
              <w:spacing w:before="20" w:after="20"/>
            </w:pPr>
            <w:r>
              <w:rPr>
                <w:rFonts w:ascii="Arial" w:hAnsi="Arial"/>
                <w:b/>
                <w:sz w:val="17"/>
              </w:rPr>
              <w:t>Util.</w:t>
            </w:r>
          </w:p>
        </w:tc>
        <w:tc>
          <w:tcPr>
            <w:tcW w:type="dxa" w:w="1328"/>
            <w:shd w:val="clear" w:fill="E7E6E6"/>
          </w:tcPr>
          <w:p>
            <w:pPr>
              <w:spacing w:before="20" w:after="20"/>
            </w:pPr>
            <w:r>
              <w:rPr>
                <w:rFonts w:ascii="Arial" w:hAnsi="Arial"/>
                <w:b/>
                <w:sz w:val="17"/>
              </w:rPr>
              <w:t>Operators</w:t>
            </w:r>
          </w:p>
        </w:tc>
      </w:tr>
      <w:tr>
        <w:trPr>
          <w:cantSplit/>
        </w:trPr>
        <w:tc>
          <w:tcPr>
            <w:tcW w:type="dxa" w:w="1328"/>
          </w:tcPr>
          <w:p>
            <w:pPr>
              <w:spacing w:before="20" w:after="20"/>
            </w:pPr>
            <w:r>
              <w:rPr>
                <w:rFonts w:ascii="Arial" w:hAnsi="Arial"/>
                <w:sz w:val="17"/>
              </w:rPr>
              <w:t>Tube cutting</w:t>
            </w:r>
          </w:p>
        </w:tc>
        <w:tc>
          <w:tcPr>
            <w:tcW w:type="dxa" w:w="1328"/>
          </w:tcPr>
          <w:p>
            <w:pPr>
              <w:spacing w:before="20" w:after="20"/>
            </w:pPr>
            <w:r>
              <w:rPr>
                <w:rFonts w:ascii="Arial" w:hAnsi="Arial"/>
                <w:sz w:val="17"/>
              </w:rPr>
              <w:t>3 830 sections</w:t>
            </w:r>
          </w:p>
        </w:tc>
        <w:tc>
          <w:tcPr>
            <w:tcW w:type="dxa" w:w="1328"/>
          </w:tcPr>
          <w:p>
            <w:pPr>
              <w:spacing w:before="20" w:after="20"/>
            </w:pPr>
            <w:r>
              <w:rPr>
                <w:rFonts w:ascii="Arial" w:hAnsi="Arial"/>
                <w:sz w:val="17"/>
              </w:rPr>
              <w:t>15</w:t>
            </w:r>
          </w:p>
        </w:tc>
        <w:tc>
          <w:tcPr>
            <w:tcW w:type="dxa" w:w="1328"/>
          </w:tcPr>
          <w:p>
            <w:pPr>
              <w:spacing w:before="20" w:after="20"/>
            </w:pPr>
            <w:r>
              <w:rPr>
                <w:rFonts w:ascii="Arial" w:hAnsi="Arial"/>
                <w:sz w:val="17"/>
              </w:rPr>
              <w:t>957</w:t>
            </w:r>
          </w:p>
        </w:tc>
        <w:tc>
          <w:tcPr>
            <w:tcW w:type="dxa" w:w="1328"/>
          </w:tcPr>
          <w:p>
            <w:pPr>
              <w:spacing w:before="20" w:after="20"/>
            </w:pPr>
            <w:r>
              <w:rPr>
                <w:rFonts w:ascii="Arial" w:hAnsi="Arial"/>
                <w:sz w:val="17"/>
              </w:rPr>
              <w:t>2</w:t>
            </w:r>
          </w:p>
        </w:tc>
        <w:tc>
          <w:tcPr>
            <w:tcW w:type="dxa" w:w="1328"/>
          </w:tcPr>
          <w:p>
            <w:pPr>
              <w:spacing w:before="20" w:after="20"/>
            </w:pPr>
            <w:r>
              <w:rPr>
                <w:rFonts w:ascii="Arial" w:hAnsi="Arial"/>
                <w:sz w:val="17"/>
              </w:rPr>
              <w:t>99.7 %</w:t>
            </w:r>
          </w:p>
        </w:tc>
        <w:tc>
          <w:tcPr>
            <w:tcW w:type="dxa" w:w="1328"/>
          </w:tcPr>
          <w:p>
            <w:pPr>
              <w:spacing w:before="20" w:after="20"/>
            </w:pPr>
            <w:r>
              <w:rPr>
                <w:rFonts w:ascii="Arial" w:hAnsi="Arial"/>
                <w:sz w:val="17"/>
              </w:rPr>
              <w:t>2</w:t>
            </w:r>
          </w:p>
        </w:tc>
      </w:tr>
      <w:tr>
        <w:trPr>
          <w:cantSplit/>
        </w:trPr>
        <w:tc>
          <w:tcPr>
            <w:tcW w:type="dxa" w:w="1328"/>
          </w:tcPr>
          <w:p>
            <w:pPr>
              <w:spacing w:before="20" w:after="20"/>
            </w:pPr>
            <w:r>
              <w:rPr>
                <w:rFonts w:ascii="Arial" w:hAnsi="Arial"/>
                <w:sz w:val="17"/>
              </w:rPr>
              <w:t>Internal threading</w:t>
            </w:r>
          </w:p>
        </w:tc>
        <w:tc>
          <w:tcPr>
            <w:tcW w:type="dxa" w:w="1328"/>
          </w:tcPr>
          <w:p>
            <w:pPr>
              <w:spacing w:before="20" w:after="20"/>
            </w:pPr>
            <w:r>
              <w:rPr>
                <w:rFonts w:ascii="Arial" w:hAnsi="Arial"/>
                <w:sz w:val="17"/>
              </w:rPr>
              <w:t>1 915</w:t>
            </w:r>
          </w:p>
        </w:tc>
        <w:tc>
          <w:tcPr>
            <w:tcW w:type="dxa" w:w="1328"/>
          </w:tcPr>
          <w:p>
            <w:pPr>
              <w:spacing w:before="20" w:after="20"/>
            </w:pPr>
            <w:r>
              <w:rPr>
                <w:rFonts w:ascii="Arial" w:hAnsi="Arial"/>
                <w:sz w:val="17"/>
              </w:rPr>
              <w:t>20</w:t>
            </w:r>
          </w:p>
        </w:tc>
        <w:tc>
          <w:tcPr>
            <w:tcW w:type="dxa" w:w="1328"/>
          </w:tcPr>
          <w:p>
            <w:pPr>
              <w:spacing w:before="20" w:after="20"/>
            </w:pPr>
            <w:r>
              <w:rPr>
                <w:rFonts w:ascii="Arial" w:hAnsi="Arial"/>
                <w:sz w:val="17"/>
              </w:rPr>
              <w:t>638</w:t>
            </w:r>
          </w:p>
        </w:tc>
        <w:tc>
          <w:tcPr>
            <w:tcW w:type="dxa" w:w="1328"/>
          </w:tcPr>
          <w:p>
            <w:pPr>
              <w:spacing w:before="20" w:after="20"/>
            </w:pPr>
            <w:r>
              <w:rPr>
                <w:rFonts w:ascii="Arial" w:hAnsi="Arial"/>
                <w:sz w:val="17"/>
              </w:rPr>
              <w:t>2</w:t>
            </w:r>
          </w:p>
        </w:tc>
        <w:tc>
          <w:tcPr>
            <w:tcW w:type="dxa" w:w="1328"/>
          </w:tcPr>
          <w:p>
            <w:pPr>
              <w:spacing w:before="20" w:after="20"/>
            </w:pPr>
            <w:r>
              <w:rPr>
                <w:rFonts w:ascii="Arial" w:hAnsi="Arial"/>
                <w:sz w:val="17"/>
              </w:rPr>
              <w:t>66.5 %</w:t>
            </w:r>
          </w:p>
        </w:tc>
        <w:tc>
          <w:tcPr>
            <w:tcW w:type="dxa" w:w="1328"/>
          </w:tcPr>
          <w:p>
            <w:pPr>
              <w:spacing w:before="20" w:after="20"/>
            </w:pPr>
            <w:r>
              <w:rPr>
                <w:rFonts w:ascii="Arial" w:hAnsi="Arial"/>
                <w:sz w:val="17"/>
              </w:rPr>
              <w:t>2</w:t>
            </w:r>
          </w:p>
        </w:tc>
      </w:tr>
      <w:tr>
        <w:trPr>
          <w:cantSplit/>
        </w:trPr>
        <w:tc>
          <w:tcPr>
            <w:tcW w:type="dxa" w:w="1328"/>
          </w:tcPr>
          <w:p>
            <w:pPr>
              <w:spacing w:before="20" w:after="20"/>
            </w:pPr>
            <w:r>
              <w:rPr>
                <w:rFonts w:ascii="Arial" w:hAnsi="Arial"/>
                <w:sz w:val="17"/>
              </w:rPr>
              <w:t>End narrowing</w:t>
            </w:r>
          </w:p>
        </w:tc>
        <w:tc>
          <w:tcPr>
            <w:tcW w:type="dxa" w:w="1328"/>
          </w:tcPr>
          <w:p>
            <w:pPr>
              <w:spacing w:before="20" w:after="20"/>
            </w:pPr>
            <w:r>
              <w:rPr>
                <w:rFonts w:ascii="Arial" w:hAnsi="Arial"/>
                <w:sz w:val="17"/>
              </w:rPr>
              <w:t>1 915</w:t>
            </w:r>
          </w:p>
        </w:tc>
        <w:tc>
          <w:tcPr>
            <w:tcW w:type="dxa" w:w="1328"/>
          </w:tcPr>
          <w:p>
            <w:pPr>
              <w:spacing w:before="20" w:after="20"/>
            </w:pPr>
            <w:r>
              <w:rPr>
                <w:rFonts w:ascii="Arial" w:hAnsi="Arial"/>
                <w:sz w:val="17"/>
              </w:rPr>
              <w:t>5</w:t>
            </w:r>
          </w:p>
        </w:tc>
        <w:tc>
          <w:tcPr>
            <w:tcW w:type="dxa" w:w="1328"/>
          </w:tcPr>
          <w:p>
            <w:pPr>
              <w:spacing w:before="20" w:after="20"/>
            </w:pPr>
            <w:r>
              <w:rPr>
                <w:rFonts w:ascii="Arial" w:hAnsi="Arial"/>
                <w:sz w:val="17"/>
              </w:rPr>
              <w:t>160</w:t>
            </w:r>
          </w:p>
        </w:tc>
        <w:tc>
          <w:tcPr>
            <w:tcW w:type="dxa" w:w="1328"/>
          </w:tcPr>
          <w:p>
            <w:pPr>
              <w:spacing w:before="20" w:after="20"/>
            </w:pPr>
            <w:r>
              <w:rPr>
                <w:rFonts w:ascii="Arial" w:hAnsi="Arial"/>
                <w:sz w:val="17"/>
              </w:rPr>
              <w:t>1</w:t>
            </w:r>
          </w:p>
        </w:tc>
        <w:tc>
          <w:tcPr>
            <w:tcW w:type="dxa" w:w="1328"/>
          </w:tcPr>
          <w:p>
            <w:pPr>
              <w:spacing w:before="20" w:after="20"/>
            </w:pPr>
            <w:r>
              <w:rPr>
                <w:rFonts w:ascii="Arial" w:hAnsi="Arial"/>
                <w:sz w:val="17"/>
              </w:rPr>
              <w:t>33.2 %</w:t>
            </w:r>
          </w:p>
        </w:tc>
        <w:tc>
          <w:tcPr>
            <w:tcW w:type="dxa" w:w="1328"/>
          </w:tcPr>
          <w:p>
            <w:pPr>
              <w:spacing w:before="20" w:after="20"/>
            </w:pPr>
            <w:r>
              <w:rPr>
                <w:rFonts w:ascii="Arial" w:hAnsi="Arial"/>
                <w:sz w:val="17"/>
              </w:rPr>
              <w:t>1</w:t>
            </w:r>
          </w:p>
        </w:tc>
      </w:tr>
      <w:tr>
        <w:trPr>
          <w:cantSplit/>
        </w:trPr>
        <w:tc>
          <w:tcPr>
            <w:tcW w:type="dxa" w:w="1328"/>
          </w:tcPr>
          <w:p>
            <w:pPr>
              <w:spacing w:before="20" w:after="20"/>
            </w:pPr>
            <w:r>
              <w:rPr>
                <w:rFonts w:ascii="Arial" w:hAnsi="Arial"/>
                <w:sz w:val="17"/>
              </w:rPr>
              <w:t>Knurl + ext. thread</w:t>
            </w:r>
          </w:p>
        </w:tc>
        <w:tc>
          <w:tcPr>
            <w:tcW w:type="dxa" w:w="1328"/>
          </w:tcPr>
          <w:p>
            <w:pPr>
              <w:spacing w:before="20" w:after="20"/>
            </w:pPr>
            <w:r>
              <w:rPr>
                <w:rFonts w:ascii="Arial" w:hAnsi="Arial"/>
                <w:sz w:val="17"/>
              </w:rPr>
              <w:t>1 915</w:t>
            </w:r>
          </w:p>
        </w:tc>
        <w:tc>
          <w:tcPr>
            <w:tcW w:type="dxa" w:w="1328"/>
          </w:tcPr>
          <w:p>
            <w:pPr>
              <w:spacing w:before="20" w:after="20"/>
            </w:pPr>
            <w:r>
              <w:rPr>
                <w:rFonts w:ascii="Arial" w:hAnsi="Arial"/>
                <w:sz w:val="17"/>
              </w:rPr>
              <w:t>60</w:t>
            </w:r>
          </w:p>
        </w:tc>
        <w:tc>
          <w:tcPr>
            <w:tcW w:type="dxa" w:w="1328"/>
          </w:tcPr>
          <w:p>
            <w:pPr>
              <w:spacing w:before="20" w:after="20"/>
            </w:pPr>
            <w:r>
              <w:rPr>
                <w:rFonts w:ascii="Arial" w:hAnsi="Arial"/>
                <w:sz w:val="17"/>
              </w:rPr>
              <w:t>1 915</w:t>
            </w:r>
          </w:p>
        </w:tc>
        <w:tc>
          <w:tcPr>
            <w:tcW w:type="dxa" w:w="1328"/>
          </w:tcPr>
          <w:p>
            <w:pPr>
              <w:spacing w:before="20" w:after="20"/>
            </w:pPr>
            <w:r>
              <w:rPr>
                <w:rFonts w:ascii="Arial" w:hAnsi="Arial"/>
                <w:sz w:val="17"/>
              </w:rPr>
              <w:t>4</w:t>
            </w:r>
          </w:p>
        </w:tc>
        <w:tc>
          <w:tcPr>
            <w:tcW w:type="dxa" w:w="1328"/>
          </w:tcPr>
          <w:p>
            <w:pPr>
              <w:spacing w:before="20" w:after="20"/>
            </w:pPr>
            <w:r>
              <w:rPr>
                <w:rFonts w:ascii="Arial" w:hAnsi="Arial"/>
                <w:sz w:val="17"/>
              </w:rPr>
              <w:t>99.7 %</w:t>
            </w:r>
          </w:p>
        </w:tc>
        <w:tc>
          <w:tcPr>
            <w:tcW w:type="dxa" w:w="1328"/>
          </w:tcPr>
          <w:p>
            <w:pPr>
              <w:spacing w:before="20" w:after="20"/>
            </w:pPr>
            <w:r>
              <w:rPr>
                <w:rFonts w:ascii="Arial" w:hAnsi="Arial"/>
                <w:sz w:val="17"/>
              </w:rPr>
              <w:t>4</w:t>
            </w:r>
          </w:p>
        </w:tc>
      </w:tr>
      <w:tr>
        <w:trPr>
          <w:cantSplit/>
        </w:trPr>
        <w:tc>
          <w:tcPr>
            <w:tcW w:type="dxa" w:w="1328"/>
          </w:tcPr>
          <w:p>
            <w:pPr>
              <w:spacing w:before="20" w:after="20"/>
            </w:pPr>
            <w:r>
              <w:rPr>
                <w:rFonts w:ascii="Arial" w:hAnsi="Arial"/>
                <w:sz w:val="17"/>
              </w:rPr>
              <w:t>Head stamping</w:t>
            </w:r>
          </w:p>
        </w:tc>
        <w:tc>
          <w:tcPr>
            <w:tcW w:type="dxa" w:w="1328"/>
          </w:tcPr>
          <w:p>
            <w:pPr>
              <w:spacing w:before="20" w:after="20"/>
            </w:pPr>
            <w:r>
              <w:rPr>
                <w:rFonts w:ascii="Arial" w:hAnsi="Arial"/>
                <w:sz w:val="17"/>
              </w:rPr>
              <w:t>1 915</w:t>
            </w:r>
          </w:p>
        </w:tc>
        <w:tc>
          <w:tcPr>
            <w:tcW w:type="dxa" w:w="1328"/>
          </w:tcPr>
          <w:p>
            <w:pPr>
              <w:spacing w:before="20" w:after="20"/>
            </w:pPr>
            <w:r>
              <w:rPr>
                <w:rFonts w:ascii="Arial" w:hAnsi="Arial"/>
                <w:sz w:val="17"/>
              </w:rPr>
              <w:t>2</w:t>
            </w:r>
          </w:p>
        </w:tc>
        <w:tc>
          <w:tcPr>
            <w:tcW w:type="dxa" w:w="1328"/>
          </w:tcPr>
          <w:p>
            <w:pPr>
              <w:spacing w:before="20" w:after="20"/>
            </w:pPr>
            <w:r>
              <w:rPr>
                <w:rFonts w:ascii="Arial" w:hAnsi="Arial"/>
                <w:sz w:val="17"/>
              </w:rPr>
              <w:t>64</w:t>
            </w:r>
          </w:p>
        </w:tc>
        <w:tc>
          <w:tcPr>
            <w:tcW w:type="dxa" w:w="1328"/>
          </w:tcPr>
          <w:p>
            <w:pPr>
              <w:spacing w:before="20" w:after="20"/>
            </w:pPr>
            <w:r>
              <w:rPr>
                <w:rFonts w:ascii="Arial" w:hAnsi="Arial"/>
                <w:sz w:val="17"/>
              </w:rPr>
              <w:t>1</w:t>
            </w:r>
          </w:p>
        </w:tc>
        <w:tc>
          <w:tcPr>
            <w:tcW w:type="dxa" w:w="1328"/>
          </w:tcPr>
          <w:p>
            <w:pPr>
              <w:spacing w:before="20" w:after="20"/>
            </w:pPr>
            <w:r>
              <w:rPr>
                <w:rFonts w:ascii="Arial" w:hAnsi="Arial"/>
                <w:sz w:val="17"/>
              </w:rPr>
              <w:t>13.3 %</w:t>
            </w:r>
          </w:p>
        </w:tc>
        <w:tc>
          <w:tcPr>
            <w:tcW w:type="dxa" w:w="1328"/>
          </w:tcPr>
          <w:p>
            <w:pPr>
              <w:spacing w:before="20" w:after="20"/>
            </w:pPr>
            <w:r>
              <w:rPr>
                <w:rFonts w:ascii="Arial" w:hAnsi="Arial"/>
                <w:sz w:val="17"/>
              </w:rPr>
              <w:t>1</w:t>
            </w:r>
          </w:p>
        </w:tc>
      </w:tr>
      <w:tr>
        <w:trPr>
          <w:cantSplit/>
        </w:trPr>
        <w:tc>
          <w:tcPr>
            <w:tcW w:type="dxa" w:w="1328"/>
          </w:tcPr>
          <w:p>
            <w:pPr>
              <w:spacing w:before="20" w:after="20"/>
            </w:pPr>
            <w:r>
              <w:rPr>
                <w:rFonts w:ascii="Arial" w:hAnsi="Arial"/>
                <w:sz w:val="17"/>
              </w:rPr>
              <w:t>Hinge stamping</w:t>
            </w:r>
          </w:p>
        </w:tc>
        <w:tc>
          <w:tcPr>
            <w:tcW w:type="dxa" w:w="1328"/>
          </w:tcPr>
          <w:p>
            <w:pPr>
              <w:spacing w:before="20" w:after="20"/>
            </w:pPr>
            <w:r>
              <w:rPr>
                <w:rFonts w:ascii="Arial" w:hAnsi="Arial"/>
                <w:sz w:val="17"/>
              </w:rPr>
              <w:t>1 915</w:t>
            </w:r>
          </w:p>
        </w:tc>
        <w:tc>
          <w:tcPr>
            <w:tcW w:type="dxa" w:w="1328"/>
          </w:tcPr>
          <w:p>
            <w:pPr>
              <w:spacing w:before="20" w:after="20"/>
            </w:pPr>
            <w:r>
              <w:rPr>
                <w:rFonts w:ascii="Arial" w:hAnsi="Arial"/>
                <w:sz w:val="17"/>
              </w:rPr>
              <w:t>2</w:t>
            </w:r>
          </w:p>
        </w:tc>
        <w:tc>
          <w:tcPr>
            <w:tcW w:type="dxa" w:w="1328"/>
          </w:tcPr>
          <w:p>
            <w:pPr>
              <w:spacing w:before="20" w:after="20"/>
            </w:pPr>
            <w:r>
              <w:rPr>
                <w:rFonts w:ascii="Arial" w:hAnsi="Arial"/>
                <w:sz w:val="17"/>
              </w:rPr>
              <w:t>64</w:t>
            </w:r>
          </w:p>
        </w:tc>
        <w:tc>
          <w:tcPr>
            <w:tcW w:type="dxa" w:w="1328"/>
          </w:tcPr>
          <w:p>
            <w:pPr>
              <w:spacing w:before="20" w:after="20"/>
            </w:pPr>
            <w:r>
              <w:rPr>
                <w:rFonts w:ascii="Arial" w:hAnsi="Arial"/>
                <w:sz w:val="17"/>
              </w:rPr>
              <w:t>1</w:t>
            </w:r>
          </w:p>
        </w:tc>
        <w:tc>
          <w:tcPr>
            <w:tcW w:type="dxa" w:w="1328"/>
          </w:tcPr>
          <w:p>
            <w:pPr>
              <w:spacing w:before="20" w:after="20"/>
            </w:pPr>
            <w:r>
              <w:rPr>
                <w:rFonts w:ascii="Arial" w:hAnsi="Arial"/>
                <w:sz w:val="17"/>
              </w:rPr>
              <w:t>13.3 %</w:t>
            </w:r>
          </w:p>
        </w:tc>
        <w:tc>
          <w:tcPr>
            <w:tcW w:type="dxa" w:w="1328"/>
          </w:tcPr>
          <w:p>
            <w:pPr>
              <w:spacing w:before="20" w:after="20"/>
            </w:pPr>
            <w:r>
              <w:rPr>
                <w:rFonts w:ascii="Arial" w:hAnsi="Arial"/>
                <w:sz w:val="17"/>
              </w:rPr>
              <w:t>1</w:t>
            </w:r>
          </w:p>
        </w:tc>
      </w:tr>
      <w:tr>
        <w:trPr>
          <w:cantSplit/>
        </w:trPr>
        <w:tc>
          <w:tcPr>
            <w:tcW w:type="dxa" w:w="1328"/>
          </w:tcPr>
          <w:p>
            <w:pPr>
              <w:spacing w:before="20" w:after="20"/>
            </w:pPr>
            <w:r>
              <w:rPr>
                <w:rFonts w:ascii="Arial" w:hAnsi="Arial"/>
                <w:sz w:val="17"/>
              </w:rPr>
              <w:t>Hinge bending</w:t>
            </w:r>
          </w:p>
        </w:tc>
        <w:tc>
          <w:tcPr>
            <w:tcW w:type="dxa" w:w="1328"/>
          </w:tcPr>
          <w:p>
            <w:pPr>
              <w:spacing w:before="20" w:after="20"/>
            </w:pPr>
            <w:r>
              <w:rPr>
                <w:rFonts w:ascii="Arial" w:hAnsi="Arial"/>
                <w:sz w:val="17"/>
              </w:rPr>
              <w:t>1 819</w:t>
            </w:r>
          </w:p>
        </w:tc>
        <w:tc>
          <w:tcPr>
            <w:tcW w:type="dxa" w:w="1328"/>
          </w:tcPr>
          <w:p>
            <w:pPr>
              <w:spacing w:before="20" w:after="20"/>
            </w:pPr>
            <w:r>
              <w:rPr>
                <w:rFonts w:ascii="Arial" w:hAnsi="Arial"/>
                <w:sz w:val="17"/>
              </w:rPr>
              <w:t>5</w:t>
            </w:r>
          </w:p>
        </w:tc>
        <w:tc>
          <w:tcPr>
            <w:tcW w:type="dxa" w:w="1328"/>
          </w:tcPr>
          <w:p>
            <w:pPr>
              <w:spacing w:before="20" w:after="20"/>
            </w:pPr>
            <w:r>
              <w:rPr>
                <w:rFonts w:ascii="Arial" w:hAnsi="Arial"/>
                <w:sz w:val="17"/>
              </w:rPr>
              <w:t>152</w:t>
            </w:r>
          </w:p>
        </w:tc>
        <w:tc>
          <w:tcPr>
            <w:tcW w:type="dxa" w:w="1328"/>
          </w:tcPr>
          <w:p>
            <w:pPr>
              <w:spacing w:before="20" w:after="20"/>
            </w:pPr>
            <w:r>
              <w:rPr>
                <w:rFonts w:ascii="Arial" w:hAnsi="Arial"/>
                <w:sz w:val="17"/>
              </w:rPr>
              <w:t>1</w:t>
            </w:r>
          </w:p>
        </w:tc>
        <w:tc>
          <w:tcPr>
            <w:tcW w:type="dxa" w:w="1328"/>
          </w:tcPr>
          <w:p>
            <w:pPr>
              <w:spacing w:before="20" w:after="20"/>
            </w:pPr>
            <w:r>
              <w:rPr>
                <w:rFonts w:ascii="Arial" w:hAnsi="Arial"/>
                <w:sz w:val="17"/>
              </w:rPr>
              <w:t>31.6 %</w:t>
            </w:r>
          </w:p>
        </w:tc>
        <w:tc>
          <w:tcPr>
            <w:tcW w:type="dxa" w:w="1328"/>
          </w:tcPr>
          <w:p>
            <w:pPr>
              <w:spacing w:before="20" w:after="20"/>
            </w:pPr>
            <w:r>
              <w:rPr>
                <w:rFonts w:ascii="Arial" w:hAnsi="Arial"/>
                <w:sz w:val="17"/>
              </w:rPr>
              <w:t>1</w:t>
            </w:r>
          </w:p>
        </w:tc>
      </w:tr>
      <w:tr>
        <w:trPr>
          <w:cantSplit/>
        </w:trPr>
        <w:tc>
          <w:tcPr>
            <w:tcW w:type="dxa" w:w="1328"/>
          </w:tcPr>
          <w:p>
            <w:pPr>
              <w:spacing w:before="20" w:after="20"/>
            </w:pPr>
            <w:r>
              <w:rPr>
                <w:rFonts w:ascii="Arial" w:hAnsi="Arial"/>
                <w:sz w:val="17"/>
              </w:rPr>
              <w:t>Head shaping</w:t>
            </w:r>
          </w:p>
        </w:tc>
        <w:tc>
          <w:tcPr>
            <w:tcW w:type="dxa" w:w="1328"/>
          </w:tcPr>
          <w:p>
            <w:pPr>
              <w:spacing w:before="20" w:after="20"/>
            </w:pPr>
            <w:r>
              <w:rPr>
                <w:rFonts w:ascii="Arial" w:hAnsi="Arial"/>
                <w:sz w:val="17"/>
              </w:rPr>
              <w:t>1 819</w:t>
            </w:r>
          </w:p>
        </w:tc>
        <w:tc>
          <w:tcPr>
            <w:tcW w:type="dxa" w:w="1328"/>
          </w:tcPr>
          <w:p>
            <w:pPr>
              <w:spacing w:before="20" w:after="20"/>
            </w:pPr>
            <w:r>
              <w:rPr>
                <w:rFonts w:ascii="Arial" w:hAnsi="Arial"/>
                <w:sz w:val="17"/>
              </w:rPr>
              <w:t>2</w:t>
            </w:r>
          </w:p>
        </w:tc>
        <w:tc>
          <w:tcPr>
            <w:tcW w:type="dxa" w:w="1328"/>
          </w:tcPr>
          <w:p>
            <w:pPr>
              <w:spacing w:before="20" w:after="20"/>
            </w:pPr>
            <w:r>
              <w:rPr>
                <w:rFonts w:ascii="Arial" w:hAnsi="Arial"/>
                <w:sz w:val="17"/>
              </w:rPr>
              <w:t>61</w:t>
            </w:r>
          </w:p>
        </w:tc>
        <w:tc>
          <w:tcPr>
            <w:tcW w:type="dxa" w:w="1328"/>
          </w:tcPr>
          <w:p>
            <w:pPr>
              <w:spacing w:before="20" w:after="20"/>
            </w:pPr>
            <w:r>
              <w:rPr>
                <w:rFonts w:ascii="Arial" w:hAnsi="Arial"/>
                <w:sz w:val="17"/>
              </w:rPr>
              <w:t>1</w:t>
            </w:r>
          </w:p>
        </w:tc>
        <w:tc>
          <w:tcPr>
            <w:tcW w:type="dxa" w:w="1328"/>
          </w:tcPr>
          <w:p>
            <w:pPr>
              <w:spacing w:before="20" w:after="20"/>
            </w:pPr>
            <w:r>
              <w:rPr>
                <w:rFonts w:ascii="Arial" w:hAnsi="Arial"/>
                <w:sz w:val="17"/>
              </w:rPr>
              <w:t>12.6 %</w:t>
            </w:r>
          </w:p>
        </w:tc>
        <w:tc>
          <w:tcPr>
            <w:tcW w:type="dxa" w:w="1328"/>
          </w:tcPr>
          <w:p>
            <w:pPr>
              <w:spacing w:before="20" w:after="20"/>
            </w:pPr>
            <w:r>
              <w:rPr>
                <w:rFonts w:ascii="Arial" w:hAnsi="Arial"/>
                <w:sz w:val="17"/>
              </w:rPr>
              <w:t>1</w:t>
            </w:r>
          </w:p>
        </w:tc>
      </w:tr>
      <w:tr>
        <w:trPr>
          <w:cantSplit/>
        </w:trPr>
        <w:tc>
          <w:tcPr>
            <w:tcW w:type="dxa" w:w="1328"/>
          </w:tcPr>
          <w:p>
            <w:pPr>
              <w:spacing w:before="20" w:after="20"/>
            </w:pPr>
            <w:r>
              <w:rPr>
                <w:rFonts w:ascii="Arial" w:hAnsi="Arial"/>
                <w:sz w:val="17"/>
              </w:rPr>
              <w:t>Blade sharpening</w:t>
            </w:r>
          </w:p>
        </w:tc>
        <w:tc>
          <w:tcPr>
            <w:tcW w:type="dxa" w:w="1328"/>
          </w:tcPr>
          <w:p>
            <w:pPr>
              <w:spacing w:before="20" w:after="20"/>
            </w:pPr>
            <w:r>
              <w:rPr>
                <w:rFonts w:ascii="Arial" w:hAnsi="Arial"/>
                <w:sz w:val="17"/>
              </w:rPr>
              <w:t>1 819</w:t>
            </w:r>
          </w:p>
        </w:tc>
        <w:tc>
          <w:tcPr>
            <w:tcW w:type="dxa" w:w="1328"/>
          </w:tcPr>
          <w:p>
            <w:pPr>
              <w:spacing w:before="20" w:after="20"/>
            </w:pPr>
            <w:r>
              <w:rPr>
                <w:rFonts w:ascii="Arial" w:hAnsi="Arial"/>
                <w:sz w:val="17"/>
              </w:rPr>
              <w:t>120</w:t>
            </w:r>
          </w:p>
        </w:tc>
        <w:tc>
          <w:tcPr>
            <w:tcW w:type="dxa" w:w="1328"/>
          </w:tcPr>
          <w:p>
            <w:pPr>
              <w:spacing w:before="20" w:after="20"/>
            </w:pPr>
            <w:r>
              <w:rPr>
                <w:rFonts w:ascii="Arial" w:hAnsi="Arial"/>
                <w:sz w:val="17"/>
              </w:rPr>
              <w:t>3 638</w:t>
            </w:r>
          </w:p>
        </w:tc>
        <w:tc>
          <w:tcPr>
            <w:tcW w:type="dxa" w:w="1328"/>
          </w:tcPr>
          <w:p>
            <w:pPr>
              <w:spacing w:before="20" w:after="20"/>
            </w:pPr>
            <w:r>
              <w:rPr>
                <w:rFonts w:ascii="Arial" w:hAnsi="Arial"/>
                <w:sz w:val="17"/>
              </w:rPr>
              <w:t>8</w:t>
            </w:r>
          </w:p>
        </w:tc>
        <w:tc>
          <w:tcPr>
            <w:tcW w:type="dxa" w:w="1328"/>
          </w:tcPr>
          <w:p>
            <w:pPr>
              <w:spacing w:before="20" w:after="20"/>
            </w:pPr>
            <w:r>
              <w:rPr>
                <w:rFonts w:ascii="Arial" w:hAnsi="Arial"/>
                <w:sz w:val="17"/>
              </w:rPr>
              <w:t>94.7 %</w:t>
            </w:r>
          </w:p>
        </w:tc>
        <w:tc>
          <w:tcPr>
            <w:tcW w:type="dxa" w:w="1328"/>
          </w:tcPr>
          <w:p>
            <w:pPr>
              <w:spacing w:before="20" w:after="20"/>
            </w:pPr>
            <w:r>
              <w:rPr>
                <w:rFonts w:ascii="Arial" w:hAnsi="Arial"/>
                <w:sz w:val="17"/>
              </w:rPr>
              <w:t>8</w:t>
            </w:r>
          </w:p>
        </w:tc>
      </w:tr>
      <w:tr>
        <w:trPr>
          <w:cantSplit/>
        </w:trPr>
        <w:tc>
          <w:tcPr>
            <w:tcW w:type="dxa" w:w="1328"/>
          </w:tcPr>
          <w:p>
            <w:pPr>
              <w:spacing w:before="20" w:after="20"/>
            </w:pPr>
            <w:r>
              <w:rPr>
                <w:rFonts w:ascii="Arial" w:hAnsi="Arial"/>
                <w:sz w:val="17"/>
              </w:rPr>
              <w:t>Blade serrating</w:t>
            </w:r>
          </w:p>
        </w:tc>
        <w:tc>
          <w:tcPr>
            <w:tcW w:type="dxa" w:w="1328"/>
          </w:tcPr>
          <w:p>
            <w:pPr>
              <w:spacing w:before="20" w:after="20"/>
            </w:pPr>
            <w:r>
              <w:rPr>
                <w:rFonts w:ascii="Arial" w:hAnsi="Arial"/>
                <w:sz w:val="17"/>
              </w:rPr>
              <w:t>1 819</w:t>
            </w:r>
          </w:p>
        </w:tc>
        <w:tc>
          <w:tcPr>
            <w:tcW w:type="dxa" w:w="1328"/>
          </w:tcPr>
          <w:p>
            <w:pPr>
              <w:spacing w:before="20" w:after="20"/>
            </w:pPr>
            <w:r>
              <w:rPr>
                <w:rFonts w:ascii="Arial" w:hAnsi="Arial"/>
                <w:sz w:val="17"/>
              </w:rPr>
              <w:t>60</w:t>
            </w:r>
          </w:p>
        </w:tc>
        <w:tc>
          <w:tcPr>
            <w:tcW w:type="dxa" w:w="1328"/>
          </w:tcPr>
          <w:p>
            <w:pPr>
              <w:spacing w:before="20" w:after="20"/>
            </w:pPr>
            <w:r>
              <w:rPr>
                <w:rFonts w:ascii="Arial" w:hAnsi="Arial"/>
                <w:sz w:val="17"/>
              </w:rPr>
              <w:t>1 819</w:t>
            </w:r>
          </w:p>
        </w:tc>
        <w:tc>
          <w:tcPr>
            <w:tcW w:type="dxa" w:w="1328"/>
          </w:tcPr>
          <w:p>
            <w:pPr>
              <w:spacing w:before="20" w:after="20"/>
            </w:pPr>
            <w:r>
              <w:rPr>
                <w:rFonts w:ascii="Arial" w:hAnsi="Arial"/>
                <w:sz w:val="17"/>
              </w:rPr>
              <w:t>4</w:t>
            </w:r>
          </w:p>
        </w:tc>
        <w:tc>
          <w:tcPr>
            <w:tcW w:type="dxa" w:w="1328"/>
          </w:tcPr>
          <w:p>
            <w:pPr>
              <w:spacing w:before="20" w:after="20"/>
            </w:pPr>
            <w:r>
              <w:rPr>
                <w:rFonts w:ascii="Arial" w:hAnsi="Arial"/>
                <w:sz w:val="17"/>
              </w:rPr>
              <w:t>94.7 %</w:t>
            </w:r>
          </w:p>
        </w:tc>
        <w:tc>
          <w:tcPr>
            <w:tcW w:type="dxa" w:w="1328"/>
          </w:tcPr>
          <w:p>
            <w:pPr>
              <w:spacing w:before="20" w:after="20"/>
            </w:pPr>
            <w:r>
              <w:rPr>
                <w:rFonts w:ascii="Arial" w:hAnsi="Arial"/>
                <w:sz w:val="17"/>
              </w:rPr>
              <w:t>4</w:t>
            </w:r>
          </w:p>
        </w:tc>
      </w:tr>
      <w:tr>
        <w:trPr>
          <w:cantSplit/>
        </w:trPr>
        <w:tc>
          <w:tcPr>
            <w:tcW w:type="dxa" w:w="1328"/>
          </w:tcPr>
          <w:p>
            <w:pPr>
              <w:spacing w:before="20" w:after="20"/>
            </w:pPr>
            <w:r>
              <w:rPr>
                <w:rFonts w:ascii="Arial" w:hAnsi="Arial"/>
                <w:sz w:val="17"/>
              </w:rPr>
              <w:t>Riveting</w:t>
            </w:r>
          </w:p>
        </w:tc>
        <w:tc>
          <w:tcPr>
            <w:tcW w:type="dxa" w:w="1328"/>
          </w:tcPr>
          <w:p>
            <w:pPr>
              <w:spacing w:before="20" w:after="20"/>
            </w:pPr>
            <w:r>
              <w:rPr>
                <w:rFonts w:ascii="Arial" w:hAnsi="Arial"/>
                <w:sz w:val="17"/>
              </w:rPr>
              <w:t>1 819</w:t>
            </w:r>
          </w:p>
        </w:tc>
        <w:tc>
          <w:tcPr>
            <w:tcW w:type="dxa" w:w="1328"/>
          </w:tcPr>
          <w:p>
            <w:pPr>
              <w:spacing w:before="20" w:after="20"/>
            </w:pPr>
            <w:r>
              <w:rPr>
                <w:rFonts w:ascii="Arial" w:hAnsi="Arial"/>
                <w:sz w:val="17"/>
              </w:rPr>
              <w:t>5</w:t>
            </w:r>
          </w:p>
        </w:tc>
        <w:tc>
          <w:tcPr>
            <w:tcW w:type="dxa" w:w="1328"/>
          </w:tcPr>
          <w:p>
            <w:pPr>
              <w:spacing w:before="20" w:after="20"/>
            </w:pPr>
            <w:r>
              <w:rPr>
                <w:rFonts w:ascii="Arial" w:hAnsi="Arial"/>
                <w:sz w:val="17"/>
              </w:rPr>
              <w:t>152</w:t>
            </w:r>
          </w:p>
        </w:tc>
        <w:tc>
          <w:tcPr>
            <w:tcW w:type="dxa" w:w="1328"/>
          </w:tcPr>
          <w:p>
            <w:pPr>
              <w:spacing w:before="20" w:after="20"/>
            </w:pPr>
            <w:r>
              <w:rPr>
                <w:rFonts w:ascii="Arial" w:hAnsi="Arial"/>
                <w:sz w:val="17"/>
              </w:rPr>
              <w:t>1</w:t>
            </w:r>
          </w:p>
        </w:tc>
        <w:tc>
          <w:tcPr>
            <w:tcW w:type="dxa" w:w="1328"/>
          </w:tcPr>
          <w:p>
            <w:pPr>
              <w:spacing w:before="20" w:after="20"/>
            </w:pPr>
            <w:r>
              <w:rPr>
                <w:rFonts w:ascii="Arial" w:hAnsi="Arial"/>
                <w:sz w:val="17"/>
              </w:rPr>
              <w:t>31.6 %</w:t>
            </w:r>
          </w:p>
        </w:tc>
        <w:tc>
          <w:tcPr>
            <w:tcW w:type="dxa" w:w="1328"/>
          </w:tcPr>
          <w:p>
            <w:pPr>
              <w:spacing w:before="20" w:after="20"/>
            </w:pPr>
            <w:r>
              <w:rPr>
                <w:rFonts w:ascii="Arial" w:hAnsi="Arial"/>
                <w:sz w:val="17"/>
              </w:rPr>
              <w:t>1</w:t>
            </w:r>
          </w:p>
        </w:tc>
      </w:tr>
      <w:tr>
        <w:trPr>
          <w:cantSplit/>
        </w:trPr>
        <w:tc>
          <w:tcPr>
            <w:tcW w:type="dxa" w:w="1328"/>
          </w:tcPr>
          <w:p>
            <w:pPr>
              <w:spacing w:before="20" w:after="20"/>
            </w:pPr>
            <w:r>
              <w:rPr>
                <w:rFonts w:ascii="Arial" w:hAnsi="Arial"/>
                <w:sz w:val="17"/>
              </w:rPr>
              <w:t>Hand polishing</w:t>
            </w:r>
          </w:p>
        </w:tc>
        <w:tc>
          <w:tcPr>
            <w:tcW w:type="dxa" w:w="1328"/>
          </w:tcPr>
          <w:p>
            <w:pPr>
              <w:spacing w:before="20" w:after="20"/>
            </w:pPr>
            <w:r>
              <w:rPr>
                <w:rFonts w:ascii="Arial" w:hAnsi="Arial"/>
                <w:sz w:val="17"/>
              </w:rPr>
              <w:t>1 819</w:t>
            </w:r>
          </w:p>
        </w:tc>
        <w:tc>
          <w:tcPr>
            <w:tcW w:type="dxa" w:w="1328"/>
          </w:tcPr>
          <w:p>
            <w:pPr>
              <w:spacing w:before="20" w:after="20"/>
            </w:pPr>
            <w:r>
              <w:rPr>
                <w:rFonts w:ascii="Arial" w:hAnsi="Arial"/>
                <w:sz w:val="17"/>
              </w:rPr>
              <w:t>60</w:t>
            </w:r>
          </w:p>
        </w:tc>
        <w:tc>
          <w:tcPr>
            <w:tcW w:type="dxa" w:w="1328"/>
          </w:tcPr>
          <w:p>
            <w:pPr>
              <w:spacing w:before="20" w:after="20"/>
            </w:pPr>
            <w:r>
              <w:rPr>
                <w:rFonts w:ascii="Arial" w:hAnsi="Arial"/>
                <w:sz w:val="17"/>
              </w:rPr>
              <w:t>1 819</w:t>
            </w:r>
          </w:p>
        </w:tc>
        <w:tc>
          <w:tcPr>
            <w:tcW w:type="dxa" w:w="1328"/>
          </w:tcPr>
          <w:p>
            <w:pPr>
              <w:spacing w:before="20" w:after="20"/>
            </w:pPr>
            <w:r>
              <w:rPr>
                <w:rFonts w:ascii="Arial" w:hAnsi="Arial"/>
                <w:sz w:val="17"/>
              </w:rPr>
              <w:t>4</w:t>
            </w:r>
          </w:p>
        </w:tc>
        <w:tc>
          <w:tcPr>
            <w:tcW w:type="dxa" w:w="1328"/>
          </w:tcPr>
          <w:p>
            <w:pPr>
              <w:spacing w:before="20" w:after="20"/>
            </w:pPr>
            <w:r>
              <w:rPr>
                <w:rFonts w:ascii="Arial" w:hAnsi="Arial"/>
                <w:sz w:val="17"/>
              </w:rPr>
              <w:t>94.7 %</w:t>
            </w:r>
          </w:p>
        </w:tc>
        <w:tc>
          <w:tcPr>
            <w:tcW w:type="dxa" w:w="1328"/>
          </w:tcPr>
          <w:p>
            <w:pPr>
              <w:spacing w:before="20" w:after="20"/>
            </w:pPr>
            <w:r>
              <w:rPr>
                <w:rFonts w:ascii="Arial" w:hAnsi="Arial"/>
                <w:sz w:val="17"/>
              </w:rPr>
              <w:t>4</w:t>
            </w:r>
          </w:p>
        </w:tc>
      </w:tr>
      <w:tr>
        <w:trPr>
          <w:cantSplit/>
        </w:trPr>
        <w:tc>
          <w:tcPr>
            <w:tcW w:type="dxa" w:w="1328"/>
          </w:tcPr>
          <w:p>
            <w:pPr>
              <w:spacing w:before="20" w:after="20"/>
            </w:pPr>
            <w:r>
              <w:rPr>
                <w:rFonts w:ascii="Arial" w:hAnsi="Arial"/>
                <w:sz w:val="17"/>
              </w:rPr>
              <w:t>Final assembly</w:t>
            </w:r>
          </w:p>
        </w:tc>
        <w:tc>
          <w:tcPr>
            <w:tcW w:type="dxa" w:w="1328"/>
          </w:tcPr>
          <w:p>
            <w:pPr>
              <w:spacing w:before="20" w:after="20"/>
            </w:pPr>
            <w:r>
              <w:rPr>
                <w:rFonts w:ascii="Arial" w:hAnsi="Arial"/>
                <w:sz w:val="17"/>
              </w:rPr>
              <w:t>1 819</w:t>
            </w:r>
          </w:p>
        </w:tc>
        <w:tc>
          <w:tcPr>
            <w:tcW w:type="dxa" w:w="1328"/>
          </w:tcPr>
          <w:p>
            <w:pPr>
              <w:spacing w:before="20" w:after="20"/>
            </w:pPr>
            <w:r>
              <w:rPr>
                <w:rFonts w:ascii="Arial" w:hAnsi="Arial"/>
                <w:sz w:val="17"/>
              </w:rPr>
              <w:t>30</w:t>
            </w:r>
          </w:p>
        </w:tc>
        <w:tc>
          <w:tcPr>
            <w:tcW w:type="dxa" w:w="1328"/>
          </w:tcPr>
          <w:p>
            <w:pPr>
              <w:spacing w:before="20" w:after="20"/>
            </w:pPr>
            <w:r>
              <w:rPr>
                <w:rFonts w:ascii="Arial" w:hAnsi="Arial"/>
                <w:sz w:val="17"/>
              </w:rPr>
              <w:t>910</w:t>
            </w:r>
          </w:p>
        </w:tc>
        <w:tc>
          <w:tcPr>
            <w:tcW w:type="dxa" w:w="1328"/>
          </w:tcPr>
          <w:p>
            <w:pPr>
              <w:spacing w:before="20" w:after="20"/>
            </w:pPr>
            <w:r>
              <w:rPr>
                <w:rFonts w:ascii="Arial" w:hAnsi="Arial"/>
                <w:sz w:val="17"/>
              </w:rPr>
              <w:t>2</w:t>
            </w:r>
          </w:p>
        </w:tc>
        <w:tc>
          <w:tcPr>
            <w:tcW w:type="dxa" w:w="1328"/>
          </w:tcPr>
          <w:p>
            <w:pPr>
              <w:spacing w:before="20" w:after="20"/>
            </w:pPr>
            <w:r>
              <w:rPr>
                <w:rFonts w:ascii="Arial" w:hAnsi="Arial"/>
                <w:sz w:val="17"/>
              </w:rPr>
              <w:t>94.7 %</w:t>
            </w:r>
          </w:p>
        </w:tc>
        <w:tc>
          <w:tcPr>
            <w:tcW w:type="dxa" w:w="1328"/>
          </w:tcPr>
          <w:p>
            <w:pPr>
              <w:spacing w:before="20" w:after="20"/>
            </w:pPr>
            <w:r>
              <w:rPr>
                <w:rFonts w:ascii="Arial" w:hAnsi="Arial"/>
                <w:sz w:val="17"/>
              </w:rPr>
              <w:t>2</w:t>
            </w:r>
          </w:p>
        </w:tc>
      </w:tr>
      <w:tr>
        <w:trPr>
          <w:cantSplit/>
        </w:trPr>
        <w:tc>
          <w:tcPr>
            <w:tcW w:type="dxa" w:w="1328"/>
          </w:tcPr>
          <w:p>
            <w:pPr>
              <w:spacing w:before="20" w:after="20"/>
            </w:pPr>
            <w:r>
              <w:rPr>
                <w:rFonts w:ascii="Arial" w:hAnsi="Arial"/>
                <w:sz w:val="17"/>
              </w:rPr>
              <w:t>Packaging + check</w:t>
            </w:r>
          </w:p>
        </w:tc>
        <w:tc>
          <w:tcPr>
            <w:tcW w:type="dxa" w:w="1328"/>
          </w:tcPr>
          <w:p>
            <w:pPr>
              <w:spacing w:before="20" w:after="20"/>
            </w:pPr>
            <w:r>
              <w:rPr>
                <w:rFonts w:ascii="Arial" w:hAnsi="Arial"/>
                <w:sz w:val="17"/>
              </w:rPr>
              <w:t>1 819</w:t>
            </w:r>
          </w:p>
        </w:tc>
        <w:tc>
          <w:tcPr>
            <w:tcW w:type="dxa" w:w="1328"/>
          </w:tcPr>
          <w:p>
            <w:pPr>
              <w:spacing w:before="20" w:after="20"/>
            </w:pPr>
            <w:r>
              <w:rPr>
                <w:rFonts w:ascii="Arial" w:hAnsi="Arial"/>
                <w:sz w:val="17"/>
              </w:rPr>
              <w:t>30 [VERIFY]</w:t>
            </w:r>
          </w:p>
        </w:tc>
        <w:tc>
          <w:tcPr>
            <w:tcW w:type="dxa" w:w="1328"/>
          </w:tcPr>
          <w:p>
            <w:pPr>
              <w:spacing w:before="20" w:after="20"/>
            </w:pPr>
            <w:r>
              <w:rPr>
                <w:rFonts w:ascii="Arial" w:hAnsi="Arial"/>
                <w:sz w:val="17"/>
              </w:rPr>
              <w:t>910</w:t>
            </w:r>
          </w:p>
        </w:tc>
        <w:tc>
          <w:tcPr>
            <w:tcW w:type="dxa" w:w="1328"/>
          </w:tcPr>
          <w:p>
            <w:pPr>
              <w:spacing w:before="20" w:after="20"/>
            </w:pPr>
            <w:r>
              <w:rPr>
                <w:rFonts w:ascii="Arial" w:hAnsi="Arial"/>
                <w:sz w:val="17"/>
              </w:rPr>
              <w:t>2</w:t>
            </w:r>
          </w:p>
        </w:tc>
        <w:tc>
          <w:tcPr>
            <w:tcW w:type="dxa" w:w="1328"/>
          </w:tcPr>
          <w:p>
            <w:pPr>
              <w:spacing w:before="20" w:after="20"/>
            </w:pPr>
            <w:r>
              <w:rPr>
                <w:rFonts w:ascii="Arial" w:hAnsi="Arial"/>
                <w:sz w:val="17"/>
              </w:rPr>
              <w:t>94.7 %</w:t>
            </w:r>
          </w:p>
        </w:tc>
        <w:tc>
          <w:tcPr>
            <w:tcW w:type="dxa" w:w="1328"/>
          </w:tcPr>
          <w:p>
            <w:pPr>
              <w:spacing w:before="20" w:after="20"/>
            </w:pPr>
            <w:r>
              <w:rPr>
                <w:rFonts w:ascii="Arial" w:hAnsi="Arial"/>
                <w:sz w:val="17"/>
              </w:rPr>
              <w:t>2</w:t>
            </w:r>
          </w:p>
        </w:tc>
      </w:tr>
      <w:tr>
        <w:trPr>
          <w:cantSplit/>
        </w:trPr>
        <w:tc>
          <w:tcPr>
            <w:tcW w:type="dxa" w:w="1328"/>
          </w:tcPr>
          <w:p>
            <w:pPr>
              <w:spacing w:before="20" w:after="20"/>
            </w:pPr>
            <w:r>
              <w:rPr>
                <w:rFonts w:ascii="Arial" w:hAnsi="Arial"/>
                <w:sz w:val="17"/>
              </w:rPr>
              <w:t>TOTAL</w:t>
            </w:r>
          </w:p>
        </w:tc>
        <w:tc>
          <w:tcPr>
            <w:tcW w:type="dxa" w:w="1328"/>
          </w:tcPr>
          <w:p>
            <w:pPr>
              <w:spacing w:before="20" w:after="20"/>
            </w:pPr>
            <w:r>
              <w:rPr>
                <w:rFonts w:ascii="Arial" w:hAnsi="Arial"/>
                <w:sz w:val="17"/>
              </w:rPr>
            </w:r>
          </w:p>
        </w:tc>
        <w:tc>
          <w:tcPr>
            <w:tcW w:type="dxa" w:w="1328"/>
          </w:tcPr>
          <w:p>
            <w:pPr>
              <w:spacing w:before="20" w:after="20"/>
            </w:pPr>
            <w:r>
              <w:rPr>
                <w:rFonts w:ascii="Arial" w:hAnsi="Arial"/>
                <w:sz w:val="17"/>
              </w:rPr>
            </w:r>
          </w:p>
        </w:tc>
        <w:tc>
          <w:tcPr>
            <w:tcW w:type="dxa" w:w="1328"/>
          </w:tcPr>
          <w:p>
            <w:pPr>
              <w:spacing w:before="20" w:after="20"/>
            </w:pPr>
            <w:r>
              <w:rPr>
                <w:rFonts w:ascii="Arial" w:hAnsi="Arial"/>
                <w:sz w:val="17"/>
              </w:rPr>
            </w:r>
          </w:p>
        </w:tc>
        <w:tc>
          <w:tcPr>
            <w:tcW w:type="dxa" w:w="1328"/>
          </w:tcPr>
          <w:p>
            <w:pPr>
              <w:spacing w:before="20" w:after="20"/>
            </w:pPr>
            <w:r>
              <w:rPr>
                <w:rFonts w:ascii="Arial" w:hAnsi="Arial"/>
                <w:sz w:val="17"/>
              </w:rPr>
              <w:t>34</w:t>
            </w:r>
          </w:p>
        </w:tc>
        <w:tc>
          <w:tcPr>
            <w:tcW w:type="dxa" w:w="1328"/>
          </w:tcPr>
          <w:p>
            <w:pPr>
              <w:spacing w:before="20" w:after="20"/>
            </w:pPr>
            <w:r>
              <w:rPr>
                <w:rFonts w:ascii="Arial" w:hAnsi="Arial"/>
                <w:sz w:val="17"/>
              </w:rPr>
              <w:t>avg 62.5 %</w:t>
            </w:r>
          </w:p>
        </w:tc>
        <w:tc>
          <w:tcPr>
            <w:tcW w:type="dxa" w:w="1328"/>
          </w:tcPr>
          <w:p>
            <w:pPr>
              <w:spacing w:before="20" w:after="20"/>
            </w:pPr>
            <w:r>
              <w:rPr>
                <w:rFonts w:ascii="Arial" w:hAnsi="Arial"/>
                <w:sz w:val="17"/>
              </w:rPr>
              <w:t>34</w:t>
            </w:r>
          </w:p>
        </w:tc>
      </w:tr>
    </w:tbl>
    <w:p/>
    <w:p>
      <w:r/>
      <w:r>
        <w:rPr>
          <w:b/>
        </w:rPr>
        <w:t>Key findings and layout implications.</w:t>
      </w:r>
      <w:r>
        <w:t xml:space="preserve"> Sharpening is the bottleneck by workload (3 638 machine-min/day; 8 of 34 machines); tube cutting and knurling hold the least headroom (99.7 % — under two minutes of slack per machine per day; mitigations: bundle cutting and the faster inherent thread-rolling cycle). The 94.7 % family shares one cause, so one added unit anywhere in it buys 10–12 % headroom. At 90 % availability the requirement rises to 41 machines (+7, ≈42 m²) — reserved as positioned expansion ground, not base plan. Equipment-dependent processes add one ageing oven, a blast installation and two powder-coating lines: ⌈5 457/(600×8)⌉ = 2 lines, since a single line needs 9.1 h and overtime is not the base plan. Production-related staff total 43 of 60 (34 line + 4 equipment/QA + 5 material handlers).</w:t>
      </w:r>
    </w:p>
    <w:p>
      <w:pPr>
        <w:pStyle w:val="Heading2"/>
      </w:pPr>
      <w:r>
        <w:t>6.4 Manufacturing Processes and Workstations</w:t>
      </w:r>
    </w:p>
    <w:p>
      <w:r>
        <w:t>Each workstation below states the process, the selected machine class with specifications, and the workstation layout: machine footprint, WIP before and after, operator movement area, aisle width and material handling. Workstation floor space follows the standard build-up:</w:t>
      </w:r>
    </w:p>
    <w:p>
      <w:pPr>
        <w:tabs>
          <w:tab w:pos="9071" w:val="right"/>
        </w:tabs>
      </w:pPr>
      <w:r>
        <w:rPr>
          <w:rFonts w:ascii="Cambria Math" w:hAnsi="Cambria Math"/>
          <w:i/>
          <w:sz w:val="22"/>
        </w:rPr>
        <w:t xml:space="preserve">        A(station) = A(machine) + A(operator) + A(WIP in/out) + A(access) = 1.0+1.5+2.0+1.5 = 6.0 m²</w:t>
      </w:r>
      <w:r>
        <w:rPr>
          <w:sz w:val="20"/>
        </w:rPr>
        <w:tab/>
        <w:t>(10)</w:t>
      </w:r>
    </w:p>
    <w:p>
      <w:r>
        <w:t>Stations whose true geometry exceeds the 6 m² allowance (saw strips, packaging) carry explicit corrections into Section 6.8. Aisle design bases: 0.5–0.9 m operator movement inside stations, 2.0 m trolley/milk-run lanes, 3.5 m forklift aisles.</w:t>
      </w:r>
    </w:p>
    <w:p>
      <w:pPr>
        <w:pStyle w:val="Heading3"/>
      </w:pPr>
      <w:r>
        <w:t>6.4.1 Tube Cutting</w:t>
      </w:r>
    </w:p>
    <w:p>
      <w:r/>
      <w:r>
        <w:rPr>
          <w:b/>
        </w:rPr>
        <w:t>Process.</w:t>
      </w:r>
      <w:r>
        <w:t xml:space="preserve"> Six-metre tubes are cut to 150 mm handle sections at 15 s/cut — the head of the tube stream and one of two scrap-generating steps (5 %): 3 830 sections/day on two automatic non-ferrous saws with 6 m bar feed.</w:t>
      </w:r>
    </w:p>
    <w:p>
      <w:pPr>
        <w:pStyle w:val="TblCap"/>
      </w:pPr>
      <w:r>
        <w:t>Table 5: Tube Cutting — machine and workstation specifications</w:t>
      </w:r>
    </w:p>
    <w:tbl>
      <w:tblPr>
        <w:tblW w:type="auto" w:w="0"/>
        <w:tblLook w:firstColumn="1" w:firstRow="1" w:lastColumn="0" w:lastRow="0" w:noHBand="0" w:noVBand="1" w:val="04A0"/>
        <w:tblBorders>
          <w:top w:val="single" w:sz="4" w:color="7F7F7F"/>
          <w:left w:val="single" w:sz="4" w:color="7F7F7F"/>
          <w:bottom w:val="single" w:sz="4" w:color="7F7F7F"/>
          <w:right w:val="single" w:sz="4" w:color="7F7F7F"/>
          <w:insideH w:val="single" w:sz="4" w:color="7F7F7F"/>
          <w:insideV w:val="single" w:sz="4" w:color="7F7F7F"/>
        </w:tblBorders>
        <w:tblW w:w="5000" w:type="pct"/>
      </w:tblPr>
      <w:tblGrid>
        <w:gridCol w:w="3099"/>
        <w:gridCol w:w="3099"/>
        <w:gridCol w:w="3099"/>
      </w:tblGrid>
      <w:tr>
        <w:trPr>
          <w:cantSplit/>
          <w:tblHeader w:val="true"/>
        </w:trPr>
        <w:tc>
          <w:tcPr>
            <w:tcW w:type="dxa" w:w="3099"/>
            <w:shd w:val="clear" w:fill="E7E6E6"/>
          </w:tcPr>
          <w:p>
            <w:pPr>
              <w:spacing w:before="20" w:after="20"/>
            </w:pPr>
            <w:r>
              <w:rPr>
                <w:rFonts w:ascii="Arial" w:hAnsi="Arial"/>
                <w:b/>
                <w:sz w:val="18"/>
              </w:rPr>
              <w:t>Specification</w:t>
            </w:r>
          </w:p>
        </w:tc>
        <w:tc>
          <w:tcPr>
            <w:tcW w:type="dxa" w:w="3099"/>
            <w:shd w:val="clear" w:fill="E7E6E6"/>
          </w:tcPr>
          <w:p>
            <w:pPr>
              <w:spacing w:before="20" w:after="20"/>
            </w:pPr>
            <w:r>
              <w:rPr>
                <w:rFonts w:ascii="Arial" w:hAnsi="Arial"/>
                <w:b/>
                <w:sz w:val="18"/>
              </w:rPr>
              <w:t>Value</w:t>
            </w:r>
          </w:p>
        </w:tc>
        <w:tc>
          <w:tcPr>
            <w:tcW w:type="dxa" w:w="3099"/>
            <w:shd w:val="clear" w:fill="E7E6E6"/>
          </w:tcPr>
          <w:p>
            <w:pPr>
              <w:spacing w:before="20" w:after="20"/>
            </w:pPr>
            <w:r>
              <w:rPr>
                <w:rFonts w:ascii="Arial" w:hAnsi="Arial"/>
                <w:b/>
                <w:sz w:val="18"/>
              </w:rPr>
              <w:t>Basis</w:t>
            </w:r>
          </w:p>
        </w:tc>
      </w:tr>
      <w:tr>
        <w:trPr>
          <w:cantSplit/>
        </w:trPr>
        <w:tc>
          <w:tcPr>
            <w:tcW w:type="dxa" w:w="3099"/>
          </w:tcPr>
          <w:p>
            <w:pPr>
              <w:spacing w:before="20" w:after="20"/>
            </w:pPr>
            <w:r>
              <w:rPr>
                <w:rFonts w:ascii="Arial" w:hAnsi="Arial"/>
                <w:sz w:val="18"/>
              </w:rPr>
              <w:t>Equipment</w:t>
            </w:r>
          </w:p>
        </w:tc>
        <w:tc>
          <w:tcPr>
            <w:tcW w:type="dxa" w:w="3099"/>
          </w:tcPr>
          <w:p>
            <w:pPr>
              <w:spacing w:before="20" w:after="20"/>
            </w:pPr>
            <w:r>
              <w:rPr>
                <w:rFonts w:ascii="Arial" w:hAnsi="Arial"/>
                <w:sz w:val="18"/>
              </w:rPr>
              <w:t>Auto non-ferrous saw + bar feed</w:t>
            </w:r>
          </w:p>
        </w:tc>
        <w:tc>
          <w:tcPr>
            <w:tcW w:type="dxa" w:w="3099"/>
          </w:tcPr>
          <w:p>
            <w:pPr>
              <w:spacing w:before="20" w:after="20"/>
            </w:pPr>
            <w:r>
              <w:rPr>
                <w:rFonts w:ascii="Arial" w:hAnsi="Arial"/>
                <w:sz w:val="18"/>
              </w:rPr>
              <w:t>Market example: ProfiFeed A420</w:t>
            </w:r>
          </w:p>
        </w:tc>
      </w:tr>
      <w:tr>
        <w:trPr>
          <w:cantSplit/>
        </w:trPr>
        <w:tc>
          <w:tcPr>
            <w:tcW w:type="dxa" w:w="3099"/>
          </w:tcPr>
          <w:p>
            <w:pPr>
              <w:spacing w:before="20" w:after="20"/>
            </w:pPr>
            <w:r>
              <w:rPr>
                <w:rFonts w:ascii="Arial" w:hAnsi="Arial"/>
                <w:sz w:val="18"/>
              </w:rPr>
              <w:t>Cell size</w:t>
            </w:r>
          </w:p>
        </w:tc>
        <w:tc>
          <w:tcPr>
            <w:tcW w:type="dxa" w:w="3099"/>
          </w:tcPr>
          <w:p>
            <w:pPr>
              <w:spacing w:before="20" w:after="20"/>
            </w:pPr>
            <w:r>
              <w:rPr>
                <w:rFonts w:ascii="Arial" w:hAnsi="Arial"/>
                <w:sz w:val="18"/>
              </w:rPr>
              <w:t>9.0 × 2.0 m = 18 m² (×2)</w:t>
            </w:r>
          </w:p>
        </w:tc>
        <w:tc>
          <w:tcPr>
            <w:tcW w:type="dxa" w:w="3099"/>
          </w:tcPr>
          <w:p>
            <w:pPr>
              <w:spacing w:before="20" w:after="20"/>
            </w:pPr>
            <w:r>
              <w:rPr>
                <w:rFonts w:ascii="Arial" w:hAnsi="Arial"/>
                <w:sz w:val="18"/>
              </w:rPr>
              <w:t>Drawing; 6 m magazine</w:t>
            </w:r>
          </w:p>
        </w:tc>
      </w:tr>
      <w:tr>
        <w:trPr>
          <w:cantSplit/>
        </w:trPr>
        <w:tc>
          <w:tcPr>
            <w:tcW w:type="dxa" w:w="3099"/>
          </w:tcPr>
          <w:p>
            <w:pPr>
              <w:spacing w:before="20" w:after="20"/>
            </w:pPr>
            <w:r>
              <w:rPr>
                <w:rFonts w:ascii="Arial" w:hAnsi="Arial"/>
                <w:sz w:val="18"/>
              </w:rPr>
              <w:t>Machines / operators</w:t>
            </w:r>
          </w:p>
        </w:tc>
        <w:tc>
          <w:tcPr>
            <w:tcW w:type="dxa" w:w="3099"/>
          </w:tcPr>
          <w:p>
            <w:pPr>
              <w:spacing w:before="20" w:after="20"/>
            </w:pPr>
            <w:r>
              <w:rPr>
                <w:rFonts w:ascii="Arial" w:hAnsi="Arial"/>
                <w:sz w:val="18"/>
              </w:rPr>
              <w:t>2 / 2 (99.7 %)</w:t>
            </w:r>
          </w:p>
        </w:tc>
        <w:tc>
          <w:tcPr>
            <w:tcW w:type="dxa" w:w="3099"/>
          </w:tcPr>
          <w:p>
            <w:pPr>
              <w:spacing w:before="20" w:after="20"/>
            </w:pPr>
            <w:r>
              <w:rPr>
                <w:rFonts w:ascii="Arial" w:hAnsi="Arial"/>
                <w:sz w:val="18"/>
              </w:rPr>
              <w:t>Capacity table</w:t>
            </w:r>
          </w:p>
        </w:tc>
      </w:tr>
      <w:tr>
        <w:trPr>
          <w:cantSplit/>
        </w:trPr>
        <w:tc>
          <w:tcPr>
            <w:tcW w:type="dxa" w:w="3099"/>
          </w:tcPr>
          <w:p>
            <w:pPr>
              <w:spacing w:before="20" w:after="20"/>
            </w:pPr>
            <w:r>
              <w:rPr>
                <w:rFonts w:ascii="Arial" w:hAnsi="Arial"/>
                <w:sz w:val="18"/>
              </w:rPr>
              <w:t>WIP before / after</w:t>
            </w:r>
          </w:p>
        </w:tc>
        <w:tc>
          <w:tcPr>
            <w:tcW w:type="dxa" w:w="3099"/>
          </w:tcPr>
          <w:p>
            <w:pPr>
              <w:spacing w:before="20" w:after="20"/>
            </w:pPr>
            <w:r>
              <w:rPr>
                <w:rFonts w:ascii="Arial" w:hAnsi="Arial"/>
                <w:sz w:val="18"/>
              </w:rPr>
              <w:t>Rack face (990 tubes) / 1.7 m² bins</w:t>
            </w:r>
          </w:p>
        </w:tc>
        <w:tc>
          <w:tcPr>
            <w:tcW w:type="dxa" w:w="3099"/>
          </w:tcPr>
          <w:p>
            <w:pPr>
              <w:spacing w:before="20" w:after="20"/>
            </w:pPr>
            <w:r>
              <w:rPr>
                <w:rFonts w:ascii="Arial" w:hAnsi="Arial"/>
                <w:sz w:val="18"/>
              </w:rPr>
              <w:t>Drawing</w:t>
            </w:r>
          </w:p>
        </w:tc>
      </w:tr>
      <w:tr>
        <w:trPr>
          <w:cantSplit/>
        </w:trPr>
        <w:tc>
          <w:tcPr>
            <w:tcW w:type="dxa" w:w="3099"/>
          </w:tcPr>
          <w:p>
            <w:pPr>
              <w:spacing w:before="20" w:after="20"/>
            </w:pPr>
            <w:r>
              <w:rPr>
                <w:rFonts w:ascii="Arial" w:hAnsi="Arial"/>
                <w:sz w:val="18"/>
              </w:rPr>
              <w:t>Operator movement</w:t>
            </w:r>
          </w:p>
        </w:tc>
        <w:tc>
          <w:tcPr>
            <w:tcW w:type="dxa" w:w="3099"/>
          </w:tcPr>
          <w:p>
            <w:pPr>
              <w:spacing w:before="20" w:after="20"/>
            </w:pPr>
            <w:r>
              <w:rPr>
                <w:rFonts w:ascii="Arial" w:hAnsi="Arial"/>
                <w:sz w:val="18"/>
              </w:rPr>
              <w:t>7.9 × 0.9 m = 7.1 m²</w:t>
            </w:r>
          </w:p>
        </w:tc>
        <w:tc>
          <w:tcPr>
            <w:tcW w:type="dxa" w:w="3099"/>
          </w:tcPr>
          <w:p>
            <w:pPr>
              <w:spacing w:before="20" w:after="20"/>
            </w:pPr>
            <w:r>
              <w:rPr>
                <w:rFonts w:ascii="Arial" w:hAnsi="Arial"/>
                <w:sz w:val="18"/>
              </w:rPr>
              <w:t>Drawing</w:t>
            </w:r>
          </w:p>
        </w:tc>
      </w:tr>
      <w:tr>
        <w:trPr>
          <w:cantSplit/>
        </w:trPr>
        <w:tc>
          <w:tcPr>
            <w:tcW w:type="dxa" w:w="3099"/>
          </w:tcPr>
          <w:p>
            <w:pPr>
              <w:spacing w:before="20" w:after="20"/>
            </w:pPr>
            <w:r>
              <w:rPr>
                <w:rFonts w:ascii="Arial" w:hAnsi="Arial"/>
                <w:sz w:val="18"/>
              </w:rPr>
              <w:t>Cost</w:t>
            </w:r>
          </w:p>
        </w:tc>
        <w:tc>
          <w:tcPr>
            <w:tcW w:type="dxa" w:w="3099"/>
          </w:tcPr>
          <w:p>
            <w:pPr>
              <w:spacing w:before="20" w:after="20"/>
            </w:pPr>
            <w:r>
              <w:rPr>
                <w:rFonts w:ascii="Arial" w:hAnsi="Arial"/>
                <w:sz w:val="18"/>
              </w:rPr>
              <w:t>Quotation required (Low)</w:t>
            </w:r>
          </w:p>
        </w:tc>
        <w:tc>
          <w:tcPr>
            <w:tcW w:type="dxa" w:w="3099"/>
          </w:tcPr>
          <w:p>
            <w:pPr>
              <w:spacing w:before="20" w:after="20"/>
            </w:pPr>
            <w:r>
              <w:rPr>
                <w:rFonts w:ascii="Arial" w:hAnsi="Arial"/>
                <w:sz w:val="18"/>
              </w:rPr>
              <w:t>Supplier sells on enquiry</w:t>
            </w:r>
          </w:p>
        </w:tc>
      </w:tr>
    </w:tbl>
    <w:p/>
    <w:p>
      <w:pPr>
        <w:keepNext/>
        <w:jc w:val="center"/>
        <w:pBdr>
          <w:top w:val="dashed" w:sz="8" w:color="C00000" w:space="6"/>
          <w:left w:val="dashed" w:sz="8" w:color="C00000" w:space="6"/>
          <w:bottom w:val="dashed" w:sz="8" w:color="C00000" w:space="6"/>
          <w:right w:val="dashed" w:sz="8" w:color="C00000" w:space="6"/>
        </w:pBdr>
      </w:pPr>
      <w:r>
        <w:rPr>
          <w:i/>
          <w:color w:val="804000"/>
        </w:rPr>
        <w:t>[ INSERT FIGURE 3 — machine photo (open link, screenshot/redraw) ]</w:t>
      </w:r>
    </w:p>
    <w:p>
      <w:pPr>
        <w:pStyle w:val="FigCap"/>
      </w:pPr>
      <w:r>
        <w:t>Figure 3: Automatic aluminium saw with bar feeder. Market example for sizing and illustration only — redraw or insert supplier image with permission.</w:t>
      </w:r>
    </w:p>
    <w:p>
      <w:pPr>
        <w:pStyle w:val="LnkLine"/>
      </w:pPr>
      <w:r>
        <w:rPr>
          <w:sz w:val="18"/>
        </w:rPr>
        <w:t xml:space="preserve">Open source page: </w:t>
      </w:r>
      <w:hyperlink r:id="rId10">
        <w:r>
          <w:rPr>
            <w:color w:val="0563C1"/>
            <w:u w:val="single"/>
            <w:sz w:val="18"/>
            <w:rFonts w:ascii="Arial" w:hAnsi="Arial"/>
          </w:rPr>
          <w:t>https://profifeedtech.com/products/aluminium-fully-automatic-saw-a420/</w:t>
        </w:r>
      </w:hyperlink>
    </w:p>
    <w:p>
      <w:r/>
      <w:r>
        <w:rPr>
          <w:b/>
        </w:rPr>
        <w:t>Workstation.</w:t>
      </w:r>
      <w:r>
        <w:t xml:space="preserve"> The operator loads tubes from the cantilever rack along the same face as the bar magazine (zero transfer), monitors the cycle and clears section bins; the blade is fully guarded with magazine interlock and the cell sits in the noise-PPE zone. The 6 m infeed makes the cell a 9 m strip — a +24 m² correction to the uniform allowance carried into §6.8.</w:t>
      </w:r>
    </w:p>
    <w:p>
      <w:pPr>
        <w:keepNext/>
        <w:jc w:val="center"/>
      </w:pPr>
      <w:r>
        <w:drawing>
          <wp:inline xmlns:a="http://schemas.openxmlformats.org/drawingml/2006/main" xmlns:pic="http://schemas.openxmlformats.org/drawingml/2006/picture">
            <wp:extent cx="5580000" cy="3500182"/>
            <wp:docPr id="1" name="Picture 1"/>
            <wp:cNvGraphicFramePr>
              <a:graphicFrameLocks noChangeAspect="1"/>
            </wp:cNvGraphicFramePr>
            <a:graphic>
              <a:graphicData uri="http://schemas.openxmlformats.org/drawingml/2006/picture">
                <pic:pic>
                  <pic:nvPicPr>
                    <pic:cNvPr id="0" name="C01_tube_cutting.png"/>
                    <pic:cNvPicPr/>
                  </pic:nvPicPr>
                  <pic:blipFill>
                    <a:blip r:embed="rId11"/>
                    <a:stretch>
                      <a:fillRect/>
                    </a:stretch>
                  </pic:blipFill>
                  <pic:spPr>
                    <a:xfrm>
                      <a:off x="0" y="0"/>
                      <a:ext cx="5580000" cy="3500182"/>
                    </a:xfrm>
                    <a:prstGeom prst="rect"/>
                  </pic:spPr>
                </pic:pic>
              </a:graphicData>
            </a:graphic>
          </wp:inline>
        </w:drawing>
      </w:r>
    </w:p>
    <w:p>
      <w:pPr>
        <w:pStyle w:val="FigCap"/>
      </w:pPr>
      <w:r>
        <w:t>Figure 4: Tube-cutting workstation layout — rack face feeds the 6 m magazine; guarded saw; WIP-after bins; scrap on the waste route (Author’s own.)</w:t>
      </w:r>
    </w:p>
    <w:p>
      <w:r/>
      <w:r>
        <w:rPr>
          <w:b/>
        </w:rPr>
        <w:t>Material handling.</w:t>
      </w:r>
      <w:r>
        <w:t xml:space="preserve"> Tube bundles arrive by forklift side-offload at the ground-level bay straight onto the racks; cut sections leave hourly by milk-run tube cart (≈400 sections/cart, ≈10 trips/day); the scrap bin exchanges on the waste route.</w:t>
      </w:r>
    </w:p>
    <w:p>
      <w:pPr>
        <w:pStyle w:val="Heading3"/>
      </w:pPr>
      <w:r>
        <w:t>6.4.2 Internal Threading</w:t>
      </w:r>
    </w:p>
    <w:p>
      <w:r/>
      <w:r>
        <w:rPr>
          <w:b/>
        </w:rPr>
        <w:t>Process.</w:t>
      </w:r>
      <w:r>
        <w:t xml:space="preserve"> The middle handle section receives its internal thread (20 s/pipe; 1 915 pipes/day) so the externally threaded back handle can screw into it.</w:t>
      </w:r>
    </w:p>
    <w:p>
      <w:pPr>
        <w:pStyle w:val="TblCap"/>
      </w:pPr>
      <w:r>
        <w:t>Table 6: Internal Threading — machine and workstation specifications</w:t>
      </w:r>
    </w:p>
    <w:tbl>
      <w:tblPr>
        <w:tblW w:type="auto" w:w="0"/>
        <w:tblLook w:firstColumn="1" w:firstRow="1" w:lastColumn="0" w:lastRow="0" w:noHBand="0" w:noVBand="1" w:val="04A0"/>
        <w:tblBorders>
          <w:top w:val="single" w:sz="4" w:color="7F7F7F"/>
          <w:left w:val="single" w:sz="4" w:color="7F7F7F"/>
          <w:bottom w:val="single" w:sz="4" w:color="7F7F7F"/>
          <w:right w:val="single" w:sz="4" w:color="7F7F7F"/>
          <w:insideH w:val="single" w:sz="4" w:color="7F7F7F"/>
          <w:insideV w:val="single" w:sz="4" w:color="7F7F7F"/>
        </w:tblBorders>
        <w:tblW w:w="5000" w:type="pct"/>
      </w:tblPr>
      <w:tblGrid>
        <w:gridCol w:w="3099"/>
        <w:gridCol w:w="3099"/>
        <w:gridCol w:w="3099"/>
      </w:tblGrid>
      <w:tr>
        <w:trPr>
          <w:cantSplit/>
          <w:tblHeader w:val="true"/>
        </w:trPr>
        <w:tc>
          <w:tcPr>
            <w:tcW w:type="dxa" w:w="3099"/>
            <w:shd w:val="clear" w:fill="E7E6E6"/>
          </w:tcPr>
          <w:p>
            <w:pPr>
              <w:spacing w:before="20" w:after="20"/>
            </w:pPr>
            <w:r>
              <w:rPr>
                <w:rFonts w:ascii="Arial" w:hAnsi="Arial"/>
                <w:b/>
                <w:sz w:val="18"/>
              </w:rPr>
              <w:t>Specification</w:t>
            </w:r>
          </w:p>
        </w:tc>
        <w:tc>
          <w:tcPr>
            <w:tcW w:type="dxa" w:w="3099"/>
            <w:shd w:val="clear" w:fill="E7E6E6"/>
          </w:tcPr>
          <w:p>
            <w:pPr>
              <w:spacing w:before="20" w:after="20"/>
            </w:pPr>
            <w:r>
              <w:rPr>
                <w:rFonts w:ascii="Arial" w:hAnsi="Arial"/>
                <w:b/>
                <w:sz w:val="18"/>
              </w:rPr>
              <w:t>Value</w:t>
            </w:r>
          </w:p>
        </w:tc>
        <w:tc>
          <w:tcPr>
            <w:tcW w:type="dxa" w:w="3099"/>
            <w:shd w:val="clear" w:fill="E7E6E6"/>
          </w:tcPr>
          <w:p>
            <w:pPr>
              <w:spacing w:before="20" w:after="20"/>
            </w:pPr>
            <w:r>
              <w:rPr>
                <w:rFonts w:ascii="Arial" w:hAnsi="Arial"/>
                <w:b/>
                <w:sz w:val="18"/>
              </w:rPr>
              <w:t>Basis</w:t>
            </w:r>
          </w:p>
        </w:tc>
      </w:tr>
      <w:tr>
        <w:trPr>
          <w:cantSplit/>
        </w:trPr>
        <w:tc>
          <w:tcPr>
            <w:tcW w:type="dxa" w:w="3099"/>
          </w:tcPr>
          <w:p>
            <w:pPr>
              <w:spacing w:before="20" w:after="20"/>
            </w:pPr>
            <w:r>
              <w:rPr>
                <w:rFonts w:ascii="Arial" w:hAnsi="Arial"/>
                <w:sz w:val="18"/>
              </w:rPr>
              <w:t>Equipment</w:t>
            </w:r>
          </w:p>
        </w:tc>
        <w:tc>
          <w:tcPr>
            <w:tcW w:type="dxa" w:w="3099"/>
          </w:tcPr>
          <w:p>
            <w:pPr>
              <w:spacing w:before="20" w:after="20"/>
            </w:pPr>
            <w:r>
              <w:rPr>
                <w:rFonts w:ascii="Arial" w:hAnsi="Arial"/>
                <w:sz w:val="18"/>
              </w:rPr>
              <w:t>Torque-limited tapping machine</w:t>
            </w:r>
          </w:p>
        </w:tc>
        <w:tc>
          <w:tcPr>
            <w:tcW w:type="dxa" w:w="3099"/>
          </w:tcPr>
          <w:p>
            <w:pPr>
              <w:spacing w:before="20" w:after="20"/>
            </w:pPr>
            <w:r>
              <w:rPr>
                <w:rFonts w:ascii="Arial" w:hAnsi="Arial"/>
                <w:sz w:val="18"/>
              </w:rPr>
              <w:t>Market example: Roscamat Tiger (to M30 in Al; 1 020 mm radius)</w:t>
            </w:r>
          </w:p>
        </w:tc>
      </w:tr>
      <w:tr>
        <w:trPr>
          <w:cantSplit/>
        </w:trPr>
        <w:tc>
          <w:tcPr>
            <w:tcW w:type="dxa" w:w="3099"/>
          </w:tcPr>
          <w:p>
            <w:pPr>
              <w:spacing w:before="20" w:after="20"/>
            </w:pPr>
            <w:r>
              <w:rPr>
                <w:rFonts w:ascii="Arial" w:hAnsi="Arial"/>
                <w:sz w:val="18"/>
              </w:rPr>
              <w:t>Cell size</w:t>
            </w:r>
          </w:p>
        </w:tc>
        <w:tc>
          <w:tcPr>
            <w:tcW w:type="dxa" w:w="3099"/>
          </w:tcPr>
          <w:p>
            <w:pPr>
              <w:spacing w:before="20" w:after="20"/>
            </w:pPr>
            <w:r>
              <w:rPr>
                <w:rFonts w:ascii="Arial" w:hAnsi="Arial"/>
                <w:sz w:val="18"/>
              </w:rPr>
              <w:t>3.0 × 2.0 m = 6 m² (×2)</w:t>
            </w:r>
          </w:p>
        </w:tc>
        <w:tc>
          <w:tcPr>
            <w:tcW w:type="dxa" w:w="3099"/>
          </w:tcPr>
          <w:p>
            <w:pPr>
              <w:spacing w:before="20" w:after="20"/>
            </w:pPr>
            <w:r>
              <w:rPr>
                <w:rFonts w:ascii="Arial" w:hAnsi="Arial"/>
                <w:sz w:val="18"/>
              </w:rPr>
              <w:t>Equation (10)</w:t>
            </w:r>
          </w:p>
        </w:tc>
      </w:tr>
      <w:tr>
        <w:trPr>
          <w:cantSplit/>
        </w:trPr>
        <w:tc>
          <w:tcPr>
            <w:tcW w:type="dxa" w:w="3099"/>
          </w:tcPr>
          <w:p>
            <w:pPr>
              <w:spacing w:before="20" w:after="20"/>
            </w:pPr>
            <w:r>
              <w:rPr>
                <w:rFonts w:ascii="Arial" w:hAnsi="Arial"/>
                <w:sz w:val="18"/>
              </w:rPr>
              <w:t>Machines / operators</w:t>
            </w:r>
          </w:p>
        </w:tc>
        <w:tc>
          <w:tcPr>
            <w:tcW w:type="dxa" w:w="3099"/>
          </w:tcPr>
          <w:p>
            <w:pPr>
              <w:spacing w:before="20" w:after="20"/>
            </w:pPr>
            <w:r>
              <w:rPr>
                <w:rFonts w:ascii="Arial" w:hAnsi="Arial"/>
                <w:sz w:val="18"/>
              </w:rPr>
              <w:t>2 / 2 (66.5 %)</w:t>
            </w:r>
          </w:p>
        </w:tc>
        <w:tc>
          <w:tcPr>
            <w:tcW w:type="dxa" w:w="3099"/>
          </w:tcPr>
          <w:p>
            <w:pPr>
              <w:spacing w:before="20" w:after="20"/>
            </w:pPr>
            <w:r>
              <w:rPr>
                <w:rFonts w:ascii="Arial" w:hAnsi="Arial"/>
                <w:sz w:val="18"/>
              </w:rPr>
              <w:t>Capacity table</w:t>
            </w:r>
          </w:p>
        </w:tc>
      </w:tr>
      <w:tr>
        <w:trPr>
          <w:cantSplit/>
        </w:trPr>
        <w:tc>
          <w:tcPr>
            <w:tcW w:type="dxa" w:w="3099"/>
          </w:tcPr>
          <w:p>
            <w:pPr>
              <w:spacing w:before="20" w:after="20"/>
            </w:pPr>
            <w:r>
              <w:rPr>
                <w:rFonts w:ascii="Arial" w:hAnsi="Arial"/>
                <w:sz w:val="18"/>
              </w:rPr>
              <w:t>WIP before / after</w:t>
            </w:r>
          </w:p>
        </w:tc>
        <w:tc>
          <w:tcPr>
            <w:tcW w:type="dxa" w:w="3099"/>
          </w:tcPr>
          <w:p>
            <w:pPr>
              <w:spacing w:before="20" w:after="20"/>
            </w:pPr>
            <w:r>
              <w:rPr>
                <w:rFonts w:ascii="Arial" w:hAnsi="Arial"/>
                <w:sz w:val="18"/>
              </w:rPr>
              <w:t>0.7 m² bin each side</w:t>
            </w:r>
          </w:p>
        </w:tc>
        <w:tc>
          <w:tcPr>
            <w:tcW w:type="dxa" w:w="3099"/>
          </w:tcPr>
          <w:p>
            <w:pPr>
              <w:spacing w:before="20" w:after="20"/>
            </w:pPr>
            <w:r>
              <w:rPr>
                <w:rFonts w:ascii="Arial" w:hAnsi="Arial"/>
                <w:sz w:val="18"/>
              </w:rPr>
              <w:t>Drawing</w:t>
            </w:r>
          </w:p>
        </w:tc>
      </w:tr>
      <w:tr>
        <w:trPr>
          <w:cantSplit/>
        </w:trPr>
        <w:tc>
          <w:tcPr>
            <w:tcW w:type="dxa" w:w="3099"/>
          </w:tcPr>
          <w:p>
            <w:pPr>
              <w:spacing w:before="20" w:after="20"/>
            </w:pPr>
            <w:r>
              <w:rPr>
                <w:rFonts w:ascii="Arial" w:hAnsi="Arial"/>
                <w:sz w:val="18"/>
              </w:rPr>
              <w:t>Cost</w:t>
            </w:r>
          </w:p>
        </w:tc>
        <w:tc>
          <w:tcPr>
            <w:tcW w:type="dxa" w:w="3099"/>
          </w:tcPr>
          <w:p>
            <w:pPr>
              <w:spacing w:before="20" w:after="20"/>
            </w:pPr>
            <w:r>
              <w:rPr>
                <w:rFonts w:ascii="Arial" w:hAnsi="Arial"/>
                <w:sz w:val="18"/>
              </w:rPr>
              <w:t>Quotation required (Low)</w:t>
            </w:r>
          </w:p>
        </w:tc>
        <w:tc>
          <w:tcPr>
            <w:tcW w:type="dxa" w:w="3099"/>
          </w:tcPr>
          <w:p>
            <w:pPr>
              <w:spacing w:before="20" w:after="20"/>
            </w:pPr>
            <w:r>
              <w:rPr>
                <w:rFonts w:ascii="Arial" w:hAnsi="Arial"/>
                <w:sz w:val="18"/>
              </w:rPr>
              <w:t>Distributor enquiry</w:t>
            </w:r>
          </w:p>
        </w:tc>
      </w:tr>
    </w:tbl>
    <w:p/>
    <w:p>
      <w:pPr>
        <w:keepNext/>
        <w:jc w:val="center"/>
        <w:pBdr>
          <w:top w:val="dashed" w:sz="8" w:color="C00000" w:space="6"/>
          <w:left w:val="dashed" w:sz="8" w:color="C00000" w:space="6"/>
          <w:bottom w:val="dashed" w:sz="8" w:color="C00000" w:space="6"/>
          <w:right w:val="dashed" w:sz="8" w:color="C00000" w:space="6"/>
        </w:pBdr>
      </w:pPr>
      <w:r>
        <w:rPr>
          <w:i/>
          <w:color w:val="804000"/>
        </w:rPr>
        <w:t>[ INSERT FIGURE 5 — machine photo (open link, screenshot/redraw) ]</w:t>
      </w:r>
    </w:p>
    <w:p>
      <w:pPr>
        <w:pStyle w:val="FigCap"/>
      </w:pPr>
      <w:r>
        <w:t>Figure 5: Electric tapping machine. Market example for sizing and illustration only — redraw or insert supplier image with permission.</w:t>
      </w:r>
    </w:p>
    <w:p>
      <w:pPr>
        <w:pStyle w:val="LnkLine"/>
      </w:pPr>
      <w:r>
        <w:rPr>
          <w:sz w:val="18"/>
        </w:rPr>
        <w:t xml:space="preserve">Open source page: </w:t>
      </w:r>
      <w:hyperlink r:id="rId12">
        <w:r>
          <w:rPr>
            <w:color w:val="0563C1"/>
            <w:u w:val="single"/>
            <w:sz w:val="18"/>
            <w:rFonts w:ascii="Arial" w:hAnsi="Arial"/>
          </w:rPr>
          <w:t>https://www.cotswold-machinery-sales.co.uk/roscamat-tapping-machines/electric-tapping-machines/roscamat-tiger-electric-tapping-machine/</w:t>
        </w:r>
      </w:hyperlink>
    </w:p>
    <w:p>
      <w:r/>
      <w:r>
        <w:rPr>
          <w:b/>
        </w:rPr>
        <w:t>Workstation.</w:t>
      </w:r>
      <w:r>
        <w:t xml:space="preserve"> Bench-height fixture eliminates wrist torque (clutch-protected tap holders); seated/standing posture with task lighting and a swarf bin. Its 66.5 % utilisation provides slack that absorbs saw interruptions.</w:t>
      </w:r>
    </w:p>
    <w:p>
      <w:pPr>
        <w:keepNext/>
        <w:jc w:val="center"/>
      </w:pPr>
      <w:r>
        <w:drawing>
          <wp:inline xmlns:a="http://schemas.openxmlformats.org/drawingml/2006/main" xmlns:pic="http://schemas.openxmlformats.org/drawingml/2006/picture">
            <wp:extent cx="5580000" cy="6700873"/>
            <wp:docPr id="2" name="Picture 2"/>
            <wp:cNvGraphicFramePr>
              <a:graphicFrameLocks noChangeAspect="1"/>
            </wp:cNvGraphicFramePr>
            <a:graphic>
              <a:graphicData uri="http://schemas.openxmlformats.org/drawingml/2006/picture">
                <pic:pic>
                  <pic:nvPicPr>
                    <pic:cNvPr id="0" name="C02_internal_threading.png"/>
                    <pic:cNvPicPr/>
                  </pic:nvPicPr>
                  <pic:blipFill>
                    <a:blip r:embed="rId13"/>
                    <a:stretch>
                      <a:fillRect/>
                    </a:stretch>
                  </pic:blipFill>
                  <pic:spPr>
                    <a:xfrm>
                      <a:off x="0" y="0"/>
                      <a:ext cx="5580000" cy="6700873"/>
                    </a:xfrm>
                    <a:prstGeom prst="rect"/>
                  </pic:spPr>
                </pic:pic>
              </a:graphicData>
            </a:graphic>
          </wp:inline>
        </w:drawing>
      </w:r>
    </w:p>
    <w:p>
      <w:pPr>
        <w:pStyle w:val="FigCap"/>
      </w:pPr>
      <w:r>
        <w:t>Figure 6: Internal-threading workstation — bench cell with fixture, WIP bins at bench height (Author’s own.)</w:t>
      </w:r>
    </w:p>
    <w:p>
      <w:r/>
      <w:r>
        <w:rPr>
          <w:b/>
        </w:rPr>
        <w:t>Material handling.</w:t>
      </w:r>
      <w:r>
        <w:t xml:space="preserve"> Cut sections arrive by tube cart; threaded pipes move by cart to powder-coat staging.</w:t>
      </w:r>
    </w:p>
    <w:p>
      <w:pPr>
        <w:pStyle w:val="Heading3"/>
      </w:pPr>
      <w:r>
        <w:t>6.4.3 End Narrowing</w:t>
      </w:r>
    </w:p>
    <w:p>
      <w:r/>
      <w:r>
        <w:rPr>
          <w:b/>
        </w:rPr>
        <w:t>Process.</w:t>
      </w:r>
      <w:r>
        <w:t xml:space="preserve"> One end of the back handle is swaged to the grip diameter in a single 5 s ram stroke (1 915 pipes/day).</w:t>
      </w:r>
    </w:p>
    <w:p>
      <w:pPr>
        <w:pStyle w:val="TblCap"/>
      </w:pPr>
      <w:r>
        <w:t>Table 7: End Narrowing — machine and workstation specifications</w:t>
      </w:r>
    </w:p>
    <w:tbl>
      <w:tblPr>
        <w:tblW w:type="auto" w:w="0"/>
        <w:tblLook w:firstColumn="1" w:firstRow="1" w:lastColumn="0" w:lastRow="0" w:noHBand="0" w:noVBand="1" w:val="04A0"/>
        <w:tblBorders>
          <w:top w:val="single" w:sz="4" w:color="7F7F7F"/>
          <w:left w:val="single" w:sz="4" w:color="7F7F7F"/>
          <w:bottom w:val="single" w:sz="4" w:color="7F7F7F"/>
          <w:right w:val="single" w:sz="4" w:color="7F7F7F"/>
          <w:insideH w:val="single" w:sz="4" w:color="7F7F7F"/>
          <w:insideV w:val="single" w:sz="4" w:color="7F7F7F"/>
        </w:tblBorders>
        <w:tblW w:w="5000" w:type="pct"/>
      </w:tblPr>
      <w:tblGrid>
        <w:gridCol w:w="3099"/>
        <w:gridCol w:w="3099"/>
        <w:gridCol w:w="3099"/>
      </w:tblGrid>
      <w:tr>
        <w:trPr>
          <w:cantSplit/>
          <w:tblHeader w:val="true"/>
        </w:trPr>
        <w:tc>
          <w:tcPr>
            <w:tcW w:type="dxa" w:w="3099"/>
            <w:shd w:val="clear" w:fill="E7E6E6"/>
          </w:tcPr>
          <w:p>
            <w:pPr>
              <w:spacing w:before="20" w:after="20"/>
            </w:pPr>
            <w:r>
              <w:rPr>
                <w:rFonts w:ascii="Arial" w:hAnsi="Arial"/>
                <w:b/>
                <w:sz w:val="18"/>
              </w:rPr>
              <w:t>Specification</w:t>
            </w:r>
          </w:p>
        </w:tc>
        <w:tc>
          <w:tcPr>
            <w:tcW w:type="dxa" w:w="3099"/>
            <w:shd w:val="clear" w:fill="E7E6E6"/>
          </w:tcPr>
          <w:p>
            <w:pPr>
              <w:spacing w:before="20" w:after="20"/>
            </w:pPr>
            <w:r>
              <w:rPr>
                <w:rFonts w:ascii="Arial" w:hAnsi="Arial"/>
                <w:b/>
                <w:sz w:val="18"/>
              </w:rPr>
              <w:t>Value</w:t>
            </w:r>
          </w:p>
        </w:tc>
        <w:tc>
          <w:tcPr>
            <w:tcW w:type="dxa" w:w="3099"/>
            <w:shd w:val="clear" w:fill="E7E6E6"/>
          </w:tcPr>
          <w:p>
            <w:pPr>
              <w:spacing w:before="20" w:after="20"/>
            </w:pPr>
            <w:r>
              <w:rPr>
                <w:rFonts w:ascii="Arial" w:hAnsi="Arial"/>
                <w:b/>
                <w:sz w:val="18"/>
              </w:rPr>
              <w:t>Basis</w:t>
            </w:r>
          </w:p>
        </w:tc>
      </w:tr>
      <w:tr>
        <w:trPr>
          <w:cantSplit/>
        </w:trPr>
        <w:tc>
          <w:tcPr>
            <w:tcW w:type="dxa" w:w="3099"/>
          </w:tcPr>
          <w:p>
            <w:pPr>
              <w:spacing w:before="20" w:after="20"/>
            </w:pPr>
            <w:r>
              <w:rPr>
                <w:rFonts w:ascii="Arial" w:hAnsi="Arial"/>
                <w:sz w:val="18"/>
              </w:rPr>
              <w:t>Equipment</w:t>
            </w:r>
          </w:p>
        </w:tc>
        <w:tc>
          <w:tcPr>
            <w:tcW w:type="dxa" w:w="3099"/>
          </w:tcPr>
          <w:p>
            <w:pPr>
              <w:spacing w:before="20" w:after="20"/>
            </w:pPr>
            <w:r>
              <w:rPr>
                <w:rFonts w:ascii="Arial" w:hAnsi="Arial"/>
                <w:sz w:val="18"/>
              </w:rPr>
              <w:t>Ram-type tube end former</w:t>
            </w:r>
          </w:p>
        </w:tc>
        <w:tc>
          <w:tcPr>
            <w:tcW w:type="dxa" w:w="3099"/>
          </w:tcPr>
          <w:p>
            <w:pPr>
              <w:spacing w:before="20" w:after="20"/>
            </w:pPr>
            <w:r>
              <w:rPr>
                <w:rFonts w:ascii="Arial" w:hAnsi="Arial"/>
                <w:sz w:val="18"/>
              </w:rPr>
              <w:t>Market class: Hippo (model for Ø31.7 at quotation)</w:t>
            </w:r>
          </w:p>
        </w:tc>
      </w:tr>
      <w:tr>
        <w:trPr>
          <w:cantSplit/>
        </w:trPr>
        <w:tc>
          <w:tcPr>
            <w:tcW w:type="dxa" w:w="3099"/>
          </w:tcPr>
          <w:p>
            <w:pPr>
              <w:spacing w:before="20" w:after="20"/>
            </w:pPr>
            <w:r>
              <w:rPr>
                <w:rFonts w:ascii="Arial" w:hAnsi="Arial"/>
                <w:sz w:val="18"/>
              </w:rPr>
              <w:t>Cell size</w:t>
            </w:r>
          </w:p>
        </w:tc>
        <w:tc>
          <w:tcPr>
            <w:tcW w:type="dxa" w:w="3099"/>
          </w:tcPr>
          <w:p>
            <w:pPr>
              <w:spacing w:before="20" w:after="20"/>
            </w:pPr>
            <w:r>
              <w:rPr>
                <w:rFonts w:ascii="Arial" w:hAnsi="Arial"/>
                <w:sz w:val="18"/>
              </w:rPr>
              <w:t>3.0 × 2.0 m = 6 m² (×1)</w:t>
            </w:r>
          </w:p>
        </w:tc>
        <w:tc>
          <w:tcPr>
            <w:tcW w:type="dxa" w:w="3099"/>
          </w:tcPr>
          <w:p>
            <w:pPr>
              <w:spacing w:before="20" w:after="20"/>
            </w:pPr>
            <w:r>
              <w:rPr>
                <w:rFonts w:ascii="Arial" w:hAnsi="Arial"/>
                <w:sz w:val="18"/>
              </w:rPr>
              <w:t>Equation (10)</w:t>
            </w:r>
          </w:p>
        </w:tc>
      </w:tr>
      <w:tr>
        <w:trPr>
          <w:cantSplit/>
        </w:trPr>
        <w:tc>
          <w:tcPr>
            <w:tcW w:type="dxa" w:w="3099"/>
          </w:tcPr>
          <w:p>
            <w:pPr>
              <w:spacing w:before="20" w:after="20"/>
            </w:pPr>
            <w:r>
              <w:rPr>
                <w:rFonts w:ascii="Arial" w:hAnsi="Arial"/>
                <w:sz w:val="18"/>
              </w:rPr>
              <w:t>Machines / operators</w:t>
            </w:r>
          </w:p>
        </w:tc>
        <w:tc>
          <w:tcPr>
            <w:tcW w:type="dxa" w:w="3099"/>
          </w:tcPr>
          <w:p>
            <w:pPr>
              <w:spacing w:before="20" w:after="20"/>
            </w:pPr>
            <w:r>
              <w:rPr>
                <w:rFonts w:ascii="Arial" w:hAnsi="Arial"/>
                <w:sz w:val="18"/>
              </w:rPr>
              <w:t>1 / 1 (33.2 %)</w:t>
            </w:r>
          </w:p>
        </w:tc>
        <w:tc>
          <w:tcPr>
            <w:tcW w:type="dxa" w:w="3099"/>
          </w:tcPr>
          <w:p>
            <w:pPr>
              <w:spacing w:before="20" w:after="20"/>
            </w:pPr>
            <w:r>
              <w:rPr>
                <w:rFonts w:ascii="Arial" w:hAnsi="Arial"/>
                <w:sz w:val="18"/>
              </w:rPr>
              <w:t>Capacity table</w:t>
            </w:r>
          </w:p>
        </w:tc>
      </w:tr>
      <w:tr>
        <w:trPr>
          <w:cantSplit/>
        </w:trPr>
        <w:tc>
          <w:tcPr>
            <w:tcW w:type="dxa" w:w="3099"/>
          </w:tcPr>
          <w:p>
            <w:pPr>
              <w:spacing w:before="20" w:after="20"/>
            </w:pPr>
            <w:r>
              <w:rPr>
                <w:rFonts w:ascii="Arial" w:hAnsi="Arial"/>
                <w:sz w:val="18"/>
              </w:rPr>
              <w:t>Cost</w:t>
            </w:r>
          </w:p>
        </w:tc>
        <w:tc>
          <w:tcPr>
            <w:tcW w:type="dxa" w:w="3099"/>
          </w:tcPr>
          <w:p>
            <w:pPr>
              <w:spacing w:before="20" w:after="20"/>
            </w:pPr>
            <w:r>
              <w:rPr>
                <w:rFonts w:ascii="Arial" w:hAnsi="Arial"/>
                <w:sz w:val="18"/>
              </w:rPr>
              <w:t>Quotation required (Low)</w:t>
            </w:r>
          </w:p>
        </w:tc>
        <w:tc>
          <w:tcPr>
            <w:tcW w:type="dxa" w:w="3099"/>
          </w:tcPr>
          <w:p>
            <w:pPr>
              <w:spacing w:before="20" w:after="20"/>
            </w:pPr>
            <w:r>
              <w:rPr>
                <w:rFonts w:ascii="Arial" w:hAnsi="Arial"/>
                <w:sz w:val="18"/>
              </w:rPr>
              <w:t>Custom model</w:t>
            </w:r>
          </w:p>
        </w:tc>
      </w:tr>
    </w:tbl>
    <w:p/>
    <w:p>
      <w:pPr>
        <w:keepNext/>
        <w:jc w:val="center"/>
        <w:pBdr>
          <w:top w:val="dashed" w:sz="8" w:color="C00000" w:space="6"/>
          <w:left w:val="dashed" w:sz="8" w:color="C00000" w:space="6"/>
          <w:bottom w:val="dashed" w:sz="8" w:color="C00000" w:space="6"/>
          <w:right w:val="dashed" w:sz="8" w:color="C00000" w:space="6"/>
        </w:pBdr>
      </w:pPr>
      <w:r>
        <w:rPr>
          <w:i/>
          <w:color w:val="804000"/>
        </w:rPr>
        <w:t>[ INSERT FIGURE 7 — machine photo (open link, screenshot/redraw) ]</w:t>
      </w:r>
    </w:p>
    <w:p>
      <w:pPr>
        <w:pStyle w:val="FigCap"/>
      </w:pPr>
      <w:r>
        <w:t>Figure 7: Tube end-forming machine. Market example for sizing and illustration only — redraw or insert supplier image with permission.</w:t>
      </w:r>
    </w:p>
    <w:p>
      <w:pPr>
        <w:pStyle w:val="LnkLine"/>
      </w:pPr>
      <w:r>
        <w:rPr>
          <w:sz w:val="18"/>
        </w:rPr>
        <w:t xml:space="preserve">Open source page: </w:t>
      </w:r>
      <w:hyperlink r:id="rId14">
        <w:r>
          <w:rPr>
            <w:color w:val="0563C1"/>
            <w:u w:val="single"/>
            <w:sz w:val="18"/>
            <w:rFonts w:ascii="Arial" w:hAnsi="Arial"/>
          </w:rPr>
          <w:t>https://www.hippobender.com/tube-end-former/</w:t>
        </w:r>
      </w:hyperlink>
    </w:p>
    <w:p>
      <w:r/>
      <w:r>
        <w:rPr>
          <w:b/>
        </w:rPr>
        <w:t>Workstation.</w:t>
      </w:r>
      <w:r>
        <w:t xml:space="preserve"> Two-position loading keeps hands clear of the die; at 33 % utilisation this is the tube stream’s flex station and directly precedes knurling in a one-piece-flow lane.</w:t>
      </w:r>
    </w:p>
    <w:p>
      <w:pPr>
        <w:keepNext/>
        <w:jc w:val="center"/>
      </w:pPr>
      <w:r>
        <w:drawing>
          <wp:inline xmlns:a="http://schemas.openxmlformats.org/drawingml/2006/main" xmlns:pic="http://schemas.openxmlformats.org/drawingml/2006/picture">
            <wp:extent cx="5580000" cy="6700873"/>
            <wp:docPr id="3" name="Picture 3"/>
            <wp:cNvGraphicFramePr>
              <a:graphicFrameLocks noChangeAspect="1"/>
            </wp:cNvGraphicFramePr>
            <a:graphic>
              <a:graphicData uri="http://schemas.openxmlformats.org/drawingml/2006/picture">
                <pic:pic>
                  <pic:nvPicPr>
                    <pic:cNvPr id="0" name="C03_end_narrowing.png"/>
                    <pic:cNvPicPr/>
                  </pic:nvPicPr>
                  <pic:blipFill>
                    <a:blip r:embed="rId15"/>
                    <a:stretch>
                      <a:fillRect/>
                    </a:stretch>
                  </pic:blipFill>
                  <pic:spPr>
                    <a:xfrm>
                      <a:off x="0" y="0"/>
                      <a:ext cx="5580000" cy="6700873"/>
                    </a:xfrm>
                    <a:prstGeom prst="rect"/>
                  </pic:spPr>
                </pic:pic>
              </a:graphicData>
            </a:graphic>
          </wp:inline>
        </w:drawing>
      </w:r>
    </w:p>
    <w:p>
      <w:pPr>
        <w:pStyle w:val="FigCap"/>
      </w:pPr>
      <w:r>
        <w:t>Figure 8: End-narrowing workstation — single-stroke swage between WIP bins (Author’s own.)</w:t>
      </w:r>
    </w:p>
    <w:p>
      <w:r/>
      <w:r>
        <w:rPr>
          <w:b/>
        </w:rPr>
        <w:t>Material handling.</w:t>
      </w:r>
      <w:r>
        <w:t xml:space="preserve"> Cart in from cutting; direct lane out to the knurling bank.</w:t>
      </w:r>
    </w:p>
    <w:p>
      <w:pPr>
        <w:pStyle w:val="Heading3"/>
      </w:pPr>
      <w:r>
        <w:t>6.4.4 Knurling and External Threading</w:t>
      </w:r>
    </w:p>
    <w:p>
      <w:r/>
      <w:r>
        <w:rPr>
          <w:b/>
        </w:rPr>
        <w:t>Process.</w:t>
      </w:r>
      <w:r>
        <w:t xml:space="preserve"> The narrowed grip is knurled and externally threaded in one 60 s rolling cycle (1 915/day) — the tube stream’s capacity constraint.</w:t>
      </w:r>
    </w:p>
    <w:p>
      <w:pPr>
        <w:pStyle w:val="TblCap"/>
      </w:pPr>
      <w:r>
        <w:t>Table 8: Knurling and External Threading — machine and workstation specifications</w:t>
      </w:r>
    </w:p>
    <w:tbl>
      <w:tblPr>
        <w:tblW w:type="auto" w:w="0"/>
        <w:tblLook w:firstColumn="1" w:firstRow="1" w:lastColumn="0" w:lastRow="0" w:noHBand="0" w:noVBand="1" w:val="04A0"/>
        <w:tblBorders>
          <w:top w:val="single" w:sz="4" w:color="7F7F7F"/>
          <w:left w:val="single" w:sz="4" w:color="7F7F7F"/>
          <w:bottom w:val="single" w:sz="4" w:color="7F7F7F"/>
          <w:right w:val="single" w:sz="4" w:color="7F7F7F"/>
          <w:insideH w:val="single" w:sz="4" w:color="7F7F7F"/>
          <w:insideV w:val="single" w:sz="4" w:color="7F7F7F"/>
        </w:tblBorders>
        <w:tblW w:w="5000" w:type="pct"/>
      </w:tblPr>
      <w:tblGrid>
        <w:gridCol w:w="3099"/>
        <w:gridCol w:w="3099"/>
        <w:gridCol w:w="3099"/>
      </w:tblGrid>
      <w:tr>
        <w:trPr>
          <w:cantSplit/>
          <w:tblHeader w:val="true"/>
        </w:trPr>
        <w:tc>
          <w:tcPr>
            <w:tcW w:type="dxa" w:w="3099"/>
            <w:shd w:val="clear" w:fill="E7E6E6"/>
          </w:tcPr>
          <w:p>
            <w:pPr>
              <w:spacing w:before="20" w:after="20"/>
            </w:pPr>
            <w:r>
              <w:rPr>
                <w:rFonts w:ascii="Arial" w:hAnsi="Arial"/>
                <w:b/>
                <w:sz w:val="18"/>
              </w:rPr>
              <w:t>Specification</w:t>
            </w:r>
          </w:p>
        </w:tc>
        <w:tc>
          <w:tcPr>
            <w:tcW w:type="dxa" w:w="3099"/>
            <w:shd w:val="clear" w:fill="E7E6E6"/>
          </w:tcPr>
          <w:p>
            <w:pPr>
              <w:spacing w:before="20" w:after="20"/>
            </w:pPr>
            <w:r>
              <w:rPr>
                <w:rFonts w:ascii="Arial" w:hAnsi="Arial"/>
                <w:b/>
                <w:sz w:val="18"/>
              </w:rPr>
              <w:t>Value</w:t>
            </w:r>
          </w:p>
        </w:tc>
        <w:tc>
          <w:tcPr>
            <w:tcW w:type="dxa" w:w="3099"/>
            <w:shd w:val="clear" w:fill="E7E6E6"/>
          </w:tcPr>
          <w:p>
            <w:pPr>
              <w:spacing w:before="20" w:after="20"/>
            </w:pPr>
            <w:r>
              <w:rPr>
                <w:rFonts w:ascii="Arial" w:hAnsi="Arial"/>
                <w:b/>
                <w:sz w:val="18"/>
              </w:rPr>
              <w:t>Basis</w:t>
            </w:r>
          </w:p>
        </w:tc>
      </w:tr>
      <w:tr>
        <w:trPr>
          <w:cantSplit/>
        </w:trPr>
        <w:tc>
          <w:tcPr>
            <w:tcW w:type="dxa" w:w="3099"/>
          </w:tcPr>
          <w:p>
            <w:pPr>
              <w:spacing w:before="20" w:after="20"/>
            </w:pPr>
            <w:r>
              <w:rPr>
                <w:rFonts w:ascii="Arial" w:hAnsi="Arial"/>
                <w:sz w:val="18"/>
              </w:rPr>
              <w:t>Equipment</w:t>
            </w:r>
          </w:p>
        </w:tc>
        <w:tc>
          <w:tcPr>
            <w:tcW w:type="dxa" w:w="3099"/>
          </w:tcPr>
          <w:p>
            <w:pPr>
              <w:spacing w:before="20" w:after="20"/>
            </w:pPr>
            <w:r>
              <w:rPr>
                <w:rFonts w:ascii="Arial" w:hAnsi="Arial"/>
                <w:sz w:val="18"/>
              </w:rPr>
              <w:t>2-die thread/profile rolling machine</w:t>
            </w:r>
          </w:p>
        </w:tc>
        <w:tc>
          <w:tcPr>
            <w:tcW w:type="dxa" w:w="3099"/>
          </w:tcPr>
          <w:p>
            <w:pPr>
              <w:spacing w:before="20" w:after="20"/>
            </w:pPr>
            <w:r>
              <w:rPr>
                <w:rFonts w:ascii="Arial" w:hAnsi="Arial"/>
                <w:sz w:val="18"/>
              </w:rPr>
              <w:t>Market example: Profimach PTR 42 (Ø6–42 mm; 150 kN; 1 500×1 580×1 140 mm; 4 kW)</w:t>
            </w:r>
          </w:p>
        </w:tc>
      </w:tr>
      <w:tr>
        <w:trPr>
          <w:cantSplit/>
        </w:trPr>
        <w:tc>
          <w:tcPr>
            <w:tcW w:type="dxa" w:w="3099"/>
          </w:tcPr>
          <w:p>
            <w:pPr>
              <w:spacing w:before="20" w:after="20"/>
            </w:pPr>
            <w:r>
              <w:rPr>
                <w:rFonts w:ascii="Arial" w:hAnsi="Arial"/>
                <w:sz w:val="18"/>
              </w:rPr>
              <w:t>Bank size</w:t>
            </w:r>
          </w:p>
        </w:tc>
        <w:tc>
          <w:tcPr>
            <w:tcW w:type="dxa" w:w="3099"/>
          </w:tcPr>
          <w:p>
            <w:pPr>
              <w:spacing w:before="20" w:after="20"/>
            </w:pPr>
            <w:r>
              <w:rPr>
                <w:rFonts w:ascii="Arial" w:hAnsi="Arial"/>
                <w:sz w:val="18"/>
              </w:rPr>
              <w:t>8.4 × 3.4 m = 28.6 m²</w:t>
            </w:r>
          </w:p>
        </w:tc>
        <w:tc>
          <w:tcPr>
            <w:tcW w:type="dxa" w:w="3099"/>
          </w:tcPr>
          <w:p>
            <w:pPr>
              <w:spacing w:before="20" w:after="20"/>
            </w:pPr>
            <w:r>
              <w:rPr>
                <w:rFonts w:ascii="Arial" w:hAnsi="Arial"/>
                <w:sz w:val="18"/>
              </w:rPr>
              <w:t>Drawing</w:t>
            </w:r>
          </w:p>
        </w:tc>
      </w:tr>
      <w:tr>
        <w:trPr>
          <w:cantSplit/>
        </w:trPr>
        <w:tc>
          <w:tcPr>
            <w:tcW w:type="dxa" w:w="3099"/>
          </w:tcPr>
          <w:p>
            <w:pPr>
              <w:spacing w:before="20" w:after="20"/>
            </w:pPr>
            <w:r>
              <w:rPr>
                <w:rFonts w:ascii="Arial" w:hAnsi="Arial"/>
                <w:sz w:val="18"/>
              </w:rPr>
              <w:t>Machines / operators</w:t>
            </w:r>
          </w:p>
        </w:tc>
        <w:tc>
          <w:tcPr>
            <w:tcW w:type="dxa" w:w="3099"/>
          </w:tcPr>
          <w:p>
            <w:pPr>
              <w:spacing w:before="20" w:after="20"/>
            </w:pPr>
            <w:r>
              <w:rPr>
                <w:rFonts w:ascii="Arial" w:hAnsi="Arial"/>
                <w:sz w:val="18"/>
              </w:rPr>
              <w:t>4 / 4 (99.7 %)</w:t>
            </w:r>
          </w:p>
        </w:tc>
        <w:tc>
          <w:tcPr>
            <w:tcW w:type="dxa" w:w="3099"/>
          </w:tcPr>
          <w:p>
            <w:pPr>
              <w:spacing w:before="20" w:after="20"/>
            </w:pPr>
            <w:r>
              <w:rPr>
                <w:rFonts w:ascii="Arial" w:hAnsi="Arial"/>
                <w:sz w:val="18"/>
              </w:rPr>
              <w:t>Capacity table</w:t>
            </w:r>
          </w:p>
        </w:tc>
      </w:tr>
      <w:tr>
        <w:trPr>
          <w:cantSplit/>
        </w:trPr>
        <w:tc>
          <w:tcPr>
            <w:tcW w:type="dxa" w:w="3099"/>
          </w:tcPr>
          <w:p>
            <w:pPr>
              <w:spacing w:before="20" w:after="20"/>
            </w:pPr>
            <w:r>
              <w:rPr>
                <w:rFonts w:ascii="Arial" w:hAnsi="Arial"/>
                <w:sz w:val="18"/>
              </w:rPr>
              <w:t>WIP</w:t>
            </w:r>
          </w:p>
        </w:tc>
        <w:tc>
          <w:tcPr>
            <w:tcW w:type="dxa" w:w="3099"/>
          </w:tcPr>
          <w:p>
            <w:pPr>
              <w:spacing w:before="20" w:after="20"/>
            </w:pPr>
            <w:r>
              <w:rPr>
                <w:rFonts w:ascii="Arial" w:hAnsi="Arial"/>
                <w:sz w:val="18"/>
              </w:rPr>
              <w:t>Full-length infeed buffer strip (mandatory)</w:t>
            </w:r>
          </w:p>
        </w:tc>
        <w:tc>
          <w:tcPr>
            <w:tcW w:type="dxa" w:w="3099"/>
          </w:tcPr>
          <w:p>
            <w:pPr>
              <w:spacing w:before="20" w:after="20"/>
            </w:pPr>
            <w:r>
              <w:rPr>
                <w:rFonts w:ascii="Arial" w:hAnsi="Arial"/>
                <w:sz w:val="18"/>
              </w:rPr>
              <w:t>99.7 % — no recovery margin</w:t>
            </w:r>
          </w:p>
        </w:tc>
      </w:tr>
      <w:tr>
        <w:trPr>
          <w:cantSplit/>
        </w:trPr>
        <w:tc>
          <w:tcPr>
            <w:tcW w:type="dxa" w:w="3099"/>
          </w:tcPr>
          <w:p>
            <w:pPr>
              <w:spacing w:before="20" w:after="20"/>
            </w:pPr>
            <w:r>
              <w:rPr>
                <w:rFonts w:ascii="Arial" w:hAnsi="Arial"/>
                <w:sz w:val="18"/>
              </w:rPr>
              <w:t>Cost</w:t>
            </w:r>
          </w:p>
        </w:tc>
        <w:tc>
          <w:tcPr>
            <w:tcW w:type="dxa" w:w="3099"/>
          </w:tcPr>
          <w:p>
            <w:pPr>
              <w:spacing w:before="20" w:after="20"/>
            </w:pPr>
            <w:r>
              <w:rPr>
                <w:rFonts w:ascii="Arial" w:hAnsi="Arial"/>
                <w:sz w:val="18"/>
              </w:rPr>
              <w:t>Quotation required (Low)</w:t>
            </w:r>
          </w:p>
        </w:tc>
        <w:tc>
          <w:tcPr>
            <w:tcW w:type="dxa" w:w="3099"/>
          </w:tcPr>
          <w:p>
            <w:pPr>
              <w:spacing w:before="20" w:after="20"/>
            </w:pPr>
            <w:r>
              <w:rPr>
                <w:rFonts w:ascii="Arial" w:hAnsi="Arial"/>
                <w:sz w:val="18"/>
              </w:rPr>
              <w:t>Supplier enquiry</w:t>
            </w:r>
          </w:p>
        </w:tc>
      </w:tr>
    </w:tbl>
    <w:p/>
    <w:p>
      <w:pPr>
        <w:keepNext/>
        <w:jc w:val="center"/>
        <w:pBdr>
          <w:top w:val="dashed" w:sz="8" w:color="C00000" w:space="6"/>
          <w:left w:val="dashed" w:sz="8" w:color="C00000" w:space="6"/>
          <w:bottom w:val="dashed" w:sz="8" w:color="C00000" w:space="6"/>
          <w:right w:val="dashed" w:sz="8" w:color="C00000" w:space="6"/>
        </w:pBdr>
      </w:pPr>
      <w:r>
        <w:rPr>
          <w:i/>
          <w:color w:val="804000"/>
        </w:rPr>
        <w:t>[ INSERT FIGURE 9 — machine photo (open link, screenshot/redraw) ]</w:t>
      </w:r>
    </w:p>
    <w:p>
      <w:pPr>
        <w:pStyle w:val="FigCap"/>
      </w:pPr>
      <w:r>
        <w:t>Figure 9: Two-roll thread rolling machine. Market example for sizing and illustration only — redraw or insert supplier image with permission.</w:t>
      </w:r>
    </w:p>
    <w:p>
      <w:pPr>
        <w:pStyle w:val="LnkLine"/>
      </w:pPr>
      <w:r>
        <w:rPr>
          <w:sz w:val="18"/>
        </w:rPr>
        <w:t xml:space="preserve">Open source page: </w:t>
      </w:r>
      <w:hyperlink r:id="rId16">
        <w:r>
          <w:rPr>
            <w:color w:val="0563C1"/>
            <w:u w:val="single"/>
            <w:sz w:val="18"/>
            <w:rFonts w:ascii="Arial" w:hAnsi="Arial"/>
          </w:rPr>
          <w:t>https://profimach.com/special-machine/2-roll-thread-roll-machines-ptr-series</w:t>
        </w:r>
      </w:hyperlink>
    </w:p>
    <w:p>
      <w:r/>
      <w:r>
        <w:rPr>
          <w:b/>
        </w:rPr>
        <w:t>Workstation.</w:t>
      </w:r>
      <w:r>
        <w:t xml:space="preserve"> Rolling is chipless and work-hardens the thread — suited to the thin tube wall. Operators load between dies at elbow height; each machine keeps maintenance clearance because the bank cannot afford downtime. The milk-run replenishes the buffer hourly.</w:t>
      </w:r>
    </w:p>
    <w:p>
      <w:pPr>
        <w:keepNext/>
        <w:jc w:val="center"/>
      </w:pPr>
      <w:r>
        <w:drawing>
          <wp:inline xmlns:a="http://schemas.openxmlformats.org/drawingml/2006/main" xmlns:pic="http://schemas.openxmlformats.org/drawingml/2006/picture">
            <wp:extent cx="5580000" cy="3996157"/>
            <wp:docPr id="4" name="Picture 4"/>
            <wp:cNvGraphicFramePr>
              <a:graphicFrameLocks noChangeAspect="1"/>
            </wp:cNvGraphicFramePr>
            <a:graphic>
              <a:graphicData uri="http://schemas.openxmlformats.org/drawingml/2006/picture">
                <pic:pic>
                  <pic:nvPicPr>
                    <pic:cNvPr id="0" name="C04_knurling_bank.png"/>
                    <pic:cNvPicPr/>
                  </pic:nvPicPr>
                  <pic:blipFill>
                    <a:blip r:embed="rId17"/>
                    <a:stretch>
                      <a:fillRect/>
                    </a:stretch>
                  </pic:blipFill>
                  <pic:spPr>
                    <a:xfrm>
                      <a:off x="0" y="0"/>
                      <a:ext cx="5580000" cy="3996157"/>
                    </a:xfrm>
                    <a:prstGeom prst="rect"/>
                  </pic:spPr>
                </pic:pic>
              </a:graphicData>
            </a:graphic>
          </wp:inline>
        </w:drawing>
      </w:r>
    </w:p>
    <w:p>
      <w:pPr>
        <w:pStyle w:val="FigCap"/>
      </w:pPr>
      <w:r>
        <w:t>Figure 10: Knurling/external-threading bank — four machines with mandatory infeed WIP buffer and shared operator aisle (Author’s own.)</w:t>
      </w:r>
    </w:p>
    <w:p>
      <w:r/>
      <w:r>
        <w:rPr>
          <w:b/>
        </w:rPr>
        <w:t>Material handling.</w:t>
      </w:r>
      <w:r>
        <w:t xml:space="preserve"> Buffer fed by milk-run; threaded back handles join middle handles on carts to powder-coat staging.</w:t>
      </w:r>
    </w:p>
    <w:p>
      <w:pPr>
        <w:pStyle w:val="Heading3"/>
      </w:pPr>
      <w:r>
        <w:t>6.4.5 Shovel-Head and Hinge Stamping (press cell)</w:t>
      </w:r>
    </w:p>
    <w:p>
      <w:r/>
      <w:r>
        <w:rPr>
          <w:b/>
        </w:rPr>
        <w:t>Process.</w:t>
      </w:r>
      <w:r>
        <w:t xml:space="preserve"> Head blanks (0.17×0.14 m) and hinge blanks (0.08×0.05 m) are blanked from 2.5 mm sheet at 2 s/part each (1 915 gross/day each; 5 % scrap). The two presses share one cell: one sheet supply, one skeleton-scrap route, one supervision point.</w:t>
      </w:r>
    </w:p>
    <w:p>
      <w:pPr>
        <w:pStyle w:val="TblCap"/>
      </w:pPr>
      <w:r>
        <w:t>Table 9: Shovel-Head and Hinge Stamping (press cell) — machine and workstation specifications</w:t>
      </w:r>
    </w:p>
    <w:tbl>
      <w:tblPr>
        <w:tblW w:type="auto" w:w="0"/>
        <w:tblLook w:firstColumn="1" w:firstRow="1" w:lastColumn="0" w:lastRow="0" w:noHBand="0" w:noVBand="1" w:val="04A0"/>
        <w:tblBorders>
          <w:top w:val="single" w:sz="4" w:color="7F7F7F"/>
          <w:left w:val="single" w:sz="4" w:color="7F7F7F"/>
          <w:bottom w:val="single" w:sz="4" w:color="7F7F7F"/>
          <w:right w:val="single" w:sz="4" w:color="7F7F7F"/>
          <w:insideH w:val="single" w:sz="4" w:color="7F7F7F"/>
          <w:insideV w:val="single" w:sz="4" w:color="7F7F7F"/>
        </w:tblBorders>
        <w:tblW w:w="5000" w:type="pct"/>
      </w:tblPr>
      <w:tblGrid>
        <w:gridCol w:w="3099"/>
        <w:gridCol w:w="3099"/>
        <w:gridCol w:w="3099"/>
      </w:tblGrid>
      <w:tr>
        <w:trPr>
          <w:cantSplit/>
          <w:tblHeader w:val="true"/>
        </w:trPr>
        <w:tc>
          <w:tcPr>
            <w:tcW w:type="dxa" w:w="3099"/>
            <w:shd w:val="clear" w:fill="E7E6E6"/>
          </w:tcPr>
          <w:p>
            <w:pPr>
              <w:spacing w:before="20" w:after="20"/>
            </w:pPr>
            <w:r>
              <w:rPr>
                <w:rFonts w:ascii="Arial" w:hAnsi="Arial"/>
                <w:b/>
                <w:sz w:val="18"/>
              </w:rPr>
              <w:t>Specification</w:t>
            </w:r>
          </w:p>
        </w:tc>
        <w:tc>
          <w:tcPr>
            <w:tcW w:type="dxa" w:w="3099"/>
            <w:shd w:val="clear" w:fill="E7E6E6"/>
          </w:tcPr>
          <w:p>
            <w:pPr>
              <w:spacing w:before="20" w:after="20"/>
            </w:pPr>
            <w:r>
              <w:rPr>
                <w:rFonts w:ascii="Arial" w:hAnsi="Arial"/>
                <w:b/>
                <w:sz w:val="18"/>
              </w:rPr>
              <w:t>Value</w:t>
            </w:r>
          </w:p>
        </w:tc>
        <w:tc>
          <w:tcPr>
            <w:tcW w:type="dxa" w:w="3099"/>
            <w:shd w:val="clear" w:fill="E7E6E6"/>
          </w:tcPr>
          <w:p>
            <w:pPr>
              <w:spacing w:before="20" w:after="20"/>
            </w:pPr>
            <w:r>
              <w:rPr>
                <w:rFonts w:ascii="Arial" w:hAnsi="Arial"/>
                <w:b/>
                <w:sz w:val="18"/>
              </w:rPr>
              <w:t>Basis</w:t>
            </w:r>
          </w:p>
        </w:tc>
      </w:tr>
      <w:tr>
        <w:trPr>
          <w:cantSplit/>
        </w:trPr>
        <w:tc>
          <w:tcPr>
            <w:tcW w:type="dxa" w:w="3099"/>
          </w:tcPr>
          <w:p>
            <w:pPr>
              <w:spacing w:before="20" w:after="20"/>
            </w:pPr>
            <w:r>
              <w:rPr>
                <w:rFonts w:ascii="Arial" w:hAnsi="Arial"/>
                <w:sz w:val="18"/>
              </w:rPr>
              <w:t>Equipment</w:t>
            </w:r>
          </w:p>
        </w:tc>
        <w:tc>
          <w:tcPr>
            <w:tcW w:type="dxa" w:w="3099"/>
          </w:tcPr>
          <w:p>
            <w:pPr>
              <w:spacing w:before="20" w:after="20"/>
            </w:pPr>
            <w:r>
              <w:rPr>
                <w:rFonts w:ascii="Arial" w:hAnsi="Arial"/>
                <w:sz w:val="18"/>
              </w:rPr>
              <w:t>Gap-frame mechanical press (×2) + dies</w:t>
            </w:r>
          </w:p>
        </w:tc>
        <w:tc>
          <w:tcPr>
            <w:tcW w:type="dxa" w:w="3099"/>
          </w:tcPr>
          <w:p>
            <w:pPr>
              <w:spacing w:before="20" w:after="20"/>
            </w:pPr>
            <w:r>
              <w:rPr>
                <w:rFonts w:ascii="Arial" w:hAnsi="Arial"/>
                <w:sz w:val="18"/>
              </w:rPr>
              <w:t>Market example: Stamtec OCP-35 (35 t; 70–180 SPM; 930×1 200×2 100 mm)</w:t>
            </w:r>
          </w:p>
        </w:tc>
      </w:tr>
      <w:tr>
        <w:trPr>
          <w:cantSplit/>
        </w:trPr>
        <w:tc>
          <w:tcPr>
            <w:tcW w:type="dxa" w:w="3099"/>
          </w:tcPr>
          <w:p>
            <w:pPr>
              <w:spacing w:before="20" w:after="20"/>
            </w:pPr>
            <w:r>
              <w:rPr>
                <w:rFonts w:ascii="Arial" w:hAnsi="Arial"/>
                <w:sz w:val="18"/>
              </w:rPr>
              <w:t>Cell size</w:t>
            </w:r>
          </w:p>
        </w:tc>
        <w:tc>
          <w:tcPr>
            <w:tcW w:type="dxa" w:w="3099"/>
          </w:tcPr>
          <w:p>
            <w:pPr>
              <w:spacing w:before="20" w:after="20"/>
            </w:pPr>
            <w:r>
              <w:rPr>
                <w:rFonts w:ascii="Arial" w:hAnsi="Arial"/>
                <w:sz w:val="18"/>
              </w:rPr>
              <w:t>6.4 × 4.0 m = 25.6 m²</w:t>
            </w:r>
          </w:p>
        </w:tc>
        <w:tc>
          <w:tcPr>
            <w:tcW w:type="dxa" w:w="3099"/>
          </w:tcPr>
          <w:p>
            <w:pPr>
              <w:spacing w:before="20" w:after="20"/>
            </w:pPr>
            <w:r>
              <w:rPr>
                <w:rFonts w:ascii="Arial" w:hAnsi="Arial"/>
                <w:sz w:val="18"/>
              </w:rPr>
              <w:t>Drawing</w:t>
            </w:r>
          </w:p>
        </w:tc>
      </w:tr>
      <w:tr>
        <w:trPr>
          <w:cantSplit/>
        </w:trPr>
        <w:tc>
          <w:tcPr>
            <w:tcW w:type="dxa" w:w="3099"/>
          </w:tcPr>
          <w:p>
            <w:pPr>
              <w:spacing w:before="20" w:after="20"/>
            </w:pPr>
            <w:r>
              <w:rPr>
                <w:rFonts w:ascii="Arial" w:hAnsi="Arial"/>
                <w:sz w:val="18"/>
              </w:rPr>
              <w:t>Machines / operators</w:t>
            </w:r>
          </w:p>
        </w:tc>
        <w:tc>
          <w:tcPr>
            <w:tcW w:type="dxa" w:w="3099"/>
          </w:tcPr>
          <w:p>
            <w:pPr>
              <w:spacing w:before="20" w:after="20"/>
            </w:pPr>
            <w:r>
              <w:rPr>
                <w:rFonts w:ascii="Arial" w:hAnsi="Arial"/>
                <w:sz w:val="18"/>
              </w:rPr>
              <w:t>2 / 2 (13.3 % each)</w:t>
            </w:r>
          </w:p>
        </w:tc>
        <w:tc>
          <w:tcPr>
            <w:tcW w:type="dxa" w:w="3099"/>
          </w:tcPr>
          <w:p>
            <w:pPr>
              <w:spacing w:before="20" w:after="20"/>
            </w:pPr>
            <w:r>
              <w:rPr>
                <w:rFonts w:ascii="Arial" w:hAnsi="Arial"/>
                <w:sz w:val="18"/>
              </w:rPr>
              <w:t>Capacity table</w:t>
            </w:r>
          </w:p>
        </w:tc>
      </w:tr>
      <w:tr>
        <w:trPr>
          <w:cantSplit/>
        </w:trPr>
        <w:tc>
          <w:tcPr>
            <w:tcW w:type="dxa" w:w="3099"/>
          </w:tcPr>
          <w:p>
            <w:pPr>
              <w:spacing w:before="20" w:after="20"/>
            </w:pPr>
            <w:r>
              <w:rPr>
                <w:rFonts w:ascii="Arial" w:hAnsi="Arial"/>
                <w:sz w:val="18"/>
              </w:rPr>
              <w:t>Option</w:t>
            </w:r>
          </w:p>
        </w:tc>
        <w:tc>
          <w:tcPr>
            <w:tcW w:type="dxa" w:w="3099"/>
          </w:tcPr>
          <w:p>
            <w:pPr>
              <w:spacing w:before="20" w:after="20"/>
            </w:pPr>
            <w:r>
              <w:rPr>
                <w:rFonts w:ascii="Arial" w:hAnsi="Arial"/>
                <w:sz w:val="18"/>
              </w:rPr>
              <w:t>1 press + quick die change @ ≈27 %</w:t>
            </w:r>
          </w:p>
        </w:tc>
        <w:tc>
          <w:tcPr>
            <w:tcW w:type="dxa" w:w="3099"/>
          </w:tcPr>
          <w:p>
            <w:pPr>
              <w:spacing w:before="20" w:after="20"/>
            </w:pPr>
            <w:r>
              <w:rPr>
                <w:rFonts w:ascii="Arial" w:hAnsi="Arial"/>
                <w:sz w:val="18"/>
              </w:rPr>
              <w:t>Carried to layout alternatives</w:t>
            </w:r>
          </w:p>
        </w:tc>
      </w:tr>
      <w:tr>
        <w:trPr>
          <w:cantSplit/>
        </w:trPr>
        <w:tc>
          <w:tcPr>
            <w:tcW w:type="dxa" w:w="3099"/>
          </w:tcPr>
          <w:p>
            <w:pPr>
              <w:spacing w:before="20" w:after="20"/>
            </w:pPr>
            <w:r>
              <w:rPr>
                <w:rFonts w:ascii="Arial" w:hAnsi="Arial"/>
                <w:sz w:val="18"/>
              </w:rPr>
              <w:t>Cost</w:t>
            </w:r>
          </w:p>
        </w:tc>
        <w:tc>
          <w:tcPr>
            <w:tcW w:type="dxa" w:w="3099"/>
          </w:tcPr>
          <w:p>
            <w:pPr>
              <w:spacing w:before="20" w:after="20"/>
            </w:pPr>
            <w:r>
              <w:rPr>
                <w:rFonts w:ascii="Arial" w:hAnsi="Arial"/>
                <w:sz w:val="18"/>
              </w:rPr>
              <w:t>Quotation required (Low); dies separate</w:t>
            </w:r>
          </w:p>
        </w:tc>
        <w:tc>
          <w:tcPr>
            <w:tcW w:type="dxa" w:w="3099"/>
          </w:tcPr>
          <w:p>
            <w:pPr>
              <w:spacing w:before="20" w:after="20"/>
            </w:pPr>
            <w:r>
              <w:rPr>
                <w:rFonts w:ascii="Arial" w:hAnsi="Arial"/>
                <w:sz w:val="18"/>
              </w:rPr>
              <w:t>Quote request only</w:t>
            </w:r>
          </w:p>
        </w:tc>
      </w:tr>
    </w:tbl>
    <w:p/>
    <w:p>
      <w:pPr>
        <w:keepNext/>
        <w:jc w:val="center"/>
        <w:pBdr>
          <w:top w:val="dashed" w:sz="8" w:color="C00000" w:space="6"/>
          <w:left w:val="dashed" w:sz="8" w:color="C00000" w:space="6"/>
          <w:bottom w:val="dashed" w:sz="8" w:color="C00000" w:space="6"/>
          <w:right w:val="dashed" w:sz="8" w:color="C00000" w:space="6"/>
        </w:pBdr>
      </w:pPr>
      <w:r>
        <w:rPr>
          <w:i/>
          <w:color w:val="804000"/>
        </w:rPr>
        <w:t>[ INSERT FIGURE 11 — machine photo (open link, screenshot/redraw) ]</w:t>
      </w:r>
    </w:p>
    <w:p>
      <w:pPr>
        <w:pStyle w:val="FigCap"/>
      </w:pPr>
      <w:r>
        <w:t>Figure 11: Gap-frame mechanical press. Market example for sizing and illustration only — redraw or insert supplier image with permission.</w:t>
      </w:r>
    </w:p>
    <w:p>
      <w:pPr>
        <w:pStyle w:val="LnkLine"/>
      </w:pPr>
      <w:r>
        <w:rPr>
          <w:sz w:val="18"/>
        </w:rPr>
        <w:t xml:space="preserve">Open source page: </w:t>
      </w:r>
      <w:hyperlink r:id="rId18">
        <w:r>
          <w:rPr>
            <w:color w:val="0563C1"/>
            <w:u w:val="single"/>
            <w:sz w:val="18"/>
            <w:rFonts w:ascii="Arial" w:hAnsi="Arial"/>
          </w:rPr>
          <w:t>https://www.stamtec.com/presses/mechanical-presses/1-point-gap-frame-press/ocp-series-gap-frame-press</w:t>
        </w:r>
      </w:hyperlink>
    </w:p>
    <w:p>
      <w:r/>
      <w:r>
        <w:rPr>
          <w:b/>
        </w:rPr>
        <w:t>Workstation.</w:t>
      </w:r>
      <w:r>
        <w:t xml:space="preserve"> Sheets weigh ≈21 kg, at the single-person repetitive limit — an infeed support table and two-person lift or assist are specified at detailed design. Light curtains guard both presses; die-change access is preserved at the rear.</w:t>
      </w:r>
    </w:p>
    <w:p>
      <w:pPr>
        <w:keepNext/>
        <w:jc w:val="center"/>
      </w:pPr>
      <w:r>
        <w:drawing>
          <wp:inline xmlns:a="http://schemas.openxmlformats.org/drawingml/2006/main" xmlns:pic="http://schemas.openxmlformats.org/drawingml/2006/picture">
            <wp:extent cx="5580000" cy="5338703"/>
            <wp:docPr id="5" name="Picture 5"/>
            <wp:cNvGraphicFramePr>
              <a:graphicFrameLocks noChangeAspect="1"/>
            </wp:cNvGraphicFramePr>
            <a:graphic>
              <a:graphicData uri="http://schemas.openxmlformats.org/drawingml/2006/picture">
                <pic:pic>
                  <pic:nvPicPr>
                    <pic:cNvPr id="0" name="C05_press_cell.png"/>
                    <pic:cNvPicPr/>
                  </pic:nvPicPr>
                  <pic:blipFill>
                    <a:blip r:embed="rId19"/>
                    <a:stretch>
                      <a:fillRect/>
                    </a:stretch>
                  </pic:blipFill>
                  <pic:spPr>
                    <a:xfrm>
                      <a:off x="0" y="0"/>
                      <a:ext cx="5580000" cy="5338703"/>
                    </a:xfrm>
                    <a:prstGeom prst="rect"/>
                  </pic:spPr>
                </pic:pic>
              </a:graphicData>
            </a:graphic>
          </wp:inline>
        </w:drawing>
      </w:r>
    </w:p>
    <w:p>
      <w:pPr>
        <w:pStyle w:val="FigCap"/>
      </w:pPr>
      <w:r>
        <w:t>Figure 12: Sheet-stamping press cell — shared sheet stacks, two presses, blank bins, skeleton-scrap bin (Author’s own.)</w:t>
      </w:r>
    </w:p>
    <w:p>
      <w:r/>
      <w:r>
        <w:rPr>
          <w:b/>
        </w:rPr>
        <w:t>Material handling.</w:t>
      </w:r>
      <w:r>
        <w:t xml:space="preserve"> Sheets forklift-delivered to the stacks; blanks leave in bins on the milk-run; skeleton scrap shares the waste route with saw offcuts.</w:t>
      </w:r>
    </w:p>
    <w:p>
      <w:pPr>
        <w:pStyle w:val="Heading3"/>
      </w:pPr>
      <w:r>
        <w:t>6.4.6 Hinge Bending and Head Shaping</w:t>
      </w:r>
    </w:p>
    <w:p>
      <w:r/>
      <w:r>
        <w:rPr>
          <w:b/>
        </w:rPr>
        <w:t>Process.</w:t>
      </w:r>
      <w:r>
        <w:t xml:space="preserve"> Hinge blanks are bent to bracket geometry (5 s; 1 819/day) on a small press brake with fixed V-die; head blanks are formed to the dished profile (2 s; 1 819/day) on the same press platform as stamping for spares and training commonality.</w:t>
      </w:r>
    </w:p>
    <w:p>
      <w:pPr>
        <w:pStyle w:val="TblCap"/>
      </w:pPr>
      <w:r>
        <w:t>Table 10: Hinge Bending and Head Shaping — machine and workstation specifications</w:t>
      </w:r>
    </w:p>
    <w:tbl>
      <w:tblPr>
        <w:tblW w:type="auto" w:w="0"/>
        <w:tblLook w:firstColumn="1" w:firstRow="1" w:lastColumn="0" w:lastRow="0" w:noHBand="0" w:noVBand="1" w:val="04A0"/>
        <w:tblBorders>
          <w:top w:val="single" w:sz="4" w:color="7F7F7F"/>
          <w:left w:val="single" w:sz="4" w:color="7F7F7F"/>
          <w:bottom w:val="single" w:sz="4" w:color="7F7F7F"/>
          <w:right w:val="single" w:sz="4" w:color="7F7F7F"/>
          <w:insideH w:val="single" w:sz="4" w:color="7F7F7F"/>
          <w:insideV w:val="single" w:sz="4" w:color="7F7F7F"/>
        </w:tblBorders>
        <w:tblW w:w="5000" w:type="pct"/>
      </w:tblPr>
      <w:tblGrid>
        <w:gridCol w:w="3099"/>
        <w:gridCol w:w="3099"/>
        <w:gridCol w:w="3099"/>
      </w:tblGrid>
      <w:tr>
        <w:trPr>
          <w:cantSplit/>
          <w:tblHeader w:val="true"/>
        </w:trPr>
        <w:tc>
          <w:tcPr>
            <w:tcW w:type="dxa" w:w="3099"/>
            <w:shd w:val="clear" w:fill="E7E6E6"/>
          </w:tcPr>
          <w:p>
            <w:pPr>
              <w:spacing w:before="20" w:after="20"/>
            </w:pPr>
            <w:r>
              <w:rPr>
                <w:rFonts w:ascii="Arial" w:hAnsi="Arial"/>
                <w:b/>
                <w:sz w:val="18"/>
              </w:rPr>
              <w:t>Specification</w:t>
            </w:r>
          </w:p>
        </w:tc>
        <w:tc>
          <w:tcPr>
            <w:tcW w:type="dxa" w:w="3099"/>
            <w:shd w:val="clear" w:fill="E7E6E6"/>
          </w:tcPr>
          <w:p>
            <w:pPr>
              <w:spacing w:before="20" w:after="20"/>
            </w:pPr>
            <w:r>
              <w:rPr>
                <w:rFonts w:ascii="Arial" w:hAnsi="Arial"/>
                <w:b/>
                <w:sz w:val="18"/>
              </w:rPr>
              <w:t>Value</w:t>
            </w:r>
          </w:p>
        </w:tc>
        <w:tc>
          <w:tcPr>
            <w:tcW w:type="dxa" w:w="3099"/>
            <w:shd w:val="clear" w:fill="E7E6E6"/>
          </w:tcPr>
          <w:p>
            <w:pPr>
              <w:spacing w:before="20" w:after="20"/>
            </w:pPr>
            <w:r>
              <w:rPr>
                <w:rFonts w:ascii="Arial" w:hAnsi="Arial"/>
                <w:b/>
                <w:sz w:val="18"/>
              </w:rPr>
              <w:t>Basis</w:t>
            </w:r>
          </w:p>
        </w:tc>
      </w:tr>
      <w:tr>
        <w:trPr>
          <w:cantSplit/>
        </w:trPr>
        <w:tc>
          <w:tcPr>
            <w:tcW w:type="dxa" w:w="3099"/>
          </w:tcPr>
          <w:p>
            <w:pPr>
              <w:spacing w:before="20" w:after="20"/>
            </w:pPr>
            <w:r>
              <w:rPr>
                <w:rFonts w:ascii="Arial" w:hAnsi="Arial"/>
                <w:sz w:val="18"/>
              </w:rPr>
              <w:t>Equipment</w:t>
            </w:r>
          </w:p>
        </w:tc>
        <w:tc>
          <w:tcPr>
            <w:tcW w:type="dxa" w:w="3099"/>
          </w:tcPr>
          <w:p>
            <w:pPr>
              <w:spacing w:before="20" w:after="20"/>
            </w:pPr>
            <w:r>
              <w:rPr>
                <w:rFonts w:ascii="Arial" w:hAnsi="Arial"/>
                <w:sz w:val="18"/>
              </w:rPr>
              <w:t>Electric press brake + V-die; forming press + die set</w:t>
            </w:r>
          </w:p>
        </w:tc>
        <w:tc>
          <w:tcPr>
            <w:tcW w:type="dxa" w:w="3099"/>
          </w:tcPr>
          <w:p>
            <w:pPr>
              <w:spacing w:before="20" w:after="20"/>
            </w:pPr>
            <w:r>
              <w:rPr>
                <w:rFonts w:ascii="Arial" w:hAnsi="Arial"/>
                <w:sz w:val="18"/>
              </w:rPr>
              <w:t>Examples: Euromac FX Bend class; Stamtec OCP class</w:t>
            </w:r>
          </w:p>
        </w:tc>
      </w:tr>
      <w:tr>
        <w:trPr>
          <w:cantSplit/>
        </w:trPr>
        <w:tc>
          <w:tcPr>
            <w:tcW w:type="dxa" w:w="3099"/>
          </w:tcPr>
          <w:p>
            <w:pPr>
              <w:spacing w:before="20" w:after="20"/>
            </w:pPr>
            <w:r>
              <w:rPr>
                <w:rFonts w:ascii="Arial" w:hAnsi="Arial"/>
                <w:sz w:val="18"/>
              </w:rPr>
              <w:t>Cells</w:t>
            </w:r>
          </w:p>
        </w:tc>
        <w:tc>
          <w:tcPr>
            <w:tcW w:type="dxa" w:w="3099"/>
          </w:tcPr>
          <w:p>
            <w:pPr>
              <w:spacing w:before="20" w:after="20"/>
            </w:pPr>
            <w:r>
              <w:rPr>
                <w:rFonts w:ascii="Arial" w:hAnsi="Arial"/>
                <w:sz w:val="18"/>
              </w:rPr>
              <w:t>8.5 m² (brake, guard incl.) + 6 m² (forming)</w:t>
            </w:r>
          </w:p>
        </w:tc>
        <w:tc>
          <w:tcPr>
            <w:tcW w:type="dxa" w:w="3099"/>
          </w:tcPr>
          <w:p>
            <w:pPr>
              <w:spacing w:before="20" w:after="20"/>
            </w:pPr>
            <w:r>
              <w:rPr>
                <w:rFonts w:ascii="Arial" w:hAnsi="Arial"/>
                <w:sz w:val="18"/>
              </w:rPr>
              <w:t>Drawings</w:t>
            </w:r>
          </w:p>
        </w:tc>
      </w:tr>
      <w:tr>
        <w:trPr>
          <w:cantSplit/>
        </w:trPr>
        <w:tc>
          <w:tcPr>
            <w:tcW w:type="dxa" w:w="3099"/>
          </w:tcPr>
          <w:p>
            <w:pPr>
              <w:spacing w:before="20" w:after="20"/>
            </w:pPr>
            <w:r>
              <w:rPr>
                <w:rFonts w:ascii="Arial" w:hAnsi="Arial"/>
                <w:sz w:val="18"/>
              </w:rPr>
              <w:t>Machines / operators</w:t>
            </w:r>
          </w:p>
        </w:tc>
        <w:tc>
          <w:tcPr>
            <w:tcW w:type="dxa" w:w="3099"/>
          </w:tcPr>
          <w:p>
            <w:pPr>
              <w:spacing w:before="20" w:after="20"/>
            </w:pPr>
            <w:r>
              <w:rPr>
                <w:rFonts w:ascii="Arial" w:hAnsi="Arial"/>
                <w:sz w:val="18"/>
              </w:rPr>
              <w:t>1 + 1 / 1 + 1 (31.6 %, 12.6 %)</w:t>
            </w:r>
          </w:p>
        </w:tc>
        <w:tc>
          <w:tcPr>
            <w:tcW w:type="dxa" w:w="3099"/>
          </w:tcPr>
          <w:p>
            <w:pPr>
              <w:spacing w:before="20" w:after="20"/>
            </w:pPr>
            <w:r>
              <w:rPr>
                <w:rFonts w:ascii="Arial" w:hAnsi="Arial"/>
                <w:sz w:val="18"/>
              </w:rPr>
              <w:t>Capacity table</w:t>
            </w:r>
          </w:p>
        </w:tc>
      </w:tr>
      <w:tr>
        <w:trPr>
          <w:cantSplit/>
        </w:trPr>
        <w:tc>
          <w:tcPr>
            <w:tcW w:type="dxa" w:w="3099"/>
          </w:tcPr>
          <w:p>
            <w:pPr>
              <w:spacing w:before="20" w:after="20"/>
            </w:pPr>
            <w:r>
              <w:rPr>
                <w:rFonts w:ascii="Arial" w:hAnsi="Arial"/>
                <w:sz w:val="18"/>
              </w:rPr>
              <w:t>Cost</w:t>
            </w:r>
          </w:p>
        </w:tc>
        <w:tc>
          <w:tcPr>
            <w:tcW w:type="dxa" w:w="3099"/>
          </w:tcPr>
          <w:p>
            <w:pPr>
              <w:spacing w:before="20" w:after="20"/>
            </w:pPr>
            <w:r>
              <w:rPr>
                <w:rFonts w:ascii="Arial" w:hAnsi="Arial"/>
                <w:sz w:val="18"/>
              </w:rPr>
              <w:t>Quotation required (Low)</w:t>
            </w:r>
          </w:p>
        </w:tc>
        <w:tc>
          <w:tcPr>
            <w:tcW w:type="dxa" w:w="3099"/>
          </w:tcPr>
          <w:p>
            <w:pPr>
              <w:spacing w:before="20" w:after="20"/>
            </w:pPr>
            <w:r>
              <w:rPr>
                <w:rFonts w:ascii="Arial" w:hAnsi="Arial"/>
                <w:sz w:val="18"/>
              </w:rPr>
              <w:t>Dims/tonnage at quote</w:t>
            </w:r>
          </w:p>
        </w:tc>
      </w:tr>
    </w:tbl>
    <w:p/>
    <w:p>
      <w:pPr>
        <w:keepNext/>
        <w:jc w:val="center"/>
        <w:pBdr>
          <w:top w:val="dashed" w:sz="8" w:color="C00000" w:space="6"/>
          <w:left w:val="dashed" w:sz="8" w:color="C00000" w:space="6"/>
          <w:bottom w:val="dashed" w:sz="8" w:color="C00000" w:space="6"/>
          <w:right w:val="dashed" w:sz="8" w:color="C00000" w:space="6"/>
        </w:pBdr>
      </w:pPr>
      <w:r>
        <w:rPr>
          <w:i/>
          <w:color w:val="804000"/>
        </w:rPr>
        <w:t>[ INSERT FIGURE 13 — machine photo (open link, screenshot/redraw) ]</w:t>
      </w:r>
    </w:p>
    <w:p>
      <w:pPr>
        <w:pStyle w:val="FigCap"/>
      </w:pPr>
      <w:r>
        <w:t>Figure 13: Electric press brake. Market example for sizing and illustration only — redraw or insert supplier image with permission.</w:t>
      </w:r>
    </w:p>
    <w:p>
      <w:pPr>
        <w:pStyle w:val="LnkLine"/>
      </w:pPr>
      <w:r>
        <w:rPr>
          <w:sz w:val="18"/>
        </w:rPr>
        <w:t xml:space="preserve">Open source page: </w:t>
      </w:r>
      <w:hyperlink r:id="rId20">
        <w:r>
          <w:rPr>
            <w:color w:val="0563C1"/>
            <w:u w:val="single"/>
            <w:sz w:val="18"/>
            <w:rFonts w:ascii="Arial" w:hAnsi="Arial"/>
          </w:rPr>
          <w:t>https://www.cotswold-machinery-sales.co.uk/euromac-bending-machines/electric-press-brakes/fx-bend-850/</w:t>
        </w:r>
      </w:hyperlink>
    </w:p>
    <w:p>
      <w:r/>
      <w:r>
        <w:rPr>
          <w:b/>
        </w:rPr>
        <w:t>Workstation.</w:t>
      </w:r>
      <w:r>
        <w:t xml:space="preserve"> Light curtain at the pinch point; bench-style flow left-to-right. The forming press’s output buffer is deliberately oversized: it feeds the sharpening bank, which must never starve.</w:t>
      </w:r>
    </w:p>
    <w:p>
      <w:pPr>
        <w:keepNext/>
        <w:jc w:val="center"/>
      </w:pPr>
      <w:r>
        <w:drawing>
          <wp:inline xmlns:a="http://schemas.openxmlformats.org/drawingml/2006/main" xmlns:pic="http://schemas.openxmlformats.org/drawingml/2006/picture">
            <wp:extent cx="5580000" cy="6752269"/>
            <wp:docPr id="6" name="Picture 6"/>
            <wp:cNvGraphicFramePr>
              <a:graphicFrameLocks noChangeAspect="1"/>
            </wp:cNvGraphicFramePr>
            <a:graphic>
              <a:graphicData uri="http://schemas.openxmlformats.org/drawingml/2006/picture">
                <pic:pic>
                  <pic:nvPicPr>
                    <pic:cNvPr id="0" name="C06_hinge_bending.png"/>
                    <pic:cNvPicPr/>
                  </pic:nvPicPr>
                  <pic:blipFill>
                    <a:blip r:embed="rId21"/>
                    <a:stretch>
                      <a:fillRect/>
                    </a:stretch>
                  </pic:blipFill>
                  <pic:spPr>
                    <a:xfrm>
                      <a:off x="0" y="0"/>
                      <a:ext cx="5580000" cy="6752269"/>
                    </a:xfrm>
                    <a:prstGeom prst="rect"/>
                  </pic:spPr>
                </pic:pic>
              </a:graphicData>
            </a:graphic>
          </wp:inline>
        </w:drawing>
      </w:r>
    </w:p>
    <w:p>
      <w:pPr>
        <w:pStyle w:val="FigCap"/>
      </w:pPr>
      <w:r>
        <w:t>Figure 14: Hinge-bending workstation — light-curtain guarded brake between WIP bins (Author’s own.)</w:t>
      </w:r>
    </w:p>
    <w:p>
      <w:r/>
      <w:r>
        <w:rPr>
          <w:b/>
        </w:rPr>
        <w:t>Material handling.</w:t>
      </w:r>
      <w:r>
        <w:t xml:space="preserve"> Bins by trolley from stamping; bent hinges to riveting staging; formed heads to the sharpening WIP lane.</w:t>
      </w:r>
    </w:p>
    <w:p>
      <w:pPr>
        <w:keepNext/>
        <w:jc w:val="center"/>
      </w:pPr>
      <w:r>
        <w:drawing>
          <wp:inline xmlns:a="http://schemas.openxmlformats.org/drawingml/2006/main" xmlns:pic="http://schemas.openxmlformats.org/drawingml/2006/picture">
            <wp:extent cx="5580000" cy="6700873"/>
            <wp:docPr id="7" name="Picture 7"/>
            <wp:cNvGraphicFramePr>
              <a:graphicFrameLocks noChangeAspect="1"/>
            </wp:cNvGraphicFramePr>
            <a:graphic>
              <a:graphicData uri="http://schemas.openxmlformats.org/drawingml/2006/picture">
                <pic:pic>
                  <pic:nvPicPr>
                    <pic:cNvPr id="0" name="C07_head_shaping.png"/>
                    <pic:cNvPicPr/>
                  </pic:nvPicPr>
                  <pic:blipFill>
                    <a:blip r:embed="rId22"/>
                    <a:stretch>
                      <a:fillRect/>
                    </a:stretch>
                  </pic:blipFill>
                  <pic:spPr>
                    <a:xfrm>
                      <a:off x="0" y="0"/>
                      <a:ext cx="5580000" cy="6700873"/>
                    </a:xfrm>
                    <a:prstGeom prst="rect"/>
                  </pic:spPr>
                </pic:pic>
              </a:graphicData>
            </a:graphic>
          </wp:inline>
        </w:drawing>
      </w:r>
    </w:p>
    <w:p>
      <w:pPr>
        <w:pStyle w:val="FigCap"/>
      </w:pPr>
      <w:r>
        <w:t>Figure 15: Shovel-head shaping workstation — single-stroke forming between WIP bins (Author’s own.)</w:t>
      </w:r>
    </w:p>
    <w:p>
      <w:pPr>
        <w:pStyle w:val="Heading3"/>
      </w:pPr>
      <w:r>
        <w:t>6.4.7 Blade Sharpening — facility bottleneck</w:t>
      </w:r>
    </w:p>
    <w:p>
      <w:r/>
      <w:r>
        <w:rPr>
          <w:b/>
        </w:rPr>
        <w:t>Process.</w:t>
      </w:r>
      <w:r>
        <w:t xml:space="preserve"> Each formed head is ground to its cutting bevel at 120 s — the longest cycle in the plant: 1 819 heads/day on eight parallel grinding stations at 94.7 %.</w:t>
      </w:r>
    </w:p>
    <w:p>
      <w:pPr>
        <w:pStyle w:val="TblCap"/>
      </w:pPr>
      <w:r>
        <w:t>Table 11: Blade Sharpening — facility bottleneck — machine and workstation specifications</w:t>
      </w:r>
    </w:p>
    <w:tbl>
      <w:tblPr>
        <w:tblW w:type="auto" w:w="0"/>
        <w:tblLook w:firstColumn="1" w:firstRow="1" w:lastColumn="0" w:lastRow="0" w:noHBand="0" w:noVBand="1" w:val="04A0"/>
        <w:tblBorders>
          <w:top w:val="single" w:sz="4" w:color="7F7F7F"/>
          <w:left w:val="single" w:sz="4" w:color="7F7F7F"/>
          <w:bottom w:val="single" w:sz="4" w:color="7F7F7F"/>
          <w:right w:val="single" w:sz="4" w:color="7F7F7F"/>
          <w:insideH w:val="single" w:sz="4" w:color="7F7F7F"/>
          <w:insideV w:val="single" w:sz="4" w:color="7F7F7F"/>
        </w:tblBorders>
        <w:tblW w:w="5000" w:type="pct"/>
      </w:tblPr>
      <w:tblGrid>
        <w:gridCol w:w="3099"/>
        <w:gridCol w:w="3099"/>
        <w:gridCol w:w="3099"/>
      </w:tblGrid>
      <w:tr>
        <w:trPr>
          <w:cantSplit/>
          <w:tblHeader w:val="true"/>
        </w:trPr>
        <w:tc>
          <w:tcPr>
            <w:tcW w:type="dxa" w:w="3099"/>
            <w:shd w:val="clear" w:fill="E7E6E6"/>
          </w:tcPr>
          <w:p>
            <w:pPr>
              <w:spacing w:before="20" w:after="20"/>
            </w:pPr>
            <w:r>
              <w:rPr>
                <w:rFonts w:ascii="Arial" w:hAnsi="Arial"/>
                <w:b/>
                <w:sz w:val="18"/>
              </w:rPr>
              <w:t>Specification</w:t>
            </w:r>
          </w:p>
        </w:tc>
        <w:tc>
          <w:tcPr>
            <w:tcW w:type="dxa" w:w="3099"/>
            <w:shd w:val="clear" w:fill="E7E6E6"/>
          </w:tcPr>
          <w:p>
            <w:pPr>
              <w:spacing w:before="20" w:after="20"/>
            </w:pPr>
            <w:r>
              <w:rPr>
                <w:rFonts w:ascii="Arial" w:hAnsi="Arial"/>
                <w:b/>
                <w:sz w:val="18"/>
              </w:rPr>
              <w:t>Value</w:t>
            </w:r>
          </w:p>
        </w:tc>
        <w:tc>
          <w:tcPr>
            <w:tcW w:type="dxa" w:w="3099"/>
            <w:shd w:val="clear" w:fill="E7E6E6"/>
          </w:tcPr>
          <w:p>
            <w:pPr>
              <w:spacing w:before="20" w:after="20"/>
            </w:pPr>
            <w:r>
              <w:rPr>
                <w:rFonts w:ascii="Arial" w:hAnsi="Arial"/>
                <w:b/>
                <w:sz w:val="18"/>
              </w:rPr>
              <w:t>Basis</w:t>
            </w:r>
          </w:p>
        </w:tc>
      </w:tr>
      <w:tr>
        <w:trPr>
          <w:cantSplit/>
        </w:trPr>
        <w:tc>
          <w:tcPr>
            <w:tcW w:type="dxa" w:w="3099"/>
          </w:tcPr>
          <w:p>
            <w:pPr>
              <w:spacing w:before="20" w:after="20"/>
            </w:pPr>
            <w:r>
              <w:rPr>
                <w:rFonts w:ascii="Arial" w:hAnsi="Arial"/>
                <w:sz w:val="18"/>
              </w:rPr>
              <w:t>Equipment</w:t>
            </w:r>
          </w:p>
        </w:tc>
        <w:tc>
          <w:tcPr>
            <w:tcW w:type="dxa" w:w="3099"/>
          </w:tcPr>
          <w:p>
            <w:pPr>
              <w:spacing w:before="20" w:after="20"/>
            </w:pPr>
            <w:r>
              <w:rPr>
                <w:rFonts w:ascii="Arial" w:hAnsi="Arial"/>
                <w:sz w:val="18"/>
              </w:rPr>
              <w:t>Pedestal belt grinder + extraction base (×8)</w:t>
            </w:r>
          </w:p>
        </w:tc>
        <w:tc>
          <w:tcPr>
            <w:tcW w:type="dxa" w:w="3099"/>
          </w:tcPr>
          <w:p>
            <w:pPr>
              <w:spacing w:before="20" w:after="20"/>
            </w:pPr>
            <w:r>
              <w:rPr>
                <w:rFonts w:ascii="Arial" w:hAnsi="Arial"/>
                <w:sz w:val="18"/>
              </w:rPr>
              <w:t>Market example: Fein GRIT GI75 (75×2 000 mm belt; 4 kW; 415 V; non-ferrous rated)</w:t>
            </w:r>
          </w:p>
        </w:tc>
      </w:tr>
      <w:tr>
        <w:trPr>
          <w:cantSplit/>
        </w:trPr>
        <w:tc>
          <w:tcPr>
            <w:tcW w:type="dxa" w:w="3099"/>
          </w:tcPr>
          <w:p>
            <w:pPr>
              <w:spacing w:before="20" w:after="20"/>
            </w:pPr>
            <w:r>
              <w:rPr>
                <w:rFonts w:ascii="Arial" w:hAnsi="Arial"/>
                <w:sz w:val="18"/>
              </w:rPr>
              <w:t>Bank size</w:t>
            </w:r>
          </w:p>
        </w:tc>
        <w:tc>
          <w:tcPr>
            <w:tcW w:type="dxa" w:w="3099"/>
          </w:tcPr>
          <w:p>
            <w:pPr>
              <w:spacing w:before="20" w:after="20"/>
            </w:pPr>
            <w:r>
              <w:rPr>
                <w:rFonts w:ascii="Arial" w:hAnsi="Arial"/>
                <w:sz w:val="18"/>
              </w:rPr>
              <w:t>8.4 × 6.2 m = 52.1 m²</w:t>
            </w:r>
          </w:p>
        </w:tc>
        <w:tc>
          <w:tcPr>
            <w:tcW w:type="dxa" w:w="3099"/>
          </w:tcPr>
          <w:p>
            <w:pPr>
              <w:spacing w:before="20" w:after="20"/>
            </w:pPr>
            <w:r>
              <w:rPr>
                <w:rFonts w:ascii="Arial" w:hAnsi="Arial"/>
                <w:sz w:val="18"/>
              </w:rPr>
              <w:t>Drawing</w:t>
            </w:r>
          </w:p>
        </w:tc>
      </w:tr>
      <w:tr>
        <w:trPr>
          <w:cantSplit/>
        </w:trPr>
        <w:tc>
          <w:tcPr>
            <w:tcW w:type="dxa" w:w="3099"/>
          </w:tcPr>
          <w:p>
            <w:pPr>
              <w:spacing w:before="20" w:after="20"/>
            </w:pPr>
            <w:r>
              <w:rPr>
                <w:rFonts w:ascii="Arial" w:hAnsi="Arial"/>
                <w:sz w:val="18"/>
              </w:rPr>
              <w:t>Machines / operators</w:t>
            </w:r>
          </w:p>
        </w:tc>
        <w:tc>
          <w:tcPr>
            <w:tcW w:type="dxa" w:w="3099"/>
          </w:tcPr>
          <w:p>
            <w:pPr>
              <w:spacing w:before="20" w:after="20"/>
            </w:pPr>
            <w:r>
              <w:rPr>
                <w:rFonts w:ascii="Arial" w:hAnsi="Arial"/>
                <w:sz w:val="18"/>
              </w:rPr>
              <w:t>8 / 8 (94.7 %)</w:t>
            </w:r>
          </w:p>
        </w:tc>
        <w:tc>
          <w:tcPr>
            <w:tcW w:type="dxa" w:w="3099"/>
          </w:tcPr>
          <w:p>
            <w:pPr>
              <w:spacing w:before="20" w:after="20"/>
            </w:pPr>
            <w:r>
              <w:rPr>
                <w:rFonts w:ascii="Arial" w:hAnsi="Arial"/>
                <w:sz w:val="18"/>
              </w:rPr>
              <w:t>Capacity table</w:t>
            </w:r>
          </w:p>
        </w:tc>
      </w:tr>
      <w:tr>
        <w:trPr>
          <w:cantSplit/>
        </w:trPr>
        <w:tc>
          <w:tcPr>
            <w:tcW w:type="dxa" w:w="3099"/>
          </w:tcPr>
          <w:p>
            <w:pPr>
              <w:spacing w:before="20" w:after="20"/>
            </w:pPr>
            <w:r>
              <w:rPr>
                <w:rFonts w:ascii="Arial" w:hAnsi="Arial"/>
                <w:sz w:val="18"/>
              </w:rPr>
              <w:t>Unit cost</w:t>
            </w:r>
          </w:p>
        </w:tc>
        <w:tc>
          <w:tcPr>
            <w:tcW w:type="dxa" w:w="3099"/>
          </w:tcPr>
          <w:p>
            <w:pPr>
              <w:spacing w:before="20" w:after="20"/>
            </w:pPr>
            <w:r>
              <w:rPr>
                <w:rFonts w:ascii="Arial" w:hAnsi="Arial"/>
                <w:sz w:val="18"/>
              </w:rPr>
              <w:t>≈ R72 800 (£3 293 incl UK VAT @ R22.11/GBP, 10 Jun 2026; excl. shipping/duties)</w:t>
            </w:r>
          </w:p>
        </w:tc>
        <w:tc>
          <w:tcPr>
            <w:tcW w:type="dxa" w:w="3099"/>
          </w:tcPr>
          <w:p>
            <w:pPr>
              <w:spacing w:before="20" w:after="20"/>
            </w:pPr>
            <w:r>
              <w:rPr>
                <w:rFonts w:ascii="Arial" w:hAnsi="Arial"/>
                <w:sz w:val="18"/>
              </w:rPr>
              <w:t>Converted price (Medium)</w:t>
            </w:r>
          </w:p>
        </w:tc>
      </w:tr>
      <w:tr>
        <w:trPr>
          <w:cantSplit/>
        </w:trPr>
        <w:tc>
          <w:tcPr>
            <w:tcW w:type="dxa" w:w="3099"/>
          </w:tcPr>
          <w:p>
            <w:pPr>
              <w:spacing w:before="20" w:after="20"/>
            </w:pPr>
            <w:r>
              <w:rPr>
                <w:rFonts w:ascii="Arial" w:hAnsi="Arial"/>
                <w:sz w:val="18"/>
              </w:rPr>
              <w:t>Bank cost (with serrating, 12 units)</w:t>
            </w:r>
          </w:p>
        </w:tc>
        <w:tc>
          <w:tcPr>
            <w:tcW w:type="dxa" w:w="3099"/>
          </w:tcPr>
          <w:p>
            <w:pPr>
              <w:spacing w:before="20" w:after="20"/>
            </w:pPr>
            <w:r>
              <w:rPr>
                <w:rFonts w:ascii="Arial" w:hAnsi="Arial"/>
                <w:sz w:val="18"/>
              </w:rPr>
              <w:t>≈ R873 600</w:t>
            </w:r>
          </w:p>
        </w:tc>
        <w:tc>
          <w:tcPr>
            <w:tcW w:type="dxa" w:w="3099"/>
          </w:tcPr>
          <w:p>
            <w:pPr>
              <w:spacing w:before="20" w:after="20"/>
            </w:pPr>
            <w:r>
              <w:rPr>
                <w:rFonts w:ascii="Arial" w:hAnsi="Arial"/>
                <w:sz w:val="18"/>
              </w:rPr>
              <w:t>Converted price (Medium)</w:t>
            </w:r>
          </w:p>
        </w:tc>
      </w:tr>
    </w:tbl>
    <w:p/>
    <w:p>
      <w:pPr>
        <w:keepNext/>
        <w:jc w:val="center"/>
        <w:pBdr>
          <w:top w:val="dashed" w:sz="8" w:color="C00000" w:space="6"/>
          <w:left w:val="dashed" w:sz="8" w:color="C00000" w:space="6"/>
          <w:bottom w:val="dashed" w:sz="8" w:color="C00000" w:space="6"/>
          <w:right w:val="dashed" w:sz="8" w:color="C00000" w:space="6"/>
        </w:pBdr>
      </w:pPr>
      <w:r>
        <w:rPr>
          <w:i/>
          <w:color w:val="804000"/>
        </w:rPr>
        <w:t>[ INSERT FIGURE 16 — machine photo (open link, screenshot/redraw) ]</w:t>
      </w:r>
    </w:p>
    <w:p>
      <w:pPr>
        <w:pStyle w:val="FigCap"/>
      </w:pPr>
      <w:r>
        <w:t>Figure 16: Abrasive belt grinder with extraction base. Market example for sizing and illustration only — redraw or insert supplier image with permission.</w:t>
      </w:r>
    </w:p>
    <w:p>
      <w:pPr>
        <w:pStyle w:val="LnkLine"/>
      </w:pPr>
      <w:r>
        <w:rPr>
          <w:sz w:val="18"/>
        </w:rPr>
        <w:t xml:space="preserve">Open source page: </w:t>
      </w:r>
      <w:hyperlink r:id="rId23">
        <w:r>
          <w:rPr>
            <w:color w:val="0563C1"/>
            <w:u w:val="single"/>
            <w:sz w:val="18"/>
            <w:rFonts w:ascii="Arial" w:hAnsi="Arial"/>
          </w:rPr>
          <w:t>https://www.echopkins.com/shop/fabrication/large-abrasive-machines/belt-grinders/pedestal/fein-gi75-abrasive-belt-grinder/</w:t>
        </w:r>
      </w:hyperlink>
    </w:p>
    <w:p>
      <w:r/>
      <w:r>
        <w:rPr>
          <w:b/>
        </w:rPr>
        <w:t>Workstation.</w:t>
      </w:r>
      <w:r>
        <w:t xml:space="preserve"> Workpieces present to the belt at chest height with anti-fatigue mats and task lighting. Grinding aluminium creates combustible dust: each row connects to a dedicated extraction trunk and collector (combustible-metals practice, e.g. NFPA 484 — local equivalent to be confirmed), never mixed with spark sources. The bank is the plant’s dominant noise zone and is acoustically zoned away from assembly and offices.</w:t>
      </w:r>
    </w:p>
    <w:p>
      <w:pPr>
        <w:keepNext/>
        <w:jc w:val="center"/>
      </w:pPr>
      <w:r>
        <w:drawing>
          <wp:inline xmlns:a="http://schemas.openxmlformats.org/drawingml/2006/main" xmlns:pic="http://schemas.openxmlformats.org/drawingml/2006/picture">
            <wp:extent cx="5580000" cy="5494716"/>
            <wp:docPr id="8" name="Picture 8"/>
            <wp:cNvGraphicFramePr>
              <a:graphicFrameLocks noChangeAspect="1"/>
            </wp:cNvGraphicFramePr>
            <a:graphic>
              <a:graphicData uri="http://schemas.openxmlformats.org/drawingml/2006/picture">
                <pic:pic>
                  <pic:nvPicPr>
                    <pic:cNvPr id="0" name="C08_sharpening_bank.png"/>
                    <pic:cNvPicPr/>
                  </pic:nvPicPr>
                  <pic:blipFill>
                    <a:blip r:embed="rId24"/>
                    <a:stretch>
                      <a:fillRect/>
                    </a:stretch>
                  </pic:blipFill>
                  <pic:spPr>
                    <a:xfrm>
                      <a:off x="0" y="0"/>
                      <a:ext cx="5580000" cy="5494716"/>
                    </a:xfrm>
                    <a:prstGeom prst="rect"/>
                  </pic:spPr>
                </pic:pic>
              </a:graphicData>
            </a:graphic>
          </wp:inline>
        </w:drawing>
      </w:r>
    </w:p>
    <w:p>
      <w:pPr>
        <w:pStyle w:val="FigCap"/>
      </w:pPr>
      <w:r>
        <w:t>Figure 17: Blade-sharpening bank — two facing rows of four grinders, rear extraction trunks, operator rows and central milk-run WIP lane (Author’s own.)</w:t>
      </w:r>
    </w:p>
    <w:p>
      <w:r/>
      <w:r>
        <w:rPr>
          <w:b/>
        </w:rPr>
        <w:t>Material handling.</w:t>
      </w:r>
      <w:r>
        <w:t xml:space="preserve"> The central WIP lane is milk-run fed hourly — at 94.7 % the operators never leave the row; the buffer holds several hours of supply because lost bottleneck time cannot be recovered within the shift.</w:t>
      </w:r>
    </w:p>
    <w:p>
      <w:pPr>
        <w:pStyle w:val="Heading3"/>
      </w:pPr>
      <w:r>
        <w:t>6.4.8 Blade Serrating and Hand Polishing</w:t>
      </w:r>
    </w:p>
    <w:p>
      <w:r/>
      <w:r>
        <w:rPr>
          <w:b/>
        </w:rPr>
        <w:t>Process.</w:t>
      </w:r>
      <w:r>
        <w:t xml:space="preserve"> Serration (60 s) follows in-line at four stations; after heat treatment and blasting, hand polishing/deburring (60 s) at four benches removes residue and prepares the surface for coating — both at 94.7 %.</w:t>
      </w:r>
    </w:p>
    <w:p>
      <w:pPr>
        <w:pStyle w:val="TblCap"/>
      </w:pPr>
      <w:r>
        <w:t>Table 12: Blade Serrating and Hand Polishing — machine and workstation specifications</w:t>
      </w:r>
    </w:p>
    <w:tbl>
      <w:tblPr>
        <w:tblW w:type="auto" w:w="0"/>
        <w:tblLook w:firstColumn="1" w:firstRow="1" w:lastColumn="0" w:lastRow="0" w:noHBand="0" w:noVBand="1" w:val="04A0"/>
        <w:tblBorders>
          <w:top w:val="single" w:sz="4" w:color="7F7F7F"/>
          <w:left w:val="single" w:sz="4" w:color="7F7F7F"/>
          <w:bottom w:val="single" w:sz="4" w:color="7F7F7F"/>
          <w:right w:val="single" w:sz="4" w:color="7F7F7F"/>
          <w:insideH w:val="single" w:sz="4" w:color="7F7F7F"/>
          <w:insideV w:val="single" w:sz="4" w:color="7F7F7F"/>
        </w:tblBorders>
        <w:tblW w:w="5000" w:type="pct"/>
      </w:tblPr>
      <w:tblGrid>
        <w:gridCol w:w="3099"/>
        <w:gridCol w:w="3099"/>
        <w:gridCol w:w="3099"/>
      </w:tblGrid>
      <w:tr>
        <w:trPr>
          <w:cantSplit/>
          <w:tblHeader w:val="true"/>
        </w:trPr>
        <w:tc>
          <w:tcPr>
            <w:tcW w:type="dxa" w:w="3099"/>
            <w:shd w:val="clear" w:fill="E7E6E6"/>
          </w:tcPr>
          <w:p>
            <w:pPr>
              <w:spacing w:before="20" w:after="20"/>
            </w:pPr>
            <w:r>
              <w:rPr>
                <w:rFonts w:ascii="Arial" w:hAnsi="Arial"/>
                <w:b/>
                <w:sz w:val="18"/>
              </w:rPr>
              <w:t>Specification</w:t>
            </w:r>
          </w:p>
        </w:tc>
        <w:tc>
          <w:tcPr>
            <w:tcW w:type="dxa" w:w="3099"/>
            <w:shd w:val="clear" w:fill="E7E6E6"/>
          </w:tcPr>
          <w:p>
            <w:pPr>
              <w:spacing w:before="20" w:after="20"/>
            </w:pPr>
            <w:r>
              <w:rPr>
                <w:rFonts w:ascii="Arial" w:hAnsi="Arial"/>
                <w:b/>
                <w:sz w:val="18"/>
              </w:rPr>
              <w:t>Value</w:t>
            </w:r>
          </w:p>
        </w:tc>
        <w:tc>
          <w:tcPr>
            <w:tcW w:type="dxa" w:w="3099"/>
            <w:shd w:val="clear" w:fill="E7E6E6"/>
          </w:tcPr>
          <w:p>
            <w:pPr>
              <w:spacing w:before="20" w:after="20"/>
            </w:pPr>
            <w:r>
              <w:rPr>
                <w:rFonts w:ascii="Arial" w:hAnsi="Arial"/>
                <w:b/>
                <w:sz w:val="18"/>
              </w:rPr>
              <w:t>Basis</w:t>
            </w:r>
          </w:p>
        </w:tc>
      </w:tr>
      <w:tr>
        <w:trPr>
          <w:cantSplit/>
        </w:trPr>
        <w:tc>
          <w:tcPr>
            <w:tcW w:type="dxa" w:w="3099"/>
          </w:tcPr>
          <w:p>
            <w:pPr>
              <w:spacing w:before="20" w:after="20"/>
            </w:pPr>
            <w:r>
              <w:rPr>
                <w:rFonts w:ascii="Arial" w:hAnsi="Arial"/>
                <w:sz w:val="18"/>
              </w:rPr>
              <w:t>Equipment</w:t>
            </w:r>
          </w:p>
        </w:tc>
        <w:tc>
          <w:tcPr>
            <w:tcW w:type="dxa" w:w="3099"/>
          </w:tcPr>
          <w:p>
            <w:pPr>
              <w:spacing w:before="20" w:after="20"/>
            </w:pPr>
            <w:r>
              <w:rPr>
                <w:rFonts w:ascii="Arial" w:hAnsi="Arial"/>
                <w:sz w:val="18"/>
              </w:rPr>
              <w:t>Profiled abrasive stations (grinder class as 6.4.7); polishing benches (fabricated)</w:t>
            </w:r>
          </w:p>
        </w:tc>
        <w:tc>
          <w:tcPr>
            <w:tcW w:type="dxa" w:w="3099"/>
          </w:tcPr>
          <w:p>
            <w:pPr>
              <w:spacing w:before="20" w:after="20"/>
            </w:pPr>
            <w:r>
              <w:rPr>
                <w:rFonts w:ascii="Arial" w:hAnsi="Arial"/>
                <w:sz w:val="18"/>
              </w:rPr>
              <w:t>Bank homogeneity; notcher alternative (Euromac VA Multi 220/6R: 6.5 mm; 50–80 spm) at quotation trial</w:t>
            </w:r>
          </w:p>
        </w:tc>
      </w:tr>
      <w:tr>
        <w:trPr>
          <w:cantSplit/>
        </w:trPr>
        <w:tc>
          <w:tcPr>
            <w:tcW w:type="dxa" w:w="3099"/>
          </w:tcPr>
          <w:p>
            <w:pPr>
              <w:spacing w:before="20" w:after="20"/>
            </w:pPr>
            <w:r>
              <w:rPr>
                <w:rFonts w:ascii="Arial" w:hAnsi="Arial"/>
                <w:sz w:val="18"/>
              </w:rPr>
              <w:t>Rows</w:t>
            </w:r>
          </w:p>
        </w:tc>
        <w:tc>
          <w:tcPr>
            <w:tcW w:type="dxa" w:w="3099"/>
          </w:tcPr>
          <w:p>
            <w:pPr>
              <w:spacing w:before="20" w:after="20"/>
            </w:pPr>
            <w:r>
              <w:rPr>
                <w:rFonts w:ascii="Arial" w:hAnsi="Arial"/>
                <w:sz w:val="18"/>
              </w:rPr>
              <w:t>26.9 m² + 26.0 m²</w:t>
            </w:r>
          </w:p>
        </w:tc>
        <w:tc>
          <w:tcPr>
            <w:tcW w:type="dxa" w:w="3099"/>
          </w:tcPr>
          <w:p>
            <w:pPr>
              <w:spacing w:before="20" w:after="20"/>
            </w:pPr>
            <w:r>
              <w:rPr>
                <w:rFonts w:ascii="Arial" w:hAnsi="Arial"/>
                <w:sz w:val="18"/>
              </w:rPr>
              <w:t>Drawings</w:t>
            </w:r>
          </w:p>
        </w:tc>
      </w:tr>
      <w:tr>
        <w:trPr>
          <w:cantSplit/>
        </w:trPr>
        <w:tc>
          <w:tcPr>
            <w:tcW w:type="dxa" w:w="3099"/>
          </w:tcPr>
          <w:p>
            <w:pPr>
              <w:spacing w:before="20" w:after="20"/>
            </w:pPr>
            <w:r>
              <w:rPr>
                <w:rFonts w:ascii="Arial" w:hAnsi="Arial"/>
                <w:sz w:val="18"/>
              </w:rPr>
              <w:t>Stations / operators</w:t>
            </w:r>
          </w:p>
        </w:tc>
        <w:tc>
          <w:tcPr>
            <w:tcW w:type="dxa" w:w="3099"/>
          </w:tcPr>
          <w:p>
            <w:pPr>
              <w:spacing w:before="20" w:after="20"/>
            </w:pPr>
            <w:r>
              <w:rPr>
                <w:rFonts w:ascii="Arial" w:hAnsi="Arial"/>
                <w:sz w:val="18"/>
              </w:rPr>
              <w:t>4 + 4 / 4 + 4 (94.7 %)</w:t>
            </w:r>
          </w:p>
        </w:tc>
        <w:tc>
          <w:tcPr>
            <w:tcW w:type="dxa" w:w="3099"/>
          </w:tcPr>
          <w:p>
            <w:pPr>
              <w:spacing w:before="20" w:after="20"/>
            </w:pPr>
            <w:r>
              <w:rPr>
                <w:rFonts w:ascii="Arial" w:hAnsi="Arial"/>
                <w:sz w:val="18"/>
              </w:rPr>
              <w:t>Capacity table</w:t>
            </w:r>
          </w:p>
        </w:tc>
      </w:tr>
      <w:tr>
        <w:trPr>
          <w:cantSplit/>
        </w:trPr>
        <w:tc>
          <w:tcPr>
            <w:tcW w:type="dxa" w:w="3099"/>
          </w:tcPr>
          <w:p>
            <w:pPr>
              <w:spacing w:before="20" w:after="20"/>
            </w:pPr>
            <w:r>
              <w:rPr>
                <w:rFonts w:ascii="Arial" w:hAnsi="Arial"/>
                <w:sz w:val="18"/>
              </w:rPr>
              <w:t>Cost</w:t>
            </w:r>
          </w:p>
        </w:tc>
        <w:tc>
          <w:tcPr>
            <w:tcW w:type="dxa" w:w="3099"/>
          </w:tcPr>
          <w:p>
            <w:pPr>
              <w:spacing w:before="20" w:after="20"/>
            </w:pPr>
            <w:r>
              <w:rPr>
                <w:rFonts w:ascii="Arial" w:hAnsi="Arial"/>
                <w:sz w:val="18"/>
              </w:rPr>
              <w:t>Serrating in grinder subtotal; benches: fabrication quote (Low)</w:t>
            </w:r>
          </w:p>
        </w:tc>
        <w:tc>
          <w:tcPr>
            <w:tcW w:type="dxa" w:w="3099"/>
          </w:tcPr>
          <w:p>
            <w:pPr>
              <w:spacing w:before="20" w:after="20"/>
            </w:pPr>
            <w:r>
              <w:rPr>
                <w:rFonts w:ascii="Arial" w:hAnsi="Arial"/>
                <w:sz w:val="18"/>
              </w:rPr>
            </w:r>
          </w:p>
        </w:tc>
      </w:tr>
    </w:tbl>
    <w:p/>
    <w:p>
      <w:pPr>
        <w:keepNext/>
        <w:jc w:val="center"/>
        <w:pBdr>
          <w:top w:val="dashed" w:sz="8" w:color="C00000" w:space="6"/>
          <w:left w:val="dashed" w:sz="8" w:color="C00000" w:space="6"/>
          <w:bottom w:val="dashed" w:sz="8" w:color="C00000" w:space="6"/>
          <w:right w:val="dashed" w:sz="8" w:color="C00000" w:space="6"/>
        </w:pBdr>
      </w:pPr>
      <w:r>
        <w:rPr>
          <w:i/>
          <w:color w:val="804000"/>
        </w:rPr>
        <w:t>[ INSERT FIGURE 18 — machine photo (open link, screenshot/redraw) ]</w:t>
      </w:r>
    </w:p>
    <w:p>
      <w:pPr>
        <w:pStyle w:val="FigCap"/>
      </w:pPr>
      <w:r>
        <w:t>Figure 18: Hydraulic notching machine (serration alternative). Market example for sizing and illustration only — redraw or insert supplier image with permission.</w:t>
      </w:r>
    </w:p>
    <w:p>
      <w:pPr>
        <w:pStyle w:val="LnkLine"/>
      </w:pPr>
      <w:r>
        <w:rPr>
          <w:sz w:val="18"/>
        </w:rPr>
        <w:t xml:space="preserve">Open source page: </w:t>
      </w:r>
      <w:hyperlink r:id="rId25">
        <w:r>
          <w:rPr>
            <w:color w:val="0563C1"/>
            <w:u w:val="single"/>
            <w:sz w:val="18"/>
            <w:rFonts w:ascii="Arial" w:hAnsi="Arial"/>
          </w:rPr>
          <w:t>https://www.cotswold-machinery-sales.co.uk/euromac-bending-machines/notching-machines/va-multi-220-6r-notching-machine/</w:t>
        </w:r>
      </w:hyperlink>
    </w:p>
    <w:p>
      <w:r/>
      <w:r>
        <w:rPr>
          <w:b/>
        </w:rPr>
        <w:t>Workstation.</w:t>
      </w:r>
      <w:r>
        <w:t xml:space="preserve"> Same combustible-dust and noise regime as sharpening; polishing adds inspection-grade lighting and acts as the de facto pre-coat surface check, anchoring the boundary to the coating enclosure.</w:t>
      </w:r>
    </w:p>
    <w:p>
      <w:pPr>
        <w:keepNext/>
        <w:jc w:val="center"/>
      </w:pPr>
      <w:r>
        <w:drawing>
          <wp:inline xmlns:a="http://schemas.openxmlformats.org/drawingml/2006/main" xmlns:pic="http://schemas.openxmlformats.org/drawingml/2006/picture">
            <wp:extent cx="5580000" cy="3886507"/>
            <wp:docPr id="9" name="Picture 9"/>
            <wp:cNvGraphicFramePr>
              <a:graphicFrameLocks noChangeAspect="1"/>
            </wp:cNvGraphicFramePr>
            <a:graphic>
              <a:graphicData uri="http://schemas.openxmlformats.org/drawingml/2006/picture">
                <pic:pic>
                  <pic:nvPicPr>
                    <pic:cNvPr id="0" name="C09_serrating_row.png"/>
                    <pic:cNvPicPr/>
                  </pic:nvPicPr>
                  <pic:blipFill>
                    <a:blip r:embed="rId26"/>
                    <a:stretch>
                      <a:fillRect/>
                    </a:stretch>
                  </pic:blipFill>
                  <pic:spPr>
                    <a:xfrm>
                      <a:off x="0" y="0"/>
                      <a:ext cx="5580000" cy="3886507"/>
                    </a:xfrm>
                    <a:prstGeom prst="rect"/>
                  </pic:spPr>
                </pic:pic>
              </a:graphicData>
            </a:graphic>
          </wp:inline>
        </w:drawing>
      </w:r>
    </w:p>
    <w:p>
      <w:pPr>
        <w:pStyle w:val="FigCap"/>
      </w:pPr>
      <w:r>
        <w:t>Figure 19: Blade-serrating row — in-line continuation of the sharpening lane (no trolley transfer in) (Author’s own.)</w:t>
      </w:r>
    </w:p>
    <w:p>
      <w:r/>
      <w:r>
        <w:rPr>
          <w:b/>
        </w:rPr>
        <w:t>Material handling.</w:t>
      </w:r>
      <w:r>
        <w:t xml:space="preserve"> Direct bin transfer from sharpening; polished subassemblies leave by trolley to powder-coat staging on a short clean route.</w:t>
      </w:r>
    </w:p>
    <w:p>
      <w:pPr>
        <w:keepNext/>
        <w:jc w:val="center"/>
      </w:pPr>
      <w:r>
        <w:drawing>
          <wp:inline xmlns:a="http://schemas.openxmlformats.org/drawingml/2006/main" xmlns:pic="http://schemas.openxmlformats.org/drawingml/2006/picture">
            <wp:extent cx="5580000" cy="3825589"/>
            <wp:docPr id="10" name="Picture 10"/>
            <wp:cNvGraphicFramePr>
              <a:graphicFrameLocks noChangeAspect="1"/>
            </wp:cNvGraphicFramePr>
            <a:graphic>
              <a:graphicData uri="http://schemas.openxmlformats.org/drawingml/2006/picture">
                <pic:pic>
                  <pic:nvPicPr>
                    <pic:cNvPr id="0" name="C13_polishing_row.png"/>
                    <pic:cNvPicPr/>
                  </pic:nvPicPr>
                  <pic:blipFill>
                    <a:blip r:embed="rId27"/>
                    <a:stretch>
                      <a:fillRect/>
                    </a:stretch>
                  </pic:blipFill>
                  <pic:spPr>
                    <a:xfrm>
                      <a:off x="0" y="0"/>
                      <a:ext cx="5580000" cy="3825589"/>
                    </a:xfrm>
                    <a:prstGeom prst="rect"/>
                  </pic:spPr>
                </pic:pic>
              </a:graphicData>
            </a:graphic>
          </wp:inline>
        </w:drawing>
      </w:r>
    </w:p>
    <w:p>
      <w:pPr>
        <w:pStyle w:val="FigCap"/>
      </w:pPr>
      <w:r>
        <w:t>Figure 20: Hand polishing/deburring benches — bench extraction and inspection lighting (Author’s own.)</w:t>
      </w:r>
    </w:p>
    <w:p>
      <w:pPr>
        <w:pStyle w:val="Heading3"/>
      </w:pPr>
      <w:r>
        <w:t>6.4.9 Riveting — convergence of the sheet parts</w:t>
      </w:r>
    </w:p>
    <w:p>
      <w:r/>
      <w:r>
        <w:rPr>
          <w:b/>
        </w:rPr>
        <w:t>Process.</w:t>
      </w:r>
      <w:r>
        <w:t xml:space="preserve"> The bent hinge is riveted to the serrated head at 5 s/shovel (1 819/day), creating the head subassembly. Radial forming was selected over direct pressing because its rolling action forms the rivet at a fraction of the force, protecting the thin 2.5 mm joint — the hinge must still pivot freely.</w:t>
      </w:r>
    </w:p>
    <w:p>
      <w:pPr>
        <w:pStyle w:val="TblCap"/>
      </w:pPr>
      <w:r>
        <w:t>Table 13: Riveting — convergence of the sheet parts — machine and workstation specifications</w:t>
      </w:r>
    </w:p>
    <w:tbl>
      <w:tblPr>
        <w:tblW w:type="auto" w:w="0"/>
        <w:tblLook w:firstColumn="1" w:firstRow="1" w:lastColumn="0" w:lastRow="0" w:noHBand="0" w:noVBand="1" w:val="04A0"/>
        <w:tblBorders>
          <w:top w:val="single" w:sz="4" w:color="7F7F7F"/>
          <w:left w:val="single" w:sz="4" w:color="7F7F7F"/>
          <w:bottom w:val="single" w:sz="4" w:color="7F7F7F"/>
          <w:right w:val="single" w:sz="4" w:color="7F7F7F"/>
          <w:insideH w:val="single" w:sz="4" w:color="7F7F7F"/>
          <w:insideV w:val="single" w:sz="4" w:color="7F7F7F"/>
        </w:tblBorders>
        <w:tblW w:w="5000" w:type="pct"/>
      </w:tblPr>
      <w:tblGrid>
        <w:gridCol w:w="3099"/>
        <w:gridCol w:w="3099"/>
        <w:gridCol w:w="3099"/>
      </w:tblGrid>
      <w:tr>
        <w:trPr>
          <w:cantSplit/>
          <w:tblHeader w:val="true"/>
        </w:trPr>
        <w:tc>
          <w:tcPr>
            <w:tcW w:type="dxa" w:w="3099"/>
            <w:shd w:val="clear" w:fill="E7E6E6"/>
          </w:tcPr>
          <w:p>
            <w:pPr>
              <w:spacing w:before="20" w:after="20"/>
            </w:pPr>
            <w:r>
              <w:rPr>
                <w:rFonts w:ascii="Arial" w:hAnsi="Arial"/>
                <w:b/>
                <w:sz w:val="18"/>
              </w:rPr>
              <w:t>Specification</w:t>
            </w:r>
          </w:p>
        </w:tc>
        <w:tc>
          <w:tcPr>
            <w:tcW w:type="dxa" w:w="3099"/>
            <w:shd w:val="clear" w:fill="E7E6E6"/>
          </w:tcPr>
          <w:p>
            <w:pPr>
              <w:spacing w:before="20" w:after="20"/>
            </w:pPr>
            <w:r>
              <w:rPr>
                <w:rFonts w:ascii="Arial" w:hAnsi="Arial"/>
                <w:b/>
                <w:sz w:val="18"/>
              </w:rPr>
              <w:t>Value</w:t>
            </w:r>
          </w:p>
        </w:tc>
        <w:tc>
          <w:tcPr>
            <w:tcW w:type="dxa" w:w="3099"/>
            <w:shd w:val="clear" w:fill="E7E6E6"/>
          </w:tcPr>
          <w:p>
            <w:pPr>
              <w:spacing w:before="20" w:after="20"/>
            </w:pPr>
            <w:r>
              <w:rPr>
                <w:rFonts w:ascii="Arial" w:hAnsi="Arial"/>
                <w:b/>
                <w:sz w:val="18"/>
              </w:rPr>
              <w:t>Basis</w:t>
            </w:r>
          </w:p>
        </w:tc>
      </w:tr>
      <w:tr>
        <w:trPr>
          <w:cantSplit/>
        </w:trPr>
        <w:tc>
          <w:tcPr>
            <w:tcW w:type="dxa" w:w="3099"/>
          </w:tcPr>
          <w:p>
            <w:pPr>
              <w:spacing w:before="20" w:after="20"/>
            </w:pPr>
            <w:r>
              <w:rPr>
                <w:rFonts w:ascii="Arial" w:hAnsi="Arial"/>
                <w:sz w:val="18"/>
              </w:rPr>
              <w:t>Equipment</w:t>
            </w:r>
          </w:p>
        </w:tc>
        <w:tc>
          <w:tcPr>
            <w:tcW w:type="dxa" w:w="3099"/>
          </w:tcPr>
          <w:p>
            <w:pPr>
              <w:spacing w:before="20" w:after="20"/>
            </w:pPr>
            <w:r>
              <w:rPr>
                <w:rFonts w:ascii="Arial" w:hAnsi="Arial"/>
                <w:sz w:val="18"/>
              </w:rPr>
              <w:t>Pneumatic radial riveting machine</w:t>
            </w:r>
          </w:p>
        </w:tc>
        <w:tc>
          <w:tcPr>
            <w:tcW w:type="dxa" w:w="3099"/>
          </w:tcPr>
          <w:p>
            <w:pPr>
              <w:spacing w:before="20" w:after="20"/>
            </w:pPr>
            <w:r>
              <w:rPr>
                <w:rFonts w:ascii="Arial" w:hAnsi="Arial"/>
                <w:sz w:val="18"/>
              </w:rPr>
              <w:t>Market class: AGME RA (two-hand control; data sheets published)</w:t>
            </w:r>
          </w:p>
        </w:tc>
      </w:tr>
      <w:tr>
        <w:trPr>
          <w:cantSplit/>
        </w:trPr>
        <w:tc>
          <w:tcPr>
            <w:tcW w:type="dxa" w:w="3099"/>
          </w:tcPr>
          <w:p>
            <w:pPr>
              <w:spacing w:before="20" w:after="20"/>
            </w:pPr>
            <w:r>
              <w:rPr>
                <w:rFonts w:ascii="Arial" w:hAnsi="Arial"/>
                <w:sz w:val="18"/>
              </w:rPr>
              <w:t>Cell size</w:t>
            </w:r>
          </w:p>
        </w:tc>
        <w:tc>
          <w:tcPr>
            <w:tcW w:type="dxa" w:w="3099"/>
          </w:tcPr>
          <w:p>
            <w:pPr>
              <w:spacing w:before="20" w:after="20"/>
            </w:pPr>
            <w:r>
              <w:rPr>
                <w:rFonts w:ascii="Arial" w:hAnsi="Arial"/>
                <w:sz w:val="18"/>
              </w:rPr>
              <w:t>3.7 × 2.6 m = 9.6 m²</w:t>
            </w:r>
          </w:p>
        </w:tc>
        <w:tc>
          <w:tcPr>
            <w:tcW w:type="dxa" w:w="3099"/>
          </w:tcPr>
          <w:p>
            <w:pPr>
              <w:spacing w:before="20" w:after="20"/>
            </w:pPr>
            <w:r>
              <w:rPr>
                <w:rFonts w:ascii="Arial" w:hAnsi="Arial"/>
                <w:sz w:val="18"/>
              </w:rPr>
              <w:t>Drawing</w:t>
            </w:r>
          </w:p>
        </w:tc>
      </w:tr>
      <w:tr>
        <w:trPr>
          <w:cantSplit/>
        </w:trPr>
        <w:tc>
          <w:tcPr>
            <w:tcW w:type="dxa" w:w="3099"/>
          </w:tcPr>
          <w:p>
            <w:pPr>
              <w:spacing w:before="20" w:after="20"/>
            </w:pPr>
            <w:r>
              <w:rPr>
                <w:rFonts w:ascii="Arial" w:hAnsi="Arial"/>
                <w:sz w:val="18"/>
              </w:rPr>
              <w:t>Machines / operators</w:t>
            </w:r>
          </w:p>
        </w:tc>
        <w:tc>
          <w:tcPr>
            <w:tcW w:type="dxa" w:w="3099"/>
          </w:tcPr>
          <w:p>
            <w:pPr>
              <w:spacing w:before="20" w:after="20"/>
            </w:pPr>
            <w:r>
              <w:rPr>
                <w:rFonts w:ascii="Arial" w:hAnsi="Arial"/>
                <w:sz w:val="18"/>
              </w:rPr>
              <w:t>1 / 1 (31.6 %)</w:t>
            </w:r>
          </w:p>
        </w:tc>
        <w:tc>
          <w:tcPr>
            <w:tcW w:type="dxa" w:w="3099"/>
          </w:tcPr>
          <w:p>
            <w:pPr>
              <w:spacing w:before="20" w:after="20"/>
            </w:pPr>
            <w:r>
              <w:rPr>
                <w:rFonts w:ascii="Arial" w:hAnsi="Arial"/>
                <w:sz w:val="18"/>
              </w:rPr>
              <w:t>Capacity table</w:t>
            </w:r>
          </w:p>
        </w:tc>
      </w:tr>
      <w:tr>
        <w:trPr>
          <w:cantSplit/>
        </w:trPr>
        <w:tc>
          <w:tcPr>
            <w:tcW w:type="dxa" w:w="3099"/>
          </w:tcPr>
          <w:p>
            <w:pPr>
              <w:spacing w:before="20" w:after="20"/>
            </w:pPr>
            <w:r>
              <w:rPr>
                <w:rFonts w:ascii="Arial" w:hAnsi="Arial"/>
                <w:sz w:val="18"/>
              </w:rPr>
              <w:t>Rivets</w:t>
            </w:r>
          </w:p>
        </w:tc>
        <w:tc>
          <w:tcPr>
            <w:tcW w:type="dxa" w:w="3099"/>
          </w:tcPr>
          <w:p>
            <w:pPr>
              <w:spacing w:before="20" w:after="20"/>
            </w:pPr>
            <w:r>
              <w:rPr>
                <w:rFonts w:ascii="Arial" w:hAnsi="Arial"/>
                <w:sz w:val="18"/>
              </w:rPr>
              <w:t>2/shovel assumed; 5 s coverage [VERIFY]</w:t>
            </w:r>
          </w:p>
        </w:tc>
        <w:tc>
          <w:tcPr>
            <w:tcW w:type="dxa" w:w="3099"/>
          </w:tcPr>
          <w:p>
            <w:pPr>
              <w:spacing w:before="20" w:after="20"/>
            </w:pPr>
            <w:r>
              <w:rPr>
                <w:rFonts w:ascii="Arial" w:hAnsi="Arial"/>
                <w:sz w:val="18"/>
              </w:rPr>
              <w:t>Product engineering</w:t>
            </w:r>
          </w:p>
        </w:tc>
      </w:tr>
      <w:tr>
        <w:trPr>
          <w:cantSplit/>
        </w:trPr>
        <w:tc>
          <w:tcPr>
            <w:tcW w:type="dxa" w:w="3099"/>
          </w:tcPr>
          <w:p>
            <w:pPr>
              <w:spacing w:before="20" w:after="20"/>
            </w:pPr>
            <w:r>
              <w:rPr>
                <w:rFonts w:ascii="Arial" w:hAnsi="Arial"/>
                <w:sz w:val="18"/>
              </w:rPr>
              <w:t>Cost</w:t>
            </w:r>
          </w:p>
        </w:tc>
        <w:tc>
          <w:tcPr>
            <w:tcW w:type="dxa" w:w="3099"/>
          </w:tcPr>
          <w:p>
            <w:pPr>
              <w:spacing w:before="20" w:after="20"/>
            </w:pPr>
            <w:r>
              <w:rPr>
                <w:rFonts w:ascii="Arial" w:hAnsi="Arial"/>
                <w:sz w:val="18"/>
              </w:rPr>
              <w:t>Quotation required (Low)</w:t>
            </w:r>
          </w:p>
        </w:tc>
        <w:tc>
          <w:tcPr>
            <w:tcW w:type="dxa" w:w="3099"/>
          </w:tcPr>
          <w:p>
            <w:pPr>
              <w:spacing w:before="20" w:after="20"/>
            </w:pPr>
            <w:r>
              <w:rPr>
                <w:rFonts w:ascii="Arial" w:hAnsi="Arial"/>
                <w:sz w:val="18"/>
              </w:rPr>
              <w:t>Model per rivet spec</w:t>
            </w:r>
          </w:p>
        </w:tc>
      </w:tr>
    </w:tbl>
    <w:p/>
    <w:p>
      <w:pPr>
        <w:keepNext/>
        <w:jc w:val="center"/>
        <w:pBdr>
          <w:top w:val="dashed" w:sz="8" w:color="C00000" w:space="6"/>
          <w:left w:val="dashed" w:sz="8" w:color="C00000" w:space="6"/>
          <w:bottom w:val="dashed" w:sz="8" w:color="C00000" w:space="6"/>
          <w:right w:val="dashed" w:sz="8" w:color="C00000" w:space="6"/>
        </w:pBdr>
      </w:pPr>
      <w:r>
        <w:rPr>
          <w:i/>
          <w:color w:val="804000"/>
        </w:rPr>
        <w:t>[ INSERT FIGURE 21 — machine photo (open link, screenshot/redraw) ]</w:t>
      </w:r>
    </w:p>
    <w:p>
      <w:pPr>
        <w:pStyle w:val="FigCap"/>
      </w:pPr>
      <w:r>
        <w:t>Figure 21: Radial riveting machine. Market example for sizing and illustration only — redraw or insert supplier image with permission.</w:t>
      </w:r>
    </w:p>
    <w:p>
      <w:pPr>
        <w:pStyle w:val="LnkLine"/>
      </w:pPr>
      <w:r>
        <w:rPr>
          <w:sz w:val="18"/>
        </w:rPr>
        <w:t xml:space="preserve">Open source page: </w:t>
      </w:r>
      <w:hyperlink r:id="rId28">
        <w:r>
          <w:rPr>
            <w:color w:val="0563C1"/>
            <w:u w:val="single"/>
            <w:sz w:val="18"/>
            <w:rFonts w:ascii="Arial" w:hAnsi="Arial"/>
          </w:rPr>
          <w:t>https://www.agme.net/en/riveting-machines/radial-riveting-machines</w:t>
        </w:r>
      </w:hyperlink>
    </w:p>
    <w:p>
      <w:r/>
      <w:r>
        <w:rPr>
          <w:b/>
        </w:rPr>
        <w:t>Workstation.</w:t>
      </w:r>
      <w:r>
        <w:t xml:space="preserve"> The first station where two part flows must arrive in matched quantities: both buffers carry visual min/max levels. Two-hand control enforces hands-clear forming; compressed-air drop and alignment task light at the bench.</w:t>
      </w:r>
    </w:p>
    <w:p>
      <w:pPr>
        <w:keepNext/>
        <w:jc w:val="center"/>
      </w:pPr>
      <w:r>
        <w:drawing>
          <wp:inline xmlns:a="http://schemas.openxmlformats.org/drawingml/2006/main" xmlns:pic="http://schemas.openxmlformats.org/drawingml/2006/picture">
            <wp:extent cx="5580000" cy="6491474"/>
            <wp:docPr id="11" name="Picture 11"/>
            <wp:cNvGraphicFramePr>
              <a:graphicFrameLocks noChangeAspect="1"/>
            </wp:cNvGraphicFramePr>
            <a:graphic>
              <a:graphicData uri="http://schemas.openxmlformats.org/drawingml/2006/picture">
                <pic:pic>
                  <pic:nvPicPr>
                    <pic:cNvPr id="0" name="C10_riveting.png"/>
                    <pic:cNvPicPr/>
                  </pic:nvPicPr>
                  <pic:blipFill>
                    <a:blip r:embed="rId29"/>
                    <a:stretch>
                      <a:fillRect/>
                    </a:stretch>
                  </pic:blipFill>
                  <pic:spPr>
                    <a:xfrm>
                      <a:off x="0" y="0"/>
                      <a:ext cx="5580000" cy="6491474"/>
                    </a:xfrm>
                    <a:prstGeom prst="rect"/>
                  </pic:spPr>
                </pic:pic>
              </a:graphicData>
            </a:graphic>
          </wp:inline>
        </w:drawing>
      </w:r>
    </w:p>
    <w:p>
      <w:pPr>
        <w:pStyle w:val="FigCap"/>
      </w:pPr>
      <w:r>
        <w:t>Figure 22: Riveting workstation — matched inbound buffers (heads, hinges, rivet shelf) with min/max marking; two-hand control (Author’s own.)</w:t>
      </w:r>
    </w:p>
    <w:p>
      <w:r/>
      <w:r>
        <w:rPr>
          <w:b/>
        </w:rPr>
        <w:t>Material handling.</w:t>
      </w:r>
      <w:r>
        <w:t xml:space="preserve"> Heads from serrating and hinges from bending arrive by trolley; subassemblies leave to the heat-treatment day buffer.</w:t>
      </w:r>
    </w:p>
    <w:p>
      <w:pPr>
        <w:pStyle w:val="Heading3"/>
      </w:pPr>
      <w:r>
        <w:t>6.4.10 Heat Treatment (Ageing)</w:t>
      </w:r>
    </w:p>
    <w:p>
      <w:r/>
      <w:r>
        <w:rPr>
          <w:b/>
        </w:rPr>
        <w:t>Process.</w:t>
      </w:r>
      <w:r>
        <w:t xml:space="preserve"> Head subassemblies are strengthened by precipitation ageing (route, e.g. a T6-type age, subject to alloy confirmation): one 6 h batch per shift sized to the full 1 819/day in a single batch oven — the line’s batch decoupling point and its largest WIP holding.</w:t>
      </w:r>
    </w:p>
    <w:p>
      <w:pPr>
        <w:pStyle w:val="TblCap"/>
      </w:pPr>
      <w:r>
        <w:t>Table 14: Heat Treatment (Ageing) — machine and workstation specifications</w:t>
      </w:r>
    </w:p>
    <w:tbl>
      <w:tblPr>
        <w:tblW w:type="auto" w:w="0"/>
        <w:tblLook w:firstColumn="1" w:firstRow="1" w:lastColumn="0" w:lastRow="0" w:noHBand="0" w:noVBand="1" w:val="04A0"/>
        <w:tblBorders>
          <w:top w:val="single" w:sz="4" w:color="7F7F7F"/>
          <w:left w:val="single" w:sz="4" w:color="7F7F7F"/>
          <w:bottom w:val="single" w:sz="4" w:color="7F7F7F"/>
          <w:right w:val="single" w:sz="4" w:color="7F7F7F"/>
          <w:insideH w:val="single" w:sz="4" w:color="7F7F7F"/>
          <w:insideV w:val="single" w:sz="4" w:color="7F7F7F"/>
        </w:tblBorders>
        <w:tblW w:w="5000" w:type="pct"/>
      </w:tblPr>
      <w:tblGrid>
        <w:gridCol w:w="3099"/>
        <w:gridCol w:w="3099"/>
        <w:gridCol w:w="3099"/>
      </w:tblGrid>
      <w:tr>
        <w:trPr>
          <w:cantSplit/>
          <w:tblHeader w:val="true"/>
        </w:trPr>
        <w:tc>
          <w:tcPr>
            <w:tcW w:type="dxa" w:w="3099"/>
            <w:shd w:val="clear" w:fill="E7E6E6"/>
          </w:tcPr>
          <w:p>
            <w:pPr>
              <w:spacing w:before="20" w:after="20"/>
            </w:pPr>
            <w:r>
              <w:rPr>
                <w:rFonts w:ascii="Arial" w:hAnsi="Arial"/>
                <w:b/>
                <w:sz w:val="18"/>
              </w:rPr>
              <w:t>Specification</w:t>
            </w:r>
          </w:p>
        </w:tc>
        <w:tc>
          <w:tcPr>
            <w:tcW w:type="dxa" w:w="3099"/>
            <w:shd w:val="clear" w:fill="E7E6E6"/>
          </w:tcPr>
          <w:p>
            <w:pPr>
              <w:spacing w:before="20" w:after="20"/>
            </w:pPr>
            <w:r>
              <w:rPr>
                <w:rFonts w:ascii="Arial" w:hAnsi="Arial"/>
                <w:b/>
                <w:sz w:val="18"/>
              </w:rPr>
              <w:t>Value</w:t>
            </w:r>
          </w:p>
        </w:tc>
        <w:tc>
          <w:tcPr>
            <w:tcW w:type="dxa" w:w="3099"/>
            <w:shd w:val="clear" w:fill="E7E6E6"/>
          </w:tcPr>
          <w:p>
            <w:pPr>
              <w:spacing w:before="20" w:after="20"/>
            </w:pPr>
            <w:r>
              <w:rPr>
                <w:rFonts w:ascii="Arial" w:hAnsi="Arial"/>
                <w:b/>
                <w:sz w:val="18"/>
              </w:rPr>
              <w:t>Basis</w:t>
            </w:r>
          </w:p>
        </w:tc>
      </w:tr>
      <w:tr>
        <w:trPr>
          <w:cantSplit/>
        </w:trPr>
        <w:tc>
          <w:tcPr>
            <w:tcW w:type="dxa" w:w="3099"/>
          </w:tcPr>
          <w:p>
            <w:pPr>
              <w:spacing w:before="20" w:after="20"/>
            </w:pPr>
            <w:r>
              <w:rPr>
                <w:rFonts w:ascii="Arial" w:hAnsi="Arial"/>
                <w:sz w:val="18"/>
              </w:rPr>
              <w:t>Equipment</w:t>
            </w:r>
          </w:p>
        </w:tc>
        <w:tc>
          <w:tcPr>
            <w:tcW w:type="dxa" w:w="3099"/>
          </w:tcPr>
          <w:p>
            <w:pPr>
              <w:spacing w:before="20" w:after="20"/>
            </w:pPr>
            <w:r>
              <w:rPr>
                <w:rFonts w:ascii="Arial" w:hAnsi="Arial"/>
                <w:sz w:val="18"/>
              </w:rPr>
              <w:t>Aluminium ageing batch oven</w:t>
            </w:r>
          </w:p>
        </w:tc>
        <w:tc>
          <w:tcPr>
            <w:tcW w:type="dxa" w:w="3099"/>
          </w:tcPr>
          <w:p>
            <w:pPr>
              <w:spacing w:before="20" w:after="20"/>
            </w:pPr>
            <w:r>
              <w:rPr>
                <w:rFonts w:ascii="Arial" w:hAnsi="Arial"/>
                <w:sz w:val="18"/>
              </w:rPr>
              <w:t>Market class: Wisconsin Oven (≈120–205 °C for several hours; example chambers ≈2.4 m cube)</w:t>
            </w:r>
          </w:p>
        </w:tc>
      </w:tr>
      <w:tr>
        <w:trPr>
          <w:cantSplit/>
        </w:trPr>
        <w:tc>
          <w:tcPr>
            <w:tcW w:type="dxa" w:w="3099"/>
          </w:tcPr>
          <w:p>
            <w:pPr>
              <w:spacing w:before="20" w:after="20"/>
            </w:pPr>
            <w:r>
              <w:rPr>
                <w:rFonts w:ascii="Arial" w:hAnsi="Arial"/>
                <w:sz w:val="18"/>
              </w:rPr>
              <w:t>Zone</w:t>
            </w:r>
          </w:p>
        </w:tc>
        <w:tc>
          <w:tcPr>
            <w:tcW w:type="dxa" w:w="3099"/>
          </w:tcPr>
          <w:p>
            <w:pPr>
              <w:spacing w:before="20" w:after="20"/>
            </w:pPr>
            <w:r>
              <w:rPr>
                <w:rFonts w:ascii="Arial" w:hAnsi="Arial"/>
                <w:sz w:val="18"/>
              </w:rPr>
              <w:t>9.4 × 5.4 m = 50.8 m² of the 80 m² allowance</w:t>
            </w:r>
          </w:p>
        </w:tc>
        <w:tc>
          <w:tcPr>
            <w:tcW w:type="dxa" w:w="3099"/>
          </w:tcPr>
          <w:p>
            <w:pPr>
              <w:spacing w:before="20" w:after="20"/>
            </w:pPr>
            <w:r>
              <w:rPr>
                <w:rFonts w:ascii="Arial" w:hAnsi="Arial"/>
                <w:sz w:val="18"/>
              </w:rPr>
              <w:t>Drawing</w:t>
            </w:r>
          </w:p>
        </w:tc>
      </w:tr>
      <w:tr>
        <w:trPr>
          <w:cantSplit/>
        </w:trPr>
        <w:tc>
          <w:tcPr>
            <w:tcW w:type="dxa" w:w="3099"/>
          </w:tcPr>
          <w:p>
            <w:pPr>
              <w:spacing w:before="20" w:after="20"/>
            </w:pPr>
            <w:r>
              <w:rPr>
                <w:rFonts w:ascii="Arial" w:hAnsi="Arial"/>
                <w:sz w:val="18"/>
              </w:rPr>
              <w:t>Day buffers</w:t>
            </w:r>
          </w:p>
        </w:tc>
        <w:tc>
          <w:tcPr>
            <w:tcW w:type="dxa" w:w="3099"/>
          </w:tcPr>
          <w:p>
            <w:pPr>
              <w:spacing w:before="20" w:after="20"/>
            </w:pPr>
            <w:r>
              <w:rPr>
                <w:rFonts w:ascii="Arial" w:hAnsi="Arial"/>
                <w:sz w:val="18"/>
              </w:rPr>
              <w:t>≈5 pallets each side (+19.2 m² correction)</w:t>
            </w:r>
          </w:p>
        </w:tc>
        <w:tc>
          <w:tcPr>
            <w:tcW w:type="dxa" w:w="3099"/>
          </w:tcPr>
          <w:p>
            <w:pPr>
              <w:spacing w:before="20" w:after="20"/>
            </w:pPr>
            <w:r>
              <w:rPr>
                <w:rFonts w:ascii="Arial" w:hAnsi="Arial"/>
                <w:sz w:val="18"/>
              </w:rPr>
              <w:t>§6.8</w:t>
            </w:r>
          </w:p>
        </w:tc>
      </w:tr>
      <w:tr>
        <w:trPr>
          <w:cantSplit/>
        </w:trPr>
        <w:tc>
          <w:tcPr>
            <w:tcW w:type="dxa" w:w="3099"/>
          </w:tcPr>
          <w:p>
            <w:pPr>
              <w:spacing w:before="20" w:after="20"/>
            </w:pPr>
            <w:r>
              <w:rPr>
                <w:rFonts w:ascii="Arial" w:hAnsi="Arial"/>
                <w:sz w:val="18"/>
              </w:rPr>
              <w:t>Ovens / operators</w:t>
            </w:r>
          </w:p>
        </w:tc>
        <w:tc>
          <w:tcPr>
            <w:tcW w:type="dxa" w:w="3099"/>
          </w:tcPr>
          <w:p>
            <w:pPr>
              <w:spacing w:before="20" w:after="20"/>
            </w:pPr>
            <w:r>
              <w:rPr>
                <w:rFonts w:ascii="Arial" w:hAnsi="Arial"/>
                <w:sz w:val="18"/>
              </w:rPr>
              <w:t>1 / shared pool</w:t>
            </w:r>
          </w:p>
        </w:tc>
        <w:tc>
          <w:tcPr>
            <w:tcW w:type="dxa" w:w="3099"/>
          </w:tcPr>
          <w:p>
            <w:pPr>
              <w:spacing w:before="20" w:after="20"/>
            </w:pPr>
            <w:r>
              <w:rPr>
                <w:rFonts w:ascii="Arial" w:hAnsi="Arial"/>
                <w:sz w:val="18"/>
              </w:rPr>
              <w:t>Capacity table</w:t>
            </w:r>
          </w:p>
        </w:tc>
      </w:tr>
      <w:tr>
        <w:trPr>
          <w:cantSplit/>
        </w:trPr>
        <w:tc>
          <w:tcPr>
            <w:tcW w:type="dxa" w:w="3099"/>
          </w:tcPr>
          <w:p>
            <w:pPr>
              <w:spacing w:before="20" w:after="20"/>
            </w:pPr>
            <w:r>
              <w:rPr>
                <w:rFonts w:ascii="Arial" w:hAnsi="Arial"/>
                <w:sz w:val="18"/>
              </w:rPr>
              <w:t>Cost</w:t>
            </w:r>
          </w:p>
        </w:tc>
        <w:tc>
          <w:tcPr>
            <w:tcW w:type="dxa" w:w="3099"/>
          </w:tcPr>
          <w:p>
            <w:pPr>
              <w:spacing w:before="20" w:after="20"/>
            </w:pPr>
            <w:r>
              <w:rPr>
                <w:rFonts w:ascii="Arial" w:hAnsi="Arial"/>
                <w:sz w:val="18"/>
              </w:rPr>
              <w:t>Quotation required (Low)</w:t>
            </w:r>
          </w:p>
        </w:tc>
        <w:tc>
          <w:tcPr>
            <w:tcW w:type="dxa" w:w="3099"/>
          </w:tcPr>
          <w:p>
            <w:pPr>
              <w:spacing w:before="20" w:after="20"/>
            </w:pPr>
            <w:r>
              <w:rPr>
                <w:rFonts w:ascii="Arial" w:hAnsi="Arial"/>
                <w:sz w:val="18"/>
              </w:rPr>
              <w:t>Chamber sizing-critical</w:t>
            </w:r>
          </w:p>
        </w:tc>
      </w:tr>
    </w:tbl>
    <w:p/>
    <w:p>
      <w:pPr>
        <w:keepNext/>
        <w:jc w:val="center"/>
        <w:pBdr>
          <w:top w:val="dashed" w:sz="8" w:color="C00000" w:space="6"/>
          <w:left w:val="dashed" w:sz="8" w:color="C00000" w:space="6"/>
          <w:bottom w:val="dashed" w:sz="8" w:color="C00000" w:space="6"/>
          <w:right w:val="dashed" w:sz="8" w:color="C00000" w:space="6"/>
        </w:pBdr>
      </w:pPr>
      <w:r>
        <w:rPr>
          <w:i/>
          <w:color w:val="804000"/>
        </w:rPr>
        <w:t>[ INSERT FIGURE 23 — machine photo (open link, screenshot/redraw) ]</w:t>
      </w:r>
    </w:p>
    <w:p>
      <w:pPr>
        <w:pStyle w:val="FigCap"/>
      </w:pPr>
      <w:r>
        <w:t>Figure 23: Aluminium ageing batch oven. Market example for sizing and illustration only — redraw or insert supplier image with permission.</w:t>
      </w:r>
    </w:p>
    <w:p>
      <w:pPr>
        <w:pStyle w:val="LnkLine"/>
      </w:pPr>
      <w:r>
        <w:rPr>
          <w:sz w:val="18"/>
        </w:rPr>
        <w:t xml:space="preserve">Open source page: </w:t>
      </w:r>
      <w:hyperlink r:id="rId30">
        <w:r>
          <w:rPr>
            <w:color w:val="0563C1"/>
            <w:u w:val="single"/>
            <w:sz w:val="18"/>
            <w:rFonts w:ascii="Arial" w:hAnsi="Arial"/>
          </w:rPr>
          <w:t>https://www.wisoven.com/products/batch-ovens/aluminum-age-ovens</w:t>
        </w:r>
      </w:hyperlink>
    </w:p>
    <w:p>
      <w:r/>
      <w:r>
        <w:rPr>
          <w:b/>
        </w:rPr>
        <w:t>Workstation.</w:t>
      </w:r>
      <w:r>
        <w:t xml:space="preserve"> Thermal clearance surrounds the oven against the services wall with high-level heat relief; hot racks are handled with load car and PPE. As every shovel head passes through one oven, it is a single point of failure flagged for the MFP risk discussion.</w:t>
      </w:r>
    </w:p>
    <w:p>
      <w:pPr>
        <w:keepNext/>
        <w:jc w:val="center"/>
      </w:pPr>
      <w:r>
        <w:drawing>
          <wp:inline xmlns:a="http://schemas.openxmlformats.org/drawingml/2006/main" xmlns:pic="http://schemas.openxmlformats.org/drawingml/2006/picture">
            <wp:extent cx="5580000" cy="4624064"/>
            <wp:docPr id="12" name="Picture 12"/>
            <wp:cNvGraphicFramePr>
              <a:graphicFrameLocks noChangeAspect="1"/>
            </wp:cNvGraphicFramePr>
            <a:graphic>
              <a:graphicData uri="http://schemas.openxmlformats.org/drawingml/2006/picture">
                <pic:pic>
                  <pic:nvPicPr>
                    <pic:cNvPr id="0" name="C11_heat_treatment.png"/>
                    <pic:cNvPicPr/>
                  </pic:nvPicPr>
                  <pic:blipFill>
                    <a:blip r:embed="rId31"/>
                    <a:stretch>
                      <a:fillRect/>
                    </a:stretch>
                  </pic:blipFill>
                  <pic:spPr>
                    <a:xfrm>
                      <a:off x="0" y="0"/>
                      <a:ext cx="5580000" cy="4624064"/>
                    </a:xfrm>
                    <a:prstGeom prst="rect"/>
                  </pic:spPr>
                </pic:pic>
              </a:graphicData>
            </a:graphic>
          </wp:inline>
        </w:drawing>
      </w:r>
    </w:p>
    <w:p>
      <w:pPr>
        <w:pStyle w:val="FigCap"/>
      </w:pPr>
      <w:r>
        <w:t>Figure 24: Heat-treatment area — day buffer IN, load car, oven with thermal clearance, cooling/OUT buffer, forklift aisle (Author’s own.)</w:t>
      </w:r>
    </w:p>
    <w:p>
      <w:r/>
      <w:r>
        <w:rPr>
          <w:b/>
        </w:rPr>
        <w:t>Material handling.</w:t>
      </w:r>
      <w:r>
        <w:t xml:space="preserve"> Subassemblies accumulate in the IN buffer through the shift; racks roll to blasting after cooling. Pallet truck/tug handling, not manual carry.</w:t>
      </w:r>
    </w:p>
    <w:p>
      <w:pPr>
        <w:pStyle w:val="Heading3"/>
      </w:pPr>
      <w:r>
        <w:t>6.4.11 Sandblasting</w:t>
      </w:r>
    </w:p>
    <w:p>
      <w:r/>
      <w:r>
        <w:rPr>
          <w:b/>
        </w:rPr>
        <w:t>Process.</w:t>
      </w:r>
      <w:r>
        <w:t xml:space="preserve"> Aged subassemblies are blasted to a uniform keying surface (negligible mass effect per the brief); throughput and booth count are supplier-dependent [VERIFY] — manual blasting of 1 819 parts/day at even 15 s consumes most of a shift, so an automated cabinet is tested at quotation.</w:t>
      </w:r>
    </w:p>
    <w:p>
      <w:pPr>
        <w:pStyle w:val="TblCap"/>
      </w:pPr>
      <w:r>
        <w:t>Table 15: Sandblasting — machine and workstation specifications</w:t>
      </w:r>
    </w:p>
    <w:tbl>
      <w:tblPr>
        <w:tblW w:type="auto" w:w="0"/>
        <w:tblLook w:firstColumn="1" w:firstRow="1" w:lastColumn="0" w:lastRow="0" w:noHBand="0" w:noVBand="1" w:val="04A0"/>
        <w:tblBorders>
          <w:top w:val="single" w:sz="4" w:color="7F7F7F"/>
          <w:left w:val="single" w:sz="4" w:color="7F7F7F"/>
          <w:bottom w:val="single" w:sz="4" w:color="7F7F7F"/>
          <w:right w:val="single" w:sz="4" w:color="7F7F7F"/>
          <w:insideH w:val="single" w:sz="4" w:color="7F7F7F"/>
          <w:insideV w:val="single" w:sz="4" w:color="7F7F7F"/>
        </w:tblBorders>
        <w:tblW w:w="5000" w:type="pct"/>
      </w:tblPr>
      <w:tblGrid>
        <w:gridCol w:w="3099"/>
        <w:gridCol w:w="3099"/>
        <w:gridCol w:w="3099"/>
      </w:tblGrid>
      <w:tr>
        <w:trPr>
          <w:cantSplit/>
          <w:tblHeader w:val="true"/>
        </w:trPr>
        <w:tc>
          <w:tcPr>
            <w:tcW w:type="dxa" w:w="3099"/>
            <w:shd w:val="clear" w:fill="E7E6E6"/>
          </w:tcPr>
          <w:p>
            <w:pPr>
              <w:spacing w:before="20" w:after="20"/>
            </w:pPr>
            <w:r>
              <w:rPr>
                <w:rFonts w:ascii="Arial" w:hAnsi="Arial"/>
                <w:b/>
                <w:sz w:val="18"/>
              </w:rPr>
              <w:t>Specification</w:t>
            </w:r>
          </w:p>
        </w:tc>
        <w:tc>
          <w:tcPr>
            <w:tcW w:type="dxa" w:w="3099"/>
            <w:shd w:val="clear" w:fill="E7E6E6"/>
          </w:tcPr>
          <w:p>
            <w:pPr>
              <w:spacing w:before="20" w:after="20"/>
            </w:pPr>
            <w:r>
              <w:rPr>
                <w:rFonts w:ascii="Arial" w:hAnsi="Arial"/>
                <w:b/>
                <w:sz w:val="18"/>
              </w:rPr>
              <w:t>Value</w:t>
            </w:r>
          </w:p>
        </w:tc>
        <w:tc>
          <w:tcPr>
            <w:tcW w:type="dxa" w:w="3099"/>
            <w:shd w:val="clear" w:fill="E7E6E6"/>
          </w:tcPr>
          <w:p>
            <w:pPr>
              <w:spacing w:before="20" w:after="20"/>
            </w:pPr>
            <w:r>
              <w:rPr>
                <w:rFonts w:ascii="Arial" w:hAnsi="Arial"/>
                <w:b/>
                <w:sz w:val="18"/>
              </w:rPr>
              <w:t>Basis</w:t>
            </w:r>
          </w:p>
        </w:tc>
      </w:tr>
      <w:tr>
        <w:trPr>
          <w:cantSplit/>
        </w:trPr>
        <w:tc>
          <w:tcPr>
            <w:tcW w:type="dxa" w:w="3099"/>
          </w:tcPr>
          <w:p>
            <w:pPr>
              <w:spacing w:before="20" w:after="20"/>
            </w:pPr>
            <w:r>
              <w:rPr>
                <w:rFonts w:ascii="Arial" w:hAnsi="Arial"/>
                <w:sz w:val="18"/>
              </w:rPr>
              <w:t>Equipment</w:t>
            </w:r>
          </w:p>
        </w:tc>
        <w:tc>
          <w:tcPr>
            <w:tcW w:type="dxa" w:w="3099"/>
          </w:tcPr>
          <w:p>
            <w:pPr>
              <w:spacing w:before="20" w:after="20"/>
            </w:pPr>
            <w:r>
              <w:rPr>
                <w:rFonts w:ascii="Arial" w:hAnsi="Arial"/>
                <w:sz w:val="18"/>
              </w:rPr>
              <w:t>Enclosed blast booth + media recovery + dust collector</w:t>
            </w:r>
          </w:p>
        </w:tc>
        <w:tc>
          <w:tcPr>
            <w:tcW w:type="dxa" w:w="3099"/>
          </w:tcPr>
          <w:p>
            <w:pPr>
              <w:spacing w:before="20" w:after="20"/>
            </w:pPr>
            <w:r>
              <w:rPr>
                <w:rFonts w:ascii="Arial" w:hAnsi="Arial"/>
                <w:sz w:val="18"/>
              </w:rPr>
              <w:t>Market class: Airblast AFC modular rooms</w:t>
            </w:r>
          </w:p>
        </w:tc>
      </w:tr>
      <w:tr>
        <w:trPr>
          <w:cantSplit/>
        </w:trPr>
        <w:tc>
          <w:tcPr>
            <w:tcW w:type="dxa" w:w="3099"/>
          </w:tcPr>
          <w:p>
            <w:pPr>
              <w:spacing w:before="20" w:after="20"/>
            </w:pPr>
            <w:r>
              <w:rPr>
                <w:rFonts w:ascii="Arial" w:hAnsi="Arial"/>
                <w:sz w:val="18"/>
              </w:rPr>
              <w:t>Zone</w:t>
            </w:r>
          </w:p>
        </w:tc>
        <w:tc>
          <w:tcPr>
            <w:tcW w:type="dxa" w:w="3099"/>
          </w:tcPr>
          <w:p>
            <w:pPr>
              <w:spacing w:before="20" w:after="20"/>
            </w:pPr>
            <w:r>
              <w:rPr>
                <w:rFonts w:ascii="Arial" w:hAnsi="Arial"/>
                <w:sz w:val="18"/>
              </w:rPr>
              <w:t>6.4 × 5.0 m = 32.0 m² (remainder of 80 m²)</w:t>
            </w:r>
          </w:p>
        </w:tc>
        <w:tc>
          <w:tcPr>
            <w:tcW w:type="dxa" w:w="3099"/>
          </w:tcPr>
          <w:p>
            <w:pPr>
              <w:spacing w:before="20" w:after="20"/>
            </w:pPr>
            <w:r>
              <w:rPr>
                <w:rFonts w:ascii="Arial" w:hAnsi="Arial"/>
                <w:sz w:val="18"/>
              </w:rPr>
              <w:t>Drawing</w:t>
            </w:r>
          </w:p>
        </w:tc>
      </w:tr>
      <w:tr>
        <w:trPr>
          <w:cantSplit/>
        </w:trPr>
        <w:tc>
          <w:tcPr>
            <w:tcW w:type="dxa" w:w="3099"/>
          </w:tcPr>
          <w:p>
            <w:pPr>
              <w:spacing w:before="20" w:after="20"/>
            </w:pPr>
            <w:r>
              <w:rPr>
                <w:rFonts w:ascii="Arial" w:hAnsi="Arial"/>
                <w:sz w:val="18"/>
              </w:rPr>
              <w:t>Operators</w:t>
            </w:r>
          </w:p>
        </w:tc>
        <w:tc>
          <w:tcPr>
            <w:tcW w:type="dxa" w:w="3099"/>
          </w:tcPr>
          <w:p>
            <w:pPr>
              <w:spacing w:before="20" w:after="20"/>
            </w:pPr>
            <w:r>
              <w:rPr>
                <w:rFonts w:ascii="Arial" w:hAnsi="Arial"/>
                <w:sz w:val="18"/>
              </w:rPr>
              <w:t>Shared pool</w:t>
            </w:r>
          </w:p>
        </w:tc>
        <w:tc>
          <w:tcPr>
            <w:tcW w:type="dxa" w:w="3099"/>
          </w:tcPr>
          <w:p>
            <w:pPr>
              <w:spacing w:before="20" w:after="20"/>
            </w:pPr>
            <w:r>
              <w:rPr>
                <w:rFonts w:ascii="Arial" w:hAnsi="Arial"/>
                <w:sz w:val="18"/>
              </w:rPr>
              <w:t>Personnel</w:t>
            </w:r>
          </w:p>
        </w:tc>
      </w:tr>
      <w:tr>
        <w:trPr>
          <w:cantSplit/>
        </w:trPr>
        <w:tc>
          <w:tcPr>
            <w:tcW w:type="dxa" w:w="3099"/>
          </w:tcPr>
          <w:p>
            <w:pPr>
              <w:spacing w:before="20" w:after="20"/>
            </w:pPr>
            <w:r>
              <w:rPr>
                <w:rFonts w:ascii="Arial" w:hAnsi="Arial"/>
                <w:sz w:val="18"/>
              </w:rPr>
              <w:t>Utilities</w:t>
            </w:r>
          </w:p>
        </w:tc>
        <w:tc>
          <w:tcPr>
            <w:tcW w:type="dxa" w:w="3099"/>
          </w:tcPr>
          <w:p>
            <w:pPr>
              <w:spacing w:before="20" w:after="20"/>
            </w:pPr>
            <w:r>
              <w:rPr>
                <w:rFonts w:ascii="Arial" w:hAnsi="Arial"/>
                <w:sz w:val="18"/>
              </w:rPr>
              <w:t>Major compressed-air consumer (sizes compressor plant)</w:t>
            </w:r>
          </w:p>
        </w:tc>
        <w:tc>
          <w:tcPr>
            <w:tcW w:type="dxa" w:w="3099"/>
          </w:tcPr>
          <w:p>
            <w:pPr>
              <w:spacing w:before="20" w:after="20"/>
            </w:pPr>
            <w:r>
              <w:rPr>
                <w:rFonts w:ascii="Arial" w:hAnsi="Arial"/>
                <w:sz w:val="18"/>
              </w:rPr>
              <w:t>§6.7</w:t>
            </w:r>
          </w:p>
        </w:tc>
      </w:tr>
      <w:tr>
        <w:trPr>
          <w:cantSplit/>
        </w:trPr>
        <w:tc>
          <w:tcPr>
            <w:tcW w:type="dxa" w:w="3099"/>
          </w:tcPr>
          <w:p>
            <w:pPr>
              <w:spacing w:before="20" w:after="20"/>
            </w:pPr>
            <w:r>
              <w:rPr>
                <w:rFonts w:ascii="Arial" w:hAnsi="Arial"/>
                <w:sz w:val="18"/>
              </w:rPr>
              <w:t>Cost</w:t>
            </w:r>
          </w:p>
        </w:tc>
        <w:tc>
          <w:tcPr>
            <w:tcW w:type="dxa" w:w="3099"/>
          </w:tcPr>
          <w:p>
            <w:pPr>
              <w:spacing w:before="20" w:after="20"/>
            </w:pPr>
            <w:r>
              <w:rPr>
                <w:rFonts w:ascii="Arial" w:hAnsi="Arial"/>
                <w:sz w:val="18"/>
              </w:rPr>
              <w:t>Quotation required (Low)</w:t>
            </w:r>
          </w:p>
        </w:tc>
        <w:tc>
          <w:tcPr>
            <w:tcW w:type="dxa" w:w="3099"/>
          </w:tcPr>
          <w:p>
            <w:pPr>
              <w:spacing w:before="20" w:after="20"/>
            </w:pPr>
            <w:r>
              <w:rPr>
                <w:rFonts w:ascii="Arial" w:hAnsi="Arial"/>
                <w:sz w:val="18"/>
              </w:rPr>
              <w:t>Design-and-build</w:t>
            </w:r>
          </w:p>
        </w:tc>
      </w:tr>
    </w:tbl>
    <w:p/>
    <w:p>
      <w:pPr>
        <w:keepNext/>
        <w:jc w:val="center"/>
        <w:pBdr>
          <w:top w:val="dashed" w:sz="8" w:color="C00000" w:space="6"/>
          <w:left w:val="dashed" w:sz="8" w:color="C00000" w:space="6"/>
          <w:bottom w:val="dashed" w:sz="8" w:color="C00000" w:space="6"/>
          <w:right w:val="dashed" w:sz="8" w:color="C00000" w:space="6"/>
        </w:pBdr>
      </w:pPr>
      <w:r>
        <w:rPr>
          <w:i/>
          <w:color w:val="804000"/>
        </w:rPr>
        <w:t>[ INSERT FIGURE 25 — machine photo (open link, screenshot/redraw) ]</w:t>
      </w:r>
    </w:p>
    <w:p>
      <w:pPr>
        <w:pStyle w:val="FigCap"/>
      </w:pPr>
      <w:r>
        <w:t>Figure 25: Enclosed blast room with media recovery. Market example for sizing and illustration only — redraw or insert supplier image with permission.</w:t>
      </w:r>
    </w:p>
    <w:p>
      <w:pPr>
        <w:pStyle w:val="LnkLine"/>
      </w:pPr>
      <w:r>
        <w:rPr>
          <w:sz w:val="18"/>
        </w:rPr>
        <w:t xml:space="preserve">Open source page: </w:t>
      </w:r>
      <w:hyperlink r:id="rId32">
        <w:r>
          <w:rPr>
            <w:color w:val="0563C1"/>
            <w:u w:val="single"/>
            <w:sz w:val="18"/>
            <w:rFonts w:ascii="Arial" w:hAnsi="Arial"/>
          </w:rPr>
          <w:t>https://airblastafc.com/blast-solutions/blast-rooms/</w:t>
        </w:r>
      </w:hyperlink>
    </w:p>
    <w:p>
      <w:r/>
      <w:r>
        <w:rPr>
          <w:b/>
        </w:rPr>
        <w:t>Workstation.</w:t>
      </w:r>
      <w:r>
        <w:t xml:space="preserve"> Sealed enclosure with entry control and PPE; spent media and collected combustible dust leave in sealed drums on the waste route, segregated from general scrap.</w:t>
      </w:r>
    </w:p>
    <w:p>
      <w:pPr>
        <w:keepNext/>
        <w:jc w:val="center"/>
      </w:pPr>
      <w:r>
        <w:drawing>
          <wp:inline xmlns:a="http://schemas.openxmlformats.org/drawingml/2006/main" xmlns:pic="http://schemas.openxmlformats.org/drawingml/2006/picture">
            <wp:extent cx="5580000" cy="6002270"/>
            <wp:docPr id="13" name="Picture 13"/>
            <wp:cNvGraphicFramePr>
              <a:graphicFrameLocks noChangeAspect="1"/>
            </wp:cNvGraphicFramePr>
            <a:graphic>
              <a:graphicData uri="http://schemas.openxmlformats.org/drawingml/2006/picture">
                <pic:pic>
                  <pic:nvPicPr>
                    <pic:cNvPr id="0" name="C12_sandblasting.png"/>
                    <pic:cNvPicPr/>
                  </pic:nvPicPr>
                  <pic:blipFill>
                    <a:blip r:embed="rId33"/>
                    <a:stretch>
                      <a:fillRect/>
                    </a:stretch>
                  </pic:blipFill>
                  <pic:spPr>
                    <a:xfrm>
                      <a:off x="0" y="0"/>
                      <a:ext cx="5580000" cy="6002270"/>
                    </a:xfrm>
                    <a:prstGeom prst="rect"/>
                  </pic:spPr>
                </pic:pic>
              </a:graphicData>
            </a:graphic>
          </wp:inline>
        </w:drawing>
      </w:r>
    </w:p>
    <w:p>
      <w:pPr>
        <w:pStyle w:val="FigCap"/>
      </w:pPr>
      <w:r>
        <w:t>Figure 26: Sandblasting area — enclosed booth, services-wall dust collector, sealed waste drums, IN/OUT racks (Author’s own.)</w:t>
      </w:r>
    </w:p>
    <w:p>
      <w:r/>
      <w:r>
        <w:rPr>
          <w:b/>
        </w:rPr>
        <w:t>Material handling.</w:t>
      </w:r>
      <w:r>
        <w:t xml:space="preserve"> Racked subassemblies in from oven cooling; blasted parts out by trolley to polishing without re-contamination.</w:t>
      </w:r>
    </w:p>
    <w:p>
      <w:pPr>
        <w:pStyle w:val="Heading3"/>
      </w:pPr>
      <w:r>
        <w:t>6.4.12 Powder Coating — fully enclosed</w:t>
      </w:r>
    </w:p>
    <w:p>
      <w:r/>
      <w:r>
        <w:rPr>
          <w:b/>
        </w:rPr>
        <w:t>Process.</w:t>
      </w:r>
      <w:r>
        <w:t xml:space="preserve"> Both handles and the head subassembly are coated — three items per shovel, 5 457 items/day. At the assumed 600 parts/h a single line needs 9.1 h, exceeding the shift; since overtime is not the base plan, two conveyorised lines run at ≈57 % each: Lines = ⌈5 457/(600×8)⌉ = 2.</w:t>
      </w:r>
    </w:p>
    <w:p>
      <w:pPr>
        <w:pStyle w:val="TblCap"/>
      </w:pPr>
      <w:r>
        <w:t>Table 16: Powder Coating — fully enclosed — machine and workstation specifications</w:t>
      </w:r>
    </w:p>
    <w:tbl>
      <w:tblPr>
        <w:tblW w:type="auto" w:w="0"/>
        <w:tblLook w:firstColumn="1" w:firstRow="1" w:lastColumn="0" w:lastRow="0" w:noHBand="0" w:noVBand="1" w:val="04A0"/>
        <w:tblBorders>
          <w:top w:val="single" w:sz="4" w:color="7F7F7F"/>
          <w:left w:val="single" w:sz="4" w:color="7F7F7F"/>
          <w:bottom w:val="single" w:sz="4" w:color="7F7F7F"/>
          <w:right w:val="single" w:sz="4" w:color="7F7F7F"/>
          <w:insideH w:val="single" w:sz="4" w:color="7F7F7F"/>
          <w:insideV w:val="single" w:sz="4" w:color="7F7F7F"/>
        </w:tblBorders>
        <w:tblW w:w="5000" w:type="pct"/>
      </w:tblPr>
      <w:tblGrid>
        <w:gridCol w:w="3099"/>
        <w:gridCol w:w="3099"/>
        <w:gridCol w:w="3099"/>
      </w:tblGrid>
      <w:tr>
        <w:trPr>
          <w:cantSplit/>
          <w:tblHeader w:val="true"/>
        </w:trPr>
        <w:tc>
          <w:tcPr>
            <w:tcW w:type="dxa" w:w="3099"/>
            <w:shd w:val="clear" w:fill="E7E6E6"/>
          </w:tcPr>
          <w:p>
            <w:pPr>
              <w:spacing w:before="20" w:after="20"/>
            </w:pPr>
            <w:r>
              <w:rPr>
                <w:rFonts w:ascii="Arial" w:hAnsi="Arial"/>
                <w:b/>
                <w:sz w:val="18"/>
              </w:rPr>
              <w:t>Specification</w:t>
            </w:r>
          </w:p>
        </w:tc>
        <w:tc>
          <w:tcPr>
            <w:tcW w:type="dxa" w:w="3099"/>
            <w:shd w:val="clear" w:fill="E7E6E6"/>
          </w:tcPr>
          <w:p>
            <w:pPr>
              <w:spacing w:before="20" w:after="20"/>
            </w:pPr>
            <w:r>
              <w:rPr>
                <w:rFonts w:ascii="Arial" w:hAnsi="Arial"/>
                <w:b/>
                <w:sz w:val="18"/>
              </w:rPr>
              <w:t>Value</w:t>
            </w:r>
          </w:p>
        </w:tc>
        <w:tc>
          <w:tcPr>
            <w:tcW w:type="dxa" w:w="3099"/>
            <w:shd w:val="clear" w:fill="E7E6E6"/>
          </w:tcPr>
          <w:p>
            <w:pPr>
              <w:spacing w:before="20" w:after="20"/>
            </w:pPr>
            <w:r>
              <w:rPr>
                <w:rFonts w:ascii="Arial" w:hAnsi="Arial"/>
                <w:b/>
                <w:sz w:val="18"/>
              </w:rPr>
              <w:t>Basis</w:t>
            </w:r>
          </w:p>
        </w:tc>
      </w:tr>
      <w:tr>
        <w:trPr>
          <w:cantSplit/>
        </w:trPr>
        <w:tc>
          <w:tcPr>
            <w:tcW w:type="dxa" w:w="3099"/>
          </w:tcPr>
          <w:p>
            <w:pPr>
              <w:spacing w:before="20" w:after="20"/>
            </w:pPr>
            <w:r>
              <w:rPr>
                <w:rFonts w:ascii="Arial" w:hAnsi="Arial"/>
                <w:sz w:val="18"/>
              </w:rPr>
              <w:t>Equipment</w:t>
            </w:r>
          </w:p>
        </w:tc>
        <w:tc>
          <w:tcPr>
            <w:tcW w:type="dxa" w:w="3099"/>
          </w:tcPr>
          <w:p>
            <w:pPr>
              <w:spacing w:before="20" w:after="20"/>
            </w:pPr>
            <w:r>
              <w:rPr>
                <w:rFonts w:ascii="Arial" w:hAnsi="Arial"/>
                <w:sz w:val="18"/>
              </w:rPr>
              <w:t>Conveyorised powder line ×2 (booth + recovery, cure oven, overhead conveyor)</w:t>
            </w:r>
          </w:p>
        </w:tc>
        <w:tc>
          <w:tcPr>
            <w:tcW w:type="dxa" w:w="3099"/>
          </w:tcPr>
          <w:p>
            <w:pPr>
              <w:spacing w:before="20" w:after="20"/>
            </w:pPr>
            <w:r>
              <w:rPr>
                <w:rFonts w:ascii="Arial" w:hAnsi="Arial"/>
                <w:sz w:val="18"/>
              </w:rPr>
              <w:t>SA turnkey example: P.I. Marketing</w:t>
            </w:r>
          </w:p>
        </w:tc>
      </w:tr>
      <w:tr>
        <w:trPr>
          <w:cantSplit/>
        </w:trPr>
        <w:tc>
          <w:tcPr>
            <w:tcW w:type="dxa" w:w="3099"/>
          </w:tcPr>
          <w:p>
            <w:pPr>
              <w:spacing w:before="20" w:after="20"/>
            </w:pPr>
            <w:r>
              <w:rPr>
                <w:rFonts w:ascii="Arial" w:hAnsi="Arial"/>
                <w:sz w:val="18"/>
              </w:rPr>
              <w:t>Enclosure</w:t>
            </w:r>
          </w:p>
        </w:tc>
        <w:tc>
          <w:tcPr>
            <w:tcW w:type="dxa" w:w="3099"/>
          </w:tcPr>
          <w:p>
            <w:pPr>
              <w:spacing w:before="20" w:after="20"/>
            </w:pPr>
            <w:r>
              <w:rPr>
                <w:rFonts w:ascii="Arial" w:hAnsi="Arial"/>
                <w:sz w:val="18"/>
              </w:rPr>
              <w:t>15.0 × 8.0 m = 120 m² — matches allowance exactly</w:t>
            </w:r>
          </w:p>
        </w:tc>
        <w:tc>
          <w:tcPr>
            <w:tcW w:type="dxa" w:w="3099"/>
          </w:tcPr>
          <w:p>
            <w:pPr>
              <w:spacing w:before="20" w:after="20"/>
            </w:pPr>
            <w:r>
              <w:rPr>
                <w:rFonts w:ascii="Arial" w:hAnsi="Arial"/>
                <w:sz w:val="18"/>
              </w:rPr>
              <w:t>Drawing; brief requires full enclosure</w:t>
            </w:r>
          </w:p>
        </w:tc>
      </w:tr>
      <w:tr>
        <w:trPr>
          <w:cantSplit/>
        </w:trPr>
        <w:tc>
          <w:tcPr>
            <w:tcW w:type="dxa" w:w="3099"/>
          </w:tcPr>
          <w:p>
            <w:pPr>
              <w:spacing w:before="20" w:after="20"/>
            </w:pPr>
            <w:r>
              <w:rPr>
                <w:rFonts w:ascii="Arial" w:hAnsi="Arial"/>
                <w:sz w:val="18"/>
              </w:rPr>
              <w:t>Lines / operators</w:t>
            </w:r>
          </w:p>
        </w:tc>
        <w:tc>
          <w:tcPr>
            <w:tcW w:type="dxa" w:w="3099"/>
          </w:tcPr>
          <w:p>
            <w:pPr>
              <w:spacing w:before="20" w:after="20"/>
            </w:pPr>
            <w:r>
              <w:rPr>
                <w:rFonts w:ascii="Arial" w:hAnsi="Arial"/>
                <w:sz w:val="18"/>
              </w:rPr>
              <w:t>2 / shared pool</w:t>
            </w:r>
          </w:p>
        </w:tc>
        <w:tc>
          <w:tcPr>
            <w:tcW w:type="dxa" w:w="3099"/>
          </w:tcPr>
          <w:p>
            <w:pPr>
              <w:spacing w:before="20" w:after="20"/>
            </w:pPr>
            <w:r>
              <w:rPr>
                <w:rFonts w:ascii="Arial" w:hAnsi="Arial"/>
                <w:sz w:val="18"/>
              </w:rPr>
              <w:t>Eq. above</w:t>
            </w:r>
          </w:p>
        </w:tc>
      </w:tr>
      <w:tr>
        <w:trPr>
          <w:cantSplit/>
        </w:trPr>
        <w:tc>
          <w:tcPr>
            <w:tcW w:type="dxa" w:w="3099"/>
          </w:tcPr>
          <w:p>
            <w:pPr>
              <w:spacing w:before="20" w:after="20"/>
            </w:pPr>
            <w:r>
              <w:rPr>
                <w:rFonts w:ascii="Arial" w:hAnsi="Arial"/>
                <w:sz w:val="18"/>
              </w:rPr>
              <w:t>Rate / cure</w:t>
            </w:r>
          </w:p>
        </w:tc>
        <w:tc>
          <w:tcPr>
            <w:tcW w:type="dxa" w:w="3099"/>
          </w:tcPr>
          <w:p>
            <w:pPr>
              <w:spacing w:before="20" w:after="20"/>
            </w:pPr>
            <w:r>
              <w:rPr>
                <w:rFonts w:ascii="Arial" w:hAnsi="Arial"/>
                <w:sz w:val="18"/>
              </w:rPr>
              <w:t>600 parts/h assumed; dwell [VERIFY]</w:t>
            </w:r>
          </w:p>
        </w:tc>
        <w:tc>
          <w:tcPr>
            <w:tcW w:type="dxa" w:w="3099"/>
          </w:tcPr>
          <w:p>
            <w:pPr>
              <w:spacing w:before="20" w:after="20"/>
            </w:pPr>
            <w:r>
              <w:rPr>
                <w:rFonts w:ascii="Arial" w:hAnsi="Arial"/>
                <w:sz w:val="18"/>
              </w:rPr>
              <w:t>Workbook</w:t>
            </w:r>
          </w:p>
        </w:tc>
      </w:tr>
      <w:tr>
        <w:trPr>
          <w:cantSplit/>
        </w:trPr>
        <w:tc>
          <w:tcPr>
            <w:tcW w:type="dxa" w:w="3099"/>
          </w:tcPr>
          <w:p>
            <w:pPr>
              <w:spacing w:before="20" w:after="20"/>
            </w:pPr>
            <w:r>
              <w:rPr>
                <w:rFonts w:ascii="Arial" w:hAnsi="Arial"/>
                <w:sz w:val="18"/>
              </w:rPr>
              <w:t>Cost</w:t>
            </w:r>
          </w:p>
        </w:tc>
        <w:tc>
          <w:tcPr>
            <w:tcW w:type="dxa" w:w="3099"/>
          </w:tcPr>
          <w:p>
            <w:pPr>
              <w:spacing w:before="20" w:after="20"/>
            </w:pPr>
            <w:r>
              <w:rPr>
                <w:rFonts w:ascii="Arial" w:hAnsi="Arial"/>
                <w:sz w:val="18"/>
              </w:rPr>
              <w:t>Quotation required (Low) — largest capital item</w:t>
            </w:r>
          </w:p>
        </w:tc>
        <w:tc>
          <w:tcPr>
            <w:tcW w:type="dxa" w:w="3099"/>
          </w:tcPr>
          <w:p>
            <w:pPr>
              <w:spacing w:before="20" w:after="20"/>
            </w:pPr>
            <w:r>
              <w:rPr>
                <w:rFonts w:ascii="Arial" w:hAnsi="Arial"/>
                <w:sz w:val="18"/>
              </w:rPr>
              <w:t>Turnkey quote</w:t>
            </w:r>
          </w:p>
        </w:tc>
      </w:tr>
    </w:tbl>
    <w:p/>
    <w:p>
      <w:pPr>
        <w:keepNext/>
        <w:jc w:val="center"/>
        <w:pBdr>
          <w:top w:val="dashed" w:sz="8" w:color="C00000" w:space="6"/>
          <w:left w:val="dashed" w:sz="8" w:color="C00000" w:space="6"/>
          <w:bottom w:val="dashed" w:sz="8" w:color="C00000" w:space="6"/>
          <w:right w:val="dashed" w:sz="8" w:color="C00000" w:space="6"/>
        </w:pBdr>
      </w:pPr>
      <w:r>
        <w:rPr>
          <w:i/>
          <w:color w:val="804000"/>
        </w:rPr>
        <w:t>[ INSERT FIGURE 27 — machine photo (open link, screenshot/redraw) ]</w:t>
      </w:r>
    </w:p>
    <w:p>
      <w:pPr>
        <w:pStyle w:val="FigCap"/>
      </w:pPr>
      <w:r>
        <w:t>Figure 27: Conveyorised powder-coating plant (South African turnkey supplier). Market example for sizing and illustration only — redraw or insert supplier image with permission.</w:t>
      </w:r>
    </w:p>
    <w:p>
      <w:pPr>
        <w:pStyle w:val="LnkLine"/>
      </w:pPr>
      <w:r>
        <w:rPr>
          <w:sz w:val="18"/>
        </w:rPr>
        <w:t xml:space="preserve">Open source page: </w:t>
      </w:r>
      <w:hyperlink r:id="rId34">
        <w:r>
          <w:rPr>
            <w:color w:val="0563C1"/>
            <w:u w:val="single"/>
            <w:sz w:val="18"/>
            <w:rFonts w:ascii="Arial" w:hAnsi="Arial"/>
          </w:rPr>
          <w:t>https://www.pimarketing.co.za/</w:t>
        </w:r>
      </w:hyperlink>
    </w:p>
    <w:p>
      <w:r/>
      <w:r>
        <w:rPr>
          <w:b/>
        </w:rPr>
        <w:t>Workstation.</w:t>
      </w:r>
      <w:r>
        <w:t xml:space="preserve"> The enclosure runs at negative pressure with filtered extraction and make-up air; personnel enter via airlock; parts cross the wall only at trolley openings. Organic powder is combustible — this fire regime is kept entirely separate from the aluminium-dust regime [fire engineer VERIFY]. Coated parts stay on non-marking hooks/trolleys until assembly.</w:t>
      </w:r>
    </w:p>
    <w:p>
      <w:pPr>
        <w:keepNext/>
        <w:jc w:val="center"/>
      </w:pPr>
      <w:r>
        <w:drawing>
          <wp:inline xmlns:a="http://schemas.openxmlformats.org/drawingml/2006/main" xmlns:pic="http://schemas.openxmlformats.org/drawingml/2006/picture">
            <wp:extent cx="5580000" cy="3926397"/>
            <wp:docPr id="14" name="Picture 14"/>
            <wp:cNvGraphicFramePr>
              <a:graphicFrameLocks noChangeAspect="1"/>
            </wp:cNvGraphicFramePr>
            <a:graphic>
              <a:graphicData uri="http://schemas.openxmlformats.org/drawingml/2006/picture">
                <pic:pic>
                  <pic:nvPicPr>
                    <pic:cNvPr id="0" name="C14_powder_coating.png"/>
                    <pic:cNvPicPr/>
                  </pic:nvPicPr>
                  <pic:blipFill>
                    <a:blip r:embed="rId35"/>
                    <a:stretch>
                      <a:fillRect/>
                    </a:stretch>
                  </pic:blipFill>
                  <pic:spPr>
                    <a:xfrm>
                      <a:off x="0" y="0"/>
                      <a:ext cx="5580000" cy="3926397"/>
                    </a:xfrm>
                    <a:prstGeom prst="rect"/>
                  </pic:spPr>
                </pic:pic>
              </a:graphicData>
            </a:graphic>
          </wp:inline>
        </w:drawing>
      </w:r>
    </w:p>
    <w:p>
      <w:pPr>
        <w:pStyle w:val="FigCap"/>
      </w:pPr>
      <w:r>
        <w:t>Figure 28: Enclosed powder-coating area — conveyor loop (orange dashed): load → booth → cure oven → cooling → unload; airlock; extraction and make-up air (Author’s own.)</w:t>
      </w:r>
    </w:p>
    <w:p>
      <w:r/>
      <w:r>
        <w:rPr>
          <w:b/>
        </w:rPr>
        <w:t>Material handling.</w:t>
      </w:r>
      <w:r>
        <w:t xml:space="preserve"> Handles and polished subassemblies arrive at the hang station by milk-run; coated sets leave the unload station to assembly staging. The overhead conveyor is the plant’s only fixed handling system — its geometry is frozen before the building design.</w:t>
      </w:r>
    </w:p>
    <w:p>
      <w:pPr>
        <w:pStyle w:val="Heading3"/>
      </w:pPr>
      <w:r>
        <w:t>6.4.13 Final Assembly and Packaging</w:t>
      </w:r>
    </w:p>
    <w:p>
      <w:r/>
      <w:r>
        <w:rPr>
          <w:b/>
        </w:rPr>
        <w:t>Process.</w:t>
      </w:r>
      <w:r>
        <w:t xml:space="preserve"> The streams converge here only: the back handle screws into the middle handle, the handle joins the head subassembly at the hinge, and the fold is function-checked (30 s; two benches at 94.7 %). Packaging (30 s assumed [VERIFY] — brief: workstation-dependent) doubles as the final visual inspection: bag, box (10/box), palletise (5 pallets/day), with a quarantine bin keeping the quality gate auditable.</w:t>
      </w:r>
    </w:p>
    <w:p>
      <w:pPr>
        <w:pStyle w:val="TblCap"/>
      </w:pPr>
      <w:r>
        <w:t>Table 17: Final Assembly and Packaging — machine and workstation specifications</w:t>
      </w:r>
    </w:p>
    <w:tbl>
      <w:tblPr>
        <w:tblW w:type="auto" w:w="0"/>
        <w:tblLook w:firstColumn="1" w:firstRow="1" w:lastColumn="0" w:lastRow="0" w:noHBand="0" w:noVBand="1" w:val="04A0"/>
        <w:tblBorders>
          <w:top w:val="single" w:sz="4" w:color="7F7F7F"/>
          <w:left w:val="single" w:sz="4" w:color="7F7F7F"/>
          <w:bottom w:val="single" w:sz="4" w:color="7F7F7F"/>
          <w:right w:val="single" w:sz="4" w:color="7F7F7F"/>
          <w:insideH w:val="single" w:sz="4" w:color="7F7F7F"/>
          <w:insideV w:val="single" w:sz="4" w:color="7F7F7F"/>
        </w:tblBorders>
        <w:tblW w:w="5000" w:type="pct"/>
      </w:tblPr>
      <w:tblGrid>
        <w:gridCol w:w="3099"/>
        <w:gridCol w:w="3099"/>
        <w:gridCol w:w="3099"/>
      </w:tblGrid>
      <w:tr>
        <w:trPr>
          <w:cantSplit/>
          <w:tblHeader w:val="true"/>
        </w:trPr>
        <w:tc>
          <w:tcPr>
            <w:tcW w:type="dxa" w:w="3099"/>
            <w:shd w:val="clear" w:fill="E7E6E6"/>
          </w:tcPr>
          <w:p>
            <w:pPr>
              <w:spacing w:before="20" w:after="20"/>
            </w:pPr>
            <w:r>
              <w:rPr>
                <w:rFonts w:ascii="Arial" w:hAnsi="Arial"/>
                <w:b/>
                <w:sz w:val="18"/>
              </w:rPr>
              <w:t>Specification</w:t>
            </w:r>
          </w:p>
        </w:tc>
        <w:tc>
          <w:tcPr>
            <w:tcW w:type="dxa" w:w="3099"/>
            <w:shd w:val="clear" w:fill="E7E6E6"/>
          </w:tcPr>
          <w:p>
            <w:pPr>
              <w:spacing w:before="20" w:after="20"/>
            </w:pPr>
            <w:r>
              <w:rPr>
                <w:rFonts w:ascii="Arial" w:hAnsi="Arial"/>
                <w:b/>
                <w:sz w:val="18"/>
              </w:rPr>
              <w:t>Value</w:t>
            </w:r>
          </w:p>
        </w:tc>
        <w:tc>
          <w:tcPr>
            <w:tcW w:type="dxa" w:w="3099"/>
            <w:shd w:val="clear" w:fill="E7E6E6"/>
          </w:tcPr>
          <w:p>
            <w:pPr>
              <w:spacing w:before="20" w:after="20"/>
            </w:pPr>
            <w:r>
              <w:rPr>
                <w:rFonts w:ascii="Arial" w:hAnsi="Arial"/>
                <w:b/>
                <w:sz w:val="18"/>
              </w:rPr>
              <w:t>Basis</w:t>
            </w:r>
          </w:p>
        </w:tc>
      </w:tr>
      <w:tr>
        <w:trPr>
          <w:cantSplit/>
        </w:trPr>
        <w:tc>
          <w:tcPr>
            <w:tcW w:type="dxa" w:w="3099"/>
          </w:tcPr>
          <w:p>
            <w:pPr>
              <w:spacing w:before="20" w:after="20"/>
            </w:pPr>
            <w:r>
              <w:rPr>
                <w:rFonts w:ascii="Arial" w:hAnsi="Arial"/>
                <w:sz w:val="18"/>
              </w:rPr>
              <w:t>Equipment</w:t>
            </w:r>
          </w:p>
        </w:tc>
        <w:tc>
          <w:tcPr>
            <w:tcW w:type="dxa" w:w="3099"/>
          </w:tcPr>
          <w:p>
            <w:pPr>
              <w:spacing w:before="20" w:after="20"/>
            </w:pPr>
            <w:r>
              <w:rPr>
                <w:rFonts w:ascii="Arial" w:hAnsi="Arial"/>
                <w:sz w:val="18"/>
              </w:rPr>
              <w:t>Manual benches ×4 (fabricated) + holding fixtures; optional carton sealer</w:t>
            </w:r>
          </w:p>
        </w:tc>
        <w:tc>
          <w:tcPr>
            <w:tcW w:type="dxa" w:w="3099"/>
          </w:tcPr>
          <w:p>
            <w:pPr>
              <w:spacing w:before="20" w:after="20"/>
            </w:pPr>
            <w:r>
              <w:rPr>
                <w:rFonts w:ascii="Arial" w:hAnsi="Arial"/>
                <w:sz w:val="18"/>
              </w:rPr>
              <w:t>Brief: manual + visual check</w:t>
            </w:r>
          </w:p>
        </w:tc>
      </w:tr>
      <w:tr>
        <w:trPr>
          <w:cantSplit/>
        </w:trPr>
        <w:tc>
          <w:tcPr>
            <w:tcW w:type="dxa" w:w="3099"/>
          </w:tcPr>
          <w:p>
            <w:pPr>
              <w:spacing w:before="20" w:after="20"/>
            </w:pPr>
            <w:r>
              <w:rPr>
                <w:rFonts w:ascii="Arial" w:hAnsi="Arial"/>
                <w:sz w:val="18"/>
              </w:rPr>
              <w:t>Cells</w:t>
            </w:r>
          </w:p>
        </w:tc>
        <w:tc>
          <w:tcPr>
            <w:tcW w:type="dxa" w:w="3099"/>
          </w:tcPr>
          <w:p>
            <w:pPr>
              <w:spacing w:before="20" w:after="20"/>
            </w:pPr>
            <w:r>
              <w:rPr>
                <w:rFonts w:ascii="Arial" w:hAnsi="Arial"/>
                <w:sz w:val="18"/>
              </w:rPr>
              <w:t>Assembly 13.6 m²; packaging 19.8 m² drawn (18 m² corrected)</w:t>
            </w:r>
          </w:p>
        </w:tc>
        <w:tc>
          <w:tcPr>
            <w:tcW w:type="dxa" w:w="3099"/>
          </w:tcPr>
          <w:p>
            <w:pPr>
              <w:spacing w:before="20" w:after="20"/>
            </w:pPr>
            <w:r>
              <w:rPr>
                <w:rFonts w:ascii="Arial" w:hAnsi="Arial"/>
                <w:sz w:val="18"/>
              </w:rPr>
              <w:t>Drawings; §6.8</w:t>
            </w:r>
          </w:p>
        </w:tc>
      </w:tr>
      <w:tr>
        <w:trPr>
          <w:cantSplit/>
        </w:trPr>
        <w:tc>
          <w:tcPr>
            <w:tcW w:type="dxa" w:w="3099"/>
          </w:tcPr>
          <w:p>
            <w:pPr>
              <w:spacing w:before="20" w:after="20"/>
            </w:pPr>
            <w:r>
              <w:rPr>
                <w:rFonts w:ascii="Arial" w:hAnsi="Arial"/>
                <w:sz w:val="18"/>
              </w:rPr>
              <w:t>Stations / operators</w:t>
            </w:r>
          </w:p>
        </w:tc>
        <w:tc>
          <w:tcPr>
            <w:tcW w:type="dxa" w:w="3099"/>
          </w:tcPr>
          <w:p>
            <w:pPr>
              <w:spacing w:before="20" w:after="20"/>
            </w:pPr>
            <w:r>
              <w:rPr>
                <w:rFonts w:ascii="Arial" w:hAnsi="Arial"/>
                <w:sz w:val="18"/>
              </w:rPr>
              <w:t>2 + 2 / 2 + 2 (94.7 %)</w:t>
            </w:r>
          </w:p>
        </w:tc>
        <w:tc>
          <w:tcPr>
            <w:tcW w:type="dxa" w:w="3099"/>
          </w:tcPr>
          <w:p>
            <w:pPr>
              <w:spacing w:before="20" w:after="20"/>
            </w:pPr>
            <w:r>
              <w:rPr>
                <w:rFonts w:ascii="Arial" w:hAnsi="Arial"/>
                <w:sz w:val="18"/>
              </w:rPr>
              <w:t>Capacity table</w:t>
            </w:r>
          </w:p>
        </w:tc>
      </w:tr>
      <w:tr>
        <w:trPr>
          <w:cantSplit/>
        </w:trPr>
        <w:tc>
          <w:tcPr>
            <w:tcW w:type="dxa" w:w="3099"/>
          </w:tcPr>
          <w:p>
            <w:pPr>
              <w:spacing w:before="20" w:after="20"/>
            </w:pPr>
            <w:r>
              <w:rPr>
                <w:rFonts w:ascii="Arial" w:hAnsi="Arial"/>
                <w:sz w:val="18"/>
              </w:rPr>
              <w:t>Inbound</w:t>
            </w:r>
          </w:p>
        </w:tc>
        <w:tc>
          <w:tcPr>
            <w:tcW w:type="dxa" w:w="3099"/>
          </w:tcPr>
          <w:p>
            <w:pPr>
              <w:spacing w:before="20" w:after="20"/>
            </w:pPr>
            <w:r>
              <w:rPr>
                <w:rFonts w:ascii="Arial" w:hAnsi="Arial"/>
                <w:sz w:val="18"/>
              </w:rPr>
              <w:t>3 matched part flows with min/max marking</w:t>
            </w:r>
          </w:p>
        </w:tc>
        <w:tc>
          <w:tcPr>
            <w:tcW w:type="dxa" w:w="3099"/>
          </w:tcPr>
          <w:p>
            <w:pPr>
              <w:spacing w:before="20" w:after="20"/>
            </w:pPr>
            <w:r>
              <w:rPr>
                <w:rFonts w:ascii="Arial" w:hAnsi="Arial"/>
                <w:sz w:val="18"/>
              </w:rPr>
              <w:t>Layout rule</w:t>
            </w:r>
          </w:p>
        </w:tc>
      </w:tr>
      <w:tr>
        <w:trPr>
          <w:cantSplit/>
        </w:trPr>
        <w:tc>
          <w:tcPr>
            <w:tcW w:type="dxa" w:w="3099"/>
          </w:tcPr>
          <w:p>
            <w:pPr>
              <w:spacing w:before="20" w:after="20"/>
            </w:pPr>
            <w:r>
              <w:rPr>
                <w:rFonts w:ascii="Arial" w:hAnsi="Arial"/>
                <w:sz w:val="18"/>
              </w:rPr>
              <w:t>Cost</w:t>
            </w:r>
          </w:p>
        </w:tc>
        <w:tc>
          <w:tcPr>
            <w:tcW w:type="dxa" w:w="3099"/>
          </w:tcPr>
          <w:p>
            <w:pPr>
              <w:spacing w:before="20" w:after="20"/>
            </w:pPr>
            <w:r>
              <w:rPr>
                <w:rFonts w:ascii="Arial" w:hAnsi="Arial"/>
                <w:sz w:val="18"/>
              </w:rPr>
              <w:t>Fabrication quotes (Low)</w:t>
            </w:r>
          </w:p>
        </w:tc>
        <w:tc>
          <w:tcPr>
            <w:tcW w:type="dxa" w:w="3099"/>
          </w:tcPr>
          <w:p>
            <w:pPr>
              <w:spacing w:before="20" w:after="20"/>
            </w:pPr>
            <w:r>
              <w:rPr>
                <w:rFonts w:ascii="Arial" w:hAnsi="Arial"/>
                <w:sz w:val="18"/>
              </w:rPr>
            </w:r>
          </w:p>
        </w:tc>
      </w:tr>
    </w:tbl>
    <w:p/>
    <w:p>
      <w:pPr>
        <w:keepNext/>
        <w:jc w:val="center"/>
        <w:pBdr>
          <w:top w:val="dashed" w:sz="8" w:color="C00000" w:space="6"/>
          <w:left w:val="dashed" w:sz="8" w:color="C00000" w:space="6"/>
          <w:bottom w:val="dashed" w:sz="8" w:color="C00000" w:space="6"/>
          <w:right w:val="dashed" w:sz="8" w:color="C00000" w:space="6"/>
        </w:pBdr>
      </w:pPr>
      <w:r>
        <w:rPr>
          <w:i/>
          <w:color w:val="804000"/>
        </w:rPr>
        <w:t>[ INSERT FIGURE 29 — machine photo (open link, screenshot/redraw) ]</w:t>
      </w:r>
    </w:p>
    <w:p>
      <w:pPr>
        <w:pStyle w:val="FigCap"/>
      </w:pPr>
      <w:r>
        <w:t>Figure 29: Hand pallet truck at pallet build (R4 695 incl VAT — verified retail price). Market example for sizing and illustration only — redraw or insert supplier image with permission.</w:t>
      </w:r>
    </w:p>
    <w:p>
      <w:pPr>
        <w:pStyle w:val="LnkLine"/>
      </w:pPr>
      <w:r>
        <w:rPr>
          <w:sz w:val="18"/>
        </w:rPr>
        <w:t xml:space="preserve">Open source page: </w:t>
      </w:r>
      <w:hyperlink r:id="rId36">
        <w:r>
          <w:rPr>
            <w:color w:val="0563C1"/>
            <w:u w:val="single"/>
            <w:sz w:val="18"/>
            <w:rFonts w:ascii="Arial" w:hAnsi="Arial"/>
          </w:rPr>
          <w:t>https://www.adendorff.co.za/mac-afric-2-ton-pallet-truck-685-x-1220-mm-gpallt000</w:t>
        </w:r>
      </w:hyperlink>
    </w:p>
    <w:p>
      <w:r/>
      <w:r>
        <w:rPr>
          <w:b/>
        </w:rPr>
        <w:t>Workstation.</w:t>
      </w:r>
      <w:r>
        <w:t xml:space="preserve"> Assembly is clean, quiet, elbow-height work; a shortage of any one of the three coated items stops the line, so all three bins carry min/max marks. Packaging adds inspection-grade lighting, point-of-use bag/box shelving and no above-shoulder pallet lifts.</w:t>
      </w:r>
    </w:p>
    <w:p>
      <w:pPr>
        <w:keepNext/>
        <w:jc w:val="center"/>
      </w:pPr>
      <w:r>
        <w:drawing>
          <wp:inline xmlns:a="http://schemas.openxmlformats.org/drawingml/2006/main" xmlns:pic="http://schemas.openxmlformats.org/drawingml/2006/picture">
            <wp:extent cx="5580000" cy="6213190"/>
            <wp:docPr id="15" name="Picture 15"/>
            <wp:cNvGraphicFramePr>
              <a:graphicFrameLocks noChangeAspect="1"/>
            </wp:cNvGraphicFramePr>
            <a:graphic>
              <a:graphicData uri="http://schemas.openxmlformats.org/drawingml/2006/picture">
                <pic:pic>
                  <pic:nvPicPr>
                    <pic:cNvPr id="0" name="C15_final_assembly.png"/>
                    <pic:cNvPicPr/>
                  </pic:nvPicPr>
                  <pic:blipFill>
                    <a:blip r:embed="rId37"/>
                    <a:stretch>
                      <a:fillRect/>
                    </a:stretch>
                  </pic:blipFill>
                  <pic:spPr>
                    <a:xfrm>
                      <a:off x="0" y="0"/>
                      <a:ext cx="5580000" cy="6213190"/>
                    </a:xfrm>
                    <a:prstGeom prst="rect"/>
                  </pic:spPr>
                </pic:pic>
              </a:graphicData>
            </a:graphic>
          </wp:inline>
        </w:drawing>
      </w:r>
    </w:p>
    <w:p>
      <w:pPr>
        <w:pStyle w:val="FigCap"/>
      </w:pPr>
      <w:r>
        <w:t>Figure 30: Final-assembly cell — three-part staging strip within reach envelope; the only convergence of tube and sheet streams (Author’s own.)</w:t>
      </w:r>
    </w:p>
    <w:p>
      <w:r/>
      <w:r>
        <w:rPr>
          <w:b/>
        </w:rPr>
        <w:t>Material handling.</w:t>
      </w:r>
      <w:r>
        <w:t xml:space="preserve"> Completed shovels pass bench-to-bench by bin — the shortest handling link in the plant; full pallets move by hand pallet truck to finished-goods racking (FIFO putaway end).</w:t>
      </w:r>
    </w:p>
    <w:p>
      <w:pPr>
        <w:keepNext/>
        <w:jc w:val="center"/>
      </w:pPr>
      <w:r>
        <w:drawing>
          <wp:inline xmlns:a="http://schemas.openxmlformats.org/drawingml/2006/main" xmlns:pic="http://schemas.openxmlformats.org/drawingml/2006/picture">
            <wp:extent cx="5580000" cy="4576190"/>
            <wp:docPr id="16" name="Picture 16"/>
            <wp:cNvGraphicFramePr>
              <a:graphicFrameLocks noChangeAspect="1"/>
            </wp:cNvGraphicFramePr>
            <a:graphic>
              <a:graphicData uri="http://schemas.openxmlformats.org/drawingml/2006/picture">
                <pic:pic>
                  <pic:nvPicPr>
                    <pic:cNvPr id="0" name="C16_packaging.png"/>
                    <pic:cNvPicPr/>
                  </pic:nvPicPr>
                  <pic:blipFill>
                    <a:blip r:embed="rId38"/>
                    <a:stretch>
                      <a:fillRect/>
                    </a:stretch>
                  </pic:blipFill>
                  <pic:spPr>
                    <a:xfrm>
                      <a:off x="0" y="0"/>
                      <a:ext cx="5580000" cy="4576190"/>
                    </a:xfrm>
                    <a:prstGeom prst="rect"/>
                  </pic:spPr>
                </pic:pic>
              </a:graphicData>
            </a:graphic>
          </wp:inline>
        </w:drawing>
      </w:r>
    </w:p>
    <w:p>
      <w:pPr>
        <w:pStyle w:val="FigCap"/>
      </w:pPr>
      <w:r>
        <w:t>Figure 31: Packaging and final visual check cell — consumable shelving, quarantine bin, pallet-build positions (Author’s own.)</w:t>
      </w:r>
    </w:p>
    <w:p>
      <w:pPr>
        <w:pStyle w:val="Heading2"/>
      </w:pPr>
      <w:r>
        <w:t>6.5 Receiving and Dispatch</w:t>
      </w:r>
    </w:p>
    <w:p>
      <w:r>
        <w:t xml:space="preserve">Flows are small but asymmetric in unit type: inbound arrives as 6 m bundles and palletised sheets a few times per week; outbound leaves daily as five pallets on DigMore’s fleet plus customer-collected small orders. One </w:t>
      </w:r>
      <w:r>
        <w:rPr>
          <w:b/>
        </w:rPr>
        <w:t>time-shared leveller dock</w:t>
      </w:r>
      <w:r>
        <w:t xml:space="preserve"> (receive mornings, dispatch afternoons — loading 5 pallets takes ≈30 min) and one </w:t>
      </w:r>
      <w:r>
        <w:rPr>
          <w:b/>
        </w:rPr>
        <w:t>ground-level bay</w:t>
      </w:r>
      <w:r>
        <w:t xml:space="preserve"> for tube bundles and skip exchange cover the duty within the 250 m² allowance; a knock-out panel reserves a second dock as the cheapest expansion. The six truck bays (360 m²) are </w:t>
      </w:r>
      <w:r>
        <w:rPr>
          <w:b/>
        </w:rPr>
        <w:t>fleet parking, not loading docks</w:t>
      </w:r>
      <w:r>
        <w:t>. Trucks marshal on the industrial side under one-way circulation; customers reach a pedestrian-only collection counter on the visitor side and never enter the yard or factory. Dock levellers and seals are standard SA catalogue items (Maxiflex); the single shared counterbalance forklift is viable because total truck movements are only 3–5 per day.</w:t>
      </w:r>
    </w:p>
    <w:p>
      <w:pPr>
        <w:keepNext/>
        <w:jc w:val="center"/>
      </w:pPr>
      <w:r>
        <w:drawing>
          <wp:inline xmlns:a="http://schemas.openxmlformats.org/drawingml/2006/main" xmlns:pic="http://schemas.openxmlformats.org/drawingml/2006/picture">
            <wp:extent cx="5580000" cy="4436444"/>
            <wp:docPr id="17" name="Picture 17"/>
            <wp:cNvGraphicFramePr>
              <a:graphicFrameLocks noChangeAspect="1"/>
            </wp:cNvGraphicFramePr>
            <a:graphic>
              <a:graphicData uri="http://schemas.openxmlformats.org/drawingml/2006/picture">
                <pic:pic>
                  <pic:nvPicPr>
                    <pic:cNvPr id="0" name="C19_dock_interface.png"/>
                    <pic:cNvPicPr/>
                  </pic:nvPicPr>
                  <pic:blipFill>
                    <a:blip r:embed="rId39"/>
                    <a:stretch>
                      <a:fillRect/>
                    </a:stretch>
                  </pic:blipFill>
                  <pic:spPr>
                    <a:xfrm>
                      <a:off x="0" y="0"/>
                      <a:ext cx="5580000" cy="4436444"/>
                    </a:xfrm>
                    <a:prstGeom prst="rect"/>
                  </pic:spPr>
                </pic:pic>
              </a:graphicData>
            </a:graphic>
          </wp:inline>
        </w:drawing>
      </w:r>
    </w:p>
    <w:p>
      <w:pPr>
        <w:pStyle w:val="FigCap"/>
      </w:pPr>
      <w:r>
        <w:t>Figure 32: Receiving and dispatch dock interface — five warehouse areas in U-flow; time-shared dock; segregated customer collection (Author’s own.)</w:t>
      </w:r>
    </w:p>
    <w:p>
      <w:r/>
      <w:r>
        <w:rPr>
          <w:b/>
        </w:rPr>
        <w:t>Key findings and layout implications.</w:t>
      </w:r>
      <w:r>
        <w:t xml:space="preserve"> The tube store must sit on the truck-apron perimeter (a flatbed-plus-forklift side offload needs a straight apron), finished goods beside the shared dock with packaging behind it, and the customer interface on the visitor face. U-flow versus straight-through is the biggest flow decision distinguishing the layout alternatives; at these volumes U-flow wins — shared dock, forklift and staging at no throughput cost.</w:t>
      </w:r>
    </w:p>
    <w:p>
      <w:pPr>
        <w:pStyle w:val="Heading2"/>
      </w:pPr>
      <w:r>
        <w:t>6.6 Storage and Material Handling</w:t>
      </w:r>
    </w:p>
    <w:p>
      <w:pPr>
        <w:tabs>
          <w:tab w:pos="9071" w:val="right"/>
        </w:tabs>
      </w:pPr>
      <w:r>
        <w:rPr>
          <w:rFonts w:ascii="Cambria Math" w:hAnsi="Cambria Math"/>
          <w:i/>
          <w:sz w:val="22"/>
        </w:rPr>
        <w:t xml:space="preserve">        Floor positions = ⌈unit loads / levels⌉;   A(store) = positions × 1.2 m² × 1.6 aisle factor</w:t>
      </w:r>
      <w:r>
        <w:rPr>
          <w:sz w:val="20"/>
        </w:rPr>
        <w:tab/>
        <w:t>(11)</w:t>
      </w:r>
    </w:p>
    <w:p>
      <w:pPr>
        <w:pStyle w:val="TblCap"/>
      </w:pPr>
      <w:r>
        <w:t>Table 18: Storage sizing summary</w:t>
      </w:r>
    </w:p>
    <w:tbl>
      <w:tblPr>
        <w:tblW w:type="auto" w:w="0"/>
        <w:tblLook w:firstColumn="1" w:firstRow="1" w:lastColumn="0" w:lastRow="0" w:noHBand="0" w:noVBand="1" w:val="04A0"/>
        <w:tblBorders>
          <w:top w:val="single" w:sz="4" w:color="7F7F7F"/>
          <w:left w:val="single" w:sz="4" w:color="7F7F7F"/>
          <w:bottom w:val="single" w:sz="4" w:color="7F7F7F"/>
          <w:right w:val="single" w:sz="4" w:color="7F7F7F"/>
          <w:insideH w:val="single" w:sz="4" w:color="7F7F7F"/>
          <w:insideV w:val="single" w:sz="4" w:color="7F7F7F"/>
        </w:tblBorders>
        <w:tblW w:w="5000" w:type="pct"/>
      </w:tblPr>
      <w:tblGrid>
        <w:gridCol w:w="2324"/>
        <w:gridCol w:w="2324"/>
        <w:gridCol w:w="2324"/>
        <w:gridCol w:w="2324"/>
      </w:tblGrid>
      <w:tr>
        <w:trPr>
          <w:cantSplit/>
          <w:tblHeader w:val="true"/>
        </w:trPr>
        <w:tc>
          <w:tcPr>
            <w:tcW w:type="dxa" w:w="2324"/>
            <w:shd w:val="clear" w:fill="E7E6E6"/>
          </w:tcPr>
          <w:p>
            <w:pPr>
              <w:spacing w:before="20" w:after="20"/>
            </w:pPr>
            <w:r>
              <w:rPr>
                <w:rFonts w:ascii="Arial" w:hAnsi="Arial"/>
                <w:b/>
                <w:sz w:val="18"/>
              </w:rPr>
              <w:t>Store</w:t>
            </w:r>
          </w:p>
        </w:tc>
        <w:tc>
          <w:tcPr>
            <w:tcW w:type="dxa" w:w="2324"/>
            <w:shd w:val="clear" w:fill="E7E6E6"/>
          </w:tcPr>
          <w:p>
            <w:pPr>
              <w:spacing w:before="20" w:after="20"/>
            </w:pPr>
            <w:r>
              <w:rPr>
                <w:rFonts w:ascii="Arial" w:hAnsi="Arial"/>
                <w:b/>
                <w:sz w:val="18"/>
              </w:rPr>
              <w:t>Loads</w:t>
            </w:r>
          </w:p>
        </w:tc>
        <w:tc>
          <w:tcPr>
            <w:tcW w:type="dxa" w:w="2324"/>
            <w:shd w:val="clear" w:fill="E7E6E6"/>
          </w:tcPr>
          <w:p>
            <w:pPr>
              <w:spacing w:before="20" w:after="20"/>
            </w:pPr>
            <w:r>
              <w:rPr>
                <w:rFonts w:ascii="Arial" w:hAnsi="Arial"/>
                <w:b/>
                <w:sz w:val="18"/>
              </w:rPr>
              <w:t>Positions</w:t>
            </w:r>
          </w:p>
        </w:tc>
        <w:tc>
          <w:tcPr>
            <w:tcW w:type="dxa" w:w="2324"/>
            <w:shd w:val="clear" w:fill="E7E6E6"/>
          </w:tcPr>
          <w:p>
            <w:pPr>
              <w:spacing w:before="20" w:after="20"/>
            </w:pPr>
            <w:r>
              <w:rPr>
                <w:rFonts w:ascii="Arial" w:hAnsi="Arial"/>
                <w:b/>
                <w:sz w:val="18"/>
              </w:rPr>
              <w:t>Floor area</w:t>
            </w:r>
          </w:p>
        </w:tc>
      </w:tr>
      <w:tr>
        <w:trPr>
          <w:cantSplit/>
        </w:trPr>
        <w:tc>
          <w:tcPr>
            <w:tcW w:type="dxa" w:w="2324"/>
          </w:tcPr>
          <w:p>
            <w:pPr>
              <w:spacing w:before="20" w:after="20"/>
            </w:pPr>
            <w:r>
              <w:rPr>
                <w:rFonts w:ascii="Arial" w:hAnsi="Arial"/>
                <w:sz w:val="18"/>
              </w:rPr>
              <w:t>Raw tube (2 wk)</w:t>
            </w:r>
          </w:p>
        </w:tc>
        <w:tc>
          <w:tcPr>
            <w:tcW w:type="dxa" w:w="2324"/>
          </w:tcPr>
          <w:p>
            <w:pPr>
              <w:spacing w:before="20" w:after="20"/>
            </w:pPr>
            <w:r>
              <w:rPr>
                <w:rFonts w:ascii="Arial" w:hAnsi="Arial"/>
                <w:sz w:val="18"/>
              </w:rPr>
              <w:t>990 tubes</w:t>
            </w:r>
          </w:p>
        </w:tc>
        <w:tc>
          <w:tcPr>
            <w:tcW w:type="dxa" w:w="2324"/>
          </w:tcPr>
          <w:p>
            <w:pPr>
              <w:spacing w:before="20" w:after="20"/>
            </w:pPr>
            <w:r>
              <w:rPr>
                <w:rFonts w:ascii="Arial" w:hAnsi="Arial"/>
                <w:sz w:val="18"/>
              </w:rPr>
              <w:t>4 cantilever racks</w:t>
            </w:r>
          </w:p>
        </w:tc>
        <w:tc>
          <w:tcPr>
            <w:tcW w:type="dxa" w:w="2324"/>
          </w:tcPr>
          <w:p>
            <w:pPr>
              <w:spacing w:before="20" w:after="20"/>
            </w:pPr>
            <w:r>
              <w:rPr>
                <w:rFonts w:ascii="Arial" w:hAnsi="Arial"/>
                <w:sz w:val="18"/>
              </w:rPr>
              <w:t>38.4 m²</w:t>
            </w:r>
          </w:p>
        </w:tc>
      </w:tr>
      <w:tr>
        <w:trPr>
          <w:cantSplit/>
        </w:trPr>
        <w:tc>
          <w:tcPr>
            <w:tcW w:type="dxa" w:w="2324"/>
          </w:tcPr>
          <w:p>
            <w:pPr>
              <w:spacing w:before="20" w:after="20"/>
            </w:pPr>
            <w:r>
              <w:rPr>
                <w:rFonts w:ascii="Arial" w:hAnsi="Arial"/>
                <w:sz w:val="18"/>
              </w:rPr>
              <w:t>Raw sheet (2 wk)</w:t>
            </w:r>
          </w:p>
        </w:tc>
        <w:tc>
          <w:tcPr>
            <w:tcW w:type="dxa" w:w="2324"/>
          </w:tcPr>
          <w:p>
            <w:pPr>
              <w:spacing w:before="20" w:after="20"/>
            </w:pPr>
            <w:r>
              <w:rPr>
                <w:rFonts w:ascii="Arial" w:hAnsi="Arial"/>
                <w:sz w:val="18"/>
              </w:rPr>
              <w:t>240 sheets</w:t>
            </w:r>
          </w:p>
        </w:tc>
        <w:tc>
          <w:tcPr>
            <w:tcW w:type="dxa" w:w="2324"/>
          </w:tcPr>
          <w:p>
            <w:pPr>
              <w:spacing w:before="20" w:after="20"/>
            </w:pPr>
            <w:r>
              <w:rPr>
                <w:rFonts w:ascii="Arial" w:hAnsi="Arial"/>
                <w:sz w:val="18"/>
              </w:rPr>
              <w:t>2 stacks</w:t>
            </w:r>
          </w:p>
        </w:tc>
        <w:tc>
          <w:tcPr>
            <w:tcW w:type="dxa" w:w="2324"/>
          </w:tcPr>
          <w:p>
            <w:pPr>
              <w:spacing w:before="20" w:after="20"/>
            </w:pPr>
            <w:r>
              <w:rPr>
                <w:rFonts w:ascii="Arial" w:hAnsi="Arial"/>
                <w:sz w:val="18"/>
              </w:rPr>
              <w:t>10.0 m²</w:t>
            </w:r>
          </w:p>
        </w:tc>
      </w:tr>
      <w:tr>
        <w:trPr>
          <w:cantSplit/>
        </w:trPr>
        <w:tc>
          <w:tcPr>
            <w:tcW w:type="dxa" w:w="2324"/>
          </w:tcPr>
          <w:p>
            <w:pPr>
              <w:spacing w:before="20" w:after="20"/>
            </w:pPr>
            <w:r>
              <w:rPr>
                <w:rFonts w:ascii="Arial" w:hAnsi="Arial"/>
                <w:sz w:val="18"/>
              </w:rPr>
              <w:t>WIP (aggregate)</w:t>
            </w:r>
          </w:p>
        </w:tc>
        <w:tc>
          <w:tcPr>
            <w:tcW w:type="dxa" w:w="2324"/>
          </w:tcPr>
          <w:p>
            <w:pPr>
              <w:spacing w:before="20" w:after="20"/>
            </w:pPr>
            <w:r>
              <w:rPr>
                <w:rFonts w:ascii="Arial" w:hAnsi="Arial"/>
                <w:sz w:val="18"/>
              </w:rPr>
              <w:t>5 pallet-equiv</w:t>
            </w:r>
          </w:p>
        </w:tc>
        <w:tc>
          <w:tcPr>
            <w:tcW w:type="dxa" w:w="2324"/>
          </w:tcPr>
          <w:p>
            <w:pPr>
              <w:spacing w:before="20" w:after="20"/>
            </w:pPr>
            <w:r>
              <w:rPr>
                <w:rFonts w:ascii="Arial" w:hAnsi="Arial"/>
                <w:sz w:val="18"/>
              </w:rPr>
              <w:t>2</w:t>
            </w:r>
          </w:p>
        </w:tc>
        <w:tc>
          <w:tcPr>
            <w:tcW w:type="dxa" w:w="2324"/>
          </w:tcPr>
          <w:p>
            <w:pPr>
              <w:spacing w:before="20" w:after="20"/>
            </w:pPr>
            <w:r>
              <w:rPr>
                <w:rFonts w:ascii="Arial" w:hAnsi="Arial"/>
                <w:sz w:val="18"/>
              </w:rPr>
              <w:t>3.8 m² (+19.2 m² oven buffers, §6.8)</w:t>
            </w:r>
          </w:p>
        </w:tc>
      </w:tr>
      <w:tr>
        <w:trPr>
          <w:cantSplit/>
        </w:trPr>
        <w:tc>
          <w:tcPr>
            <w:tcW w:type="dxa" w:w="2324"/>
          </w:tcPr>
          <w:p>
            <w:pPr>
              <w:spacing w:before="20" w:after="20"/>
            </w:pPr>
            <w:r>
              <w:rPr>
                <w:rFonts w:ascii="Arial" w:hAnsi="Arial"/>
                <w:sz w:val="18"/>
              </w:rPr>
              <w:t>Finished goods (4 wk)</w:t>
            </w:r>
          </w:p>
        </w:tc>
        <w:tc>
          <w:tcPr>
            <w:tcW w:type="dxa" w:w="2324"/>
          </w:tcPr>
          <w:p>
            <w:pPr>
              <w:spacing w:before="20" w:after="20"/>
            </w:pPr>
            <w:r>
              <w:rPr>
                <w:rFonts w:ascii="Arial" w:hAnsi="Arial"/>
                <w:sz w:val="18"/>
              </w:rPr>
              <w:t>91 pallets</w:t>
            </w:r>
          </w:p>
        </w:tc>
        <w:tc>
          <w:tcPr>
            <w:tcW w:type="dxa" w:w="2324"/>
          </w:tcPr>
          <w:p>
            <w:pPr>
              <w:spacing w:before="20" w:after="20"/>
            </w:pPr>
            <w:r>
              <w:rPr>
                <w:rFonts w:ascii="Arial" w:hAnsi="Arial"/>
                <w:sz w:val="18"/>
              </w:rPr>
              <w:t>31 (3 levels)</w:t>
            </w:r>
          </w:p>
        </w:tc>
        <w:tc>
          <w:tcPr>
            <w:tcW w:type="dxa" w:w="2324"/>
          </w:tcPr>
          <w:p>
            <w:pPr>
              <w:spacing w:before="20" w:after="20"/>
            </w:pPr>
            <w:r>
              <w:rPr>
                <w:rFonts w:ascii="Arial" w:hAnsi="Arial"/>
                <w:sz w:val="18"/>
              </w:rPr>
              <w:t>59.5 m²</w:t>
            </w:r>
          </w:p>
        </w:tc>
      </w:tr>
      <w:tr>
        <w:trPr>
          <w:cantSplit/>
        </w:trPr>
        <w:tc>
          <w:tcPr>
            <w:tcW w:type="dxa" w:w="2324"/>
          </w:tcPr>
          <w:p>
            <w:pPr>
              <w:spacing w:before="20" w:after="20"/>
            </w:pPr>
            <w:r>
              <w:rPr>
                <w:rFonts w:ascii="Arial" w:hAnsi="Arial"/>
                <w:sz w:val="18"/>
              </w:rPr>
              <w:t>Scrap / waste</w:t>
            </w:r>
          </w:p>
        </w:tc>
        <w:tc>
          <w:tcPr>
            <w:tcW w:type="dxa" w:w="2324"/>
          </w:tcPr>
          <w:p>
            <w:pPr>
              <w:spacing w:before="20" w:after="20"/>
            </w:pPr>
            <w:r>
              <w:rPr>
                <w:rFonts w:ascii="Arial" w:hAnsi="Arial"/>
                <w:sz w:val="18"/>
              </w:rPr>
              <w:t>4 segregated streams</w:t>
            </w:r>
          </w:p>
        </w:tc>
        <w:tc>
          <w:tcPr>
            <w:tcW w:type="dxa" w:w="2324"/>
          </w:tcPr>
          <w:p>
            <w:pPr>
              <w:spacing w:before="20" w:after="20"/>
            </w:pPr>
            <w:r>
              <w:rPr>
                <w:rFonts w:ascii="Arial" w:hAnsi="Arial"/>
                <w:sz w:val="18"/>
              </w:rPr>
              <w:t>skips + drums</w:t>
            </w:r>
          </w:p>
        </w:tc>
        <w:tc>
          <w:tcPr>
            <w:tcW w:type="dxa" w:w="2324"/>
          </w:tcPr>
          <w:p>
            <w:pPr>
              <w:spacing w:before="20" w:after="20"/>
            </w:pPr>
            <w:r>
              <w:rPr>
                <w:rFonts w:ascii="Arial" w:hAnsi="Arial"/>
                <w:sz w:val="18"/>
              </w:rPr>
              <w:t>40.0 m²</w:t>
            </w:r>
          </w:p>
        </w:tc>
      </w:tr>
      <w:tr>
        <w:trPr>
          <w:cantSplit/>
        </w:trPr>
        <w:tc>
          <w:tcPr>
            <w:tcW w:type="dxa" w:w="2324"/>
          </w:tcPr>
          <w:p>
            <w:pPr>
              <w:spacing w:before="20" w:after="20"/>
            </w:pPr>
            <w:r>
              <w:rPr>
                <w:rFonts w:ascii="Arial" w:hAnsi="Arial"/>
                <w:sz w:val="18"/>
              </w:rPr>
              <w:t>TOTAL</w:t>
            </w:r>
          </w:p>
        </w:tc>
        <w:tc>
          <w:tcPr>
            <w:tcW w:type="dxa" w:w="2324"/>
          </w:tcPr>
          <w:p>
            <w:pPr>
              <w:spacing w:before="20" w:after="20"/>
            </w:pPr>
            <w:r>
              <w:rPr>
                <w:rFonts w:ascii="Arial" w:hAnsi="Arial"/>
                <w:sz w:val="18"/>
              </w:rPr>
            </w:r>
          </w:p>
        </w:tc>
        <w:tc>
          <w:tcPr>
            <w:tcW w:type="dxa" w:w="2324"/>
          </w:tcPr>
          <w:p>
            <w:pPr>
              <w:spacing w:before="20" w:after="20"/>
            </w:pPr>
            <w:r>
              <w:rPr>
                <w:rFonts w:ascii="Arial" w:hAnsi="Arial"/>
                <w:sz w:val="18"/>
              </w:rPr>
            </w:r>
          </w:p>
        </w:tc>
        <w:tc>
          <w:tcPr>
            <w:tcW w:type="dxa" w:w="2324"/>
          </w:tcPr>
          <w:p>
            <w:pPr>
              <w:spacing w:before="20" w:after="20"/>
            </w:pPr>
            <w:r>
              <w:rPr>
                <w:rFonts w:ascii="Arial" w:hAnsi="Arial"/>
                <w:sz w:val="18"/>
              </w:rPr>
              <w:t>151.8 m²</w:t>
            </w:r>
          </w:p>
        </w:tc>
      </w:tr>
    </w:tbl>
    <w:p/>
    <w:p>
      <w:r>
        <w:t xml:space="preserve">Finished goods use </w:t>
      </w:r>
      <w:r>
        <w:rPr>
          <w:b/>
        </w:rPr>
        <w:t>three-level selective racking</w:t>
      </w:r>
      <w:r>
        <w:t xml:space="preserve"> rather than denser drive-in: with a single SKU drive-in is tempting, but it enforces LIFO and the four-week cover must turn FIFO. Two single-deep rows face one 3.5 m forklift aisle with the pick face at the collection end (Krost class; published SA range R1 500–4 000 per pallet position → R139 500–372 000). Cantilever racks face an aisle that doubles as the saw feed lane. The waste store segregates saleable aluminium scrap, sealed combustible-dust drums, spent media and general waste at the ground bay for skip exchange.</w:t>
      </w:r>
    </w:p>
    <w:p>
      <w:pPr>
        <w:keepNext/>
        <w:jc w:val="center"/>
      </w:pPr>
      <w:r>
        <w:drawing>
          <wp:inline xmlns:a="http://schemas.openxmlformats.org/drawingml/2006/main" xmlns:pic="http://schemas.openxmlformats.org/drawingml/2006/picture">
            <wp:extent cx="5580000" cy="3957008"/>
            <wp:docPr id="18" name="Picture 18"/>
            <wp:cNvGraphicFramePr>
              <a:graphicFrameLocks noChangeAspect="1"/>
            </wp:cNvGraphicFramePr>
            <a:graphic>
              <a:graphicData uri="http://schemas.openxmlformats.org/drawingml/2006/picture">
                <pic:pic>
                  <pic:nvPicPr>
                    <pic:cNvPr id="0" name="C18_rm_storage.png"/>
                    <pic:cNvPicPr/>
                  </pic:nvPicPr>
                  <pic:blipFill>
                    <a:blip r:embed="rId40"/>
                    <a:stretch>
                      <a:fillRect/>
                    </a:stretch>
                  </pic:blipFill>
                  <pic:spPr>
                    <a:xfrm>
                      <a:off x="0" y="0"/>
                      <a:ext cx="5580000" cy="3957008"/>
                    </a:xfrm>
                    <a:prstGeom prst="rect"/>
                  </pic:spPr>
                </pic:pic>
              </a:graphicData>
            </a:graphic>
          </wp:inline>
        </w:drawing>
      </w:r>
    </w:p>
    <w:p>
      <w:pPr>
        <w:pStyle w:val="FigCap"/>
      </w:pPr>
      <w:r>
        <w:t>Figure 33: Raw-material storage interface — receiving adjacent to storage; the putaway aisle doubles as the saw feed lane (Author’s own.)</w:t>
      </w:r>
    </w:p>
    <w:p>
      <w:pPr>
        <w:keepNext/>
        <w:jc w:val="center"/>
      </w:pPr>
      <w:r>
        <w:drawing>
          <wp:inline xmlns:a="http://schemas.openxmlformats.org/drawingml/2006/main" xmlns:pic="http://schemas.openxmlformats.org/drawingml/2006/picture">
            <wp:extent cx="5580000" cy="5280757"/>
            <wp:docPr id="19" name="Picture 19"/>
            <wp:cNvGraphicFramePr>
              <a:graphicFrameLocks noChangeAspect="1"/>
            </wp:cNvGraphicFramePr>
            <a:graphic>
              <a:graphicData uri="http://schemas.openxmlformats.org/drawingml/2006/picture">
                <pic:pic>
                  <pic:nvPicPr>
                    <pic:cNvPr id="0" name="C17_fg_dispatch.png"/>
                    <pic:cNvPicPr/>
                  </pic:nvPicPr>
                  <pic:blipFill>
                    <a:blip r:embed="rId41"/>
                    <a:stretch>
                      <a:fillRect/>
                    </a:stretch>
                  </pic:blipFill>
                  <pic:spPr>
                    <a:xfrm>
                      <a:off x="0" y="0"/>
                      <a:ext cx="5580000" cy="5280757"/>
                    </a:xfrm>
                    <a:prstGeom prst="rect"/>
                  </pic:spPr>
                </pic:pic>
              </a:graphicData>
            </a:graphic>
          </wp:inline>
        </w:drawing>
      </w:r>
    </w:p>
    <w:p>
      <w:pPr>
        <w:pStyle w:val="FigCap"/>
      </w:pPr>
      <w:r>
        <w:t>Figure 34: Finished-goods racking and dispatch — FIFO putaway-to-pick; 3.5 m forklift aisle; customer counter on the visitor side (Author’s own.)</w:t>
      </w:r>
    </w:p>
    <w:p>
      <w:r/>
      <w:r>
        <w:rPr>
          <w:b/>
        </w:rPr>
        <w:t>Operator movement rule.</w:t>
      </w:r>
      <w:r>
        <w:t xml:space="preserve"> Stations above 90 % utilisation are never self-served: at 94.7 % a station holds only 25 minutes of slack per shift, and an operator fetching for five minutes per hour destroys ≈8 % of capacity. The five material handlers therefore run an </w:t>
      </w:r>
      <w:r>
        <w:rPr>
          <w:b/>
        </w:rPr>
        <w:t>hourly fixed-route milk-run</w:t>
      </w:r>
      <w:r>
        <w:t xml:space="preserve"> with two-bin kanban at every station; the press cell (13–33 %) self-serves during idle time. Fleet: one electric counterbalance forklift (≈2.5 t, long-load forks — Toyota Forklift SA class), one powered pallet truck, two hand pallet trucks (R4 695 each, verified), a tugger and four fabricated tube carts. Aisles: 3.5 m forklift, 2.0 m trolley, separated pedestrian walkways; the rack aisle is straight-through because a 6 m load cannot swing at the face.</w:t>
      </w:r>
    </w:p>
    <w:p>
      <w:pPr>
        <w:keepNext/>
        <w:jc w:val="center"/>
      </w:pPr>
      <w:r>
        <w:drawing>
          <wp:inline xmlns:a="http://schemas.openxmlformats.org/drawingml/2006/main" xmlns:pic="http://schemas.openxmlformats.org/drawingml/2006/picture">
            <wp:extent cx="5940000" cy="5083902"/>
            <wp:docPr id="20" name="Picture 20"/>
            <wp:cNvGraphicFramePr>
              <a:graphicFrameLocks noChangeAspect="1"/>
            </wp:cNvGraphicFramePr>
            <a:graphic>
              <a:graphicData uri="http://schemas.openxmlformats.org/drawingml/2006/picture">
                <pic:pic>
                  <pic:nvPicPr>
                    <pic:cNvPr id="0" name="C20_milkrun_route.png"/>
                    <pic:cNvPicPr/>
                  </pic:nvPicPr>
                  <pic:blipFill>
                    <a:blip r:embed="rId42"/>
                    <a:stretch>
                      <a:fillRect/>
                    </a:stretch>
                  </pic:blipFill>
                  <pic:spPr>
                    <a:xfrm>
                      <a:off x="0" y="0"/>
                      <a:ext cx="5940000" cy="5083902"/>
                    </a:xfrm>
                    <a:prstGeom prst="rect"/>
                  </pic:spPr>
                </pic:pic>
              </a:graphicData>
            </a:graphic>
          </wp:inline>
        </w:drawing>
      </w:r>
    </w:p>
    <w:p>
      <w:pPr>
        <w:pStyle w:val="FigCap"/>
      </w:pPr>
      <w:r>
        <w:t>Figure 35: Material-handling milk-run route — hourly loop, stops 1–12, within the ≈1 940 m² envelope; route length is a layout-scoring metric (Author’s own.)</w:t>
      </w:r>
    </w:p>
    <w:p>
      <w:r/>
      <w:r>
        <w:rPr>
          <w:b/>
        </w:rPr>
        <w:t>Key findings and layout implications.</w:t>
      </w:r>
      <w:r>
        <w:t xml:space="preserve"> Every store is placed by its consumer, not by storage convenience. The minimal fleet only works if the layout provides a single shared forklift spine and keeps receiving and dispatch at one end — the U-flow argument. Milk-run circuit length directly prices material-handling labour and is therefore an evaluation criterion for the three layout alternatives.</w:t>
      </w:r>
    </w:p>
    <w:p>
      <w:pPr>
        <w:pStyle w:val="Heading2"/>
      </w:pPr>
      <w:r>
        <w:t>6.7 Supporting Facilities</w:t>
      </w:r>
    </w:p>
    <w:p>
      <w:pPr>
        <w:pStyle w:val="TblCap"/>
      </w:pPr>
      <w:r>
        <w:t>Table 19: Personnel allocation (total 60)</w:t>
      </w:r>
    </w:p>
    <w:tbl>
      <w:tblPr>
        <w:tblW w:type="auto" w:w="0"/>
        <w:tblLook w:firstColumn="1" w:firstRow="1" w:lastColumn="0" w:lastRow="0" w:noHBand="0" w:noVBand="1" w:val="04A0"/>
        <w:tblBorders>
          <w:top w:val="single" w:sz="4" w:color="7F7F7F"/>
          <w:left w:val="single" w:sz="4" w:color="7F7F7F"/>
          <w:bottom w:val="single" w:sz="4" w:color="7F7F7F"/>
          <w:right w:val="single" w:sz="4" w:color="7F7F7F"/>
          <w:insideH w:val="single" w:sz="4" w:color="7F7F7F"/>
          <w:insideV w:val="single" w:sz="4" w:color="7F7F7F"/>
        </w:tblBorders>
        <w:tblW w:w="5000" w:type="pct"/>
      </w:tblPr>
      <w:tblGrid>
        <w:gridCol w:w="3099"/>
        <w:gridCol w:w="3099"/>
        <w:gridCol w:w="3099"/>
      </w:tblGrid>
      <w:tr>
        <w:trPr>
          <w:cantSplit/>
          <w:tblHeader w:val="true"/>
        </w:trPr>
        <w:tc>
          <w:tcPr>
            <w:tcW w:type="dxa" w:w="3099"/>
            <w:shd w:val="clear" w:fill="E7E6E6"/>
          </w:tcPr>
          <w:p>
            <w:pPr>
              <w:spacing w:before="20" w:after="20"/>
            </w:pPr>
            <w:r>
              <w:rPr>
                <w:rFonts w:ascii="Arial" w:hAnsi="Arial"/>
                <w:b/>
                <w:sz w:val="18"/>
              </w:rPr>
              <w:t>Category</w:t>
            </w:r>
          </w:p>
        </w:tc>
        <w:tc>
          <w:tcPr>
            <w:tcW w:type="dxa" w:w="3099"/>
            <w:shd w:val="clear" w:fill="E7E6E6"/>
          </w:tcPr>
          <w:p>
            <w:pPr>
              <w:spacing w:before="20" w:after="20"/>
            </w:pPr>
            <w:r>
              <w:rPr>
                <w:rFonts w:ascii="Arial" w:hAnsi="Arial"/>
                <w:b/>
                <w:sz w:val="18"/>
              </w:rPr>
              <w:t>Headcount</w:t>
            </w:r>
          </w:p>
        </w:tc>
        <w:tc>
          <w:tcPr>
            <w:tcW w:type="dxa" w:w="3099"/>
            <w:shd w:val="clear" w:fill="E7E6E6"/>
          </w:tcPr>
          <w:p>
            <w:pPr>
              <w:spacing w:before="20" w:after="20"/>
            </w:pPr>
            <w:r>
              <w:rPr>
                <w:rFonts w:ascii="Arial" w:hAnsi="Arial"/>
                <w:b/>
                <w:sz w:val="18"/>
              </w:rPr>
              <w:t>Note</w:t>
            </w:r>
          </w:p>
        </w:tc>
      </w:tr>
      <w:tr>
        <w:trPr>
          <w:cantSplit/>
        </w:trPr>
        <w:tc>
          <w:tcPr>
            <w:tcW w:type="dxa" w:w="3099"/>
          </w:tcPr>
          <w:p>
            <w:pPr>
              <w:spacing w:before="20" w:after="20"/>
            </w:pPr>
            <w:r>
              <w:rPr>
                <w:rFonts w:ascii="Arial" w:hAnsi="Arial"/>
                <w:sz w:val="18"/>
              </w:rPr>
              <w:t>Management (Plant, Operations, Inventory)</w:t>
            </w:r>
          </w:p>
        </w:tc>
        <w:tc>
          <w:tcPr>
            <w:tcW w:type="dxa" w:w="3099"/>
          </w:tcPr>
          <w:p>
            <w:pPr>
              <w:spacing w:before="20" w:after="20"/>
            </w:pPr>
            <w:r>
              <w:rPr>
                <w:rFonts w:ascii="Arial" w:hAnsi="Arial"/>
                <w:sz w:val="18"/>
              </w:rPr>
              <w:t>3</w:t>
            </w:r>
          </w:p>
        </w:tc>
        <w:tc>
          <w:tcPr>
            <w:tcW w:type="dxa" w:w="3099"/>
          </w:tcPr>
          <w:p>
            <w:pPr>
              <w:spacing w:before="20" w:after="20"/>
            </w:pPr>
            <w:r>
              <w:rPr>
                <w:rFonts w:ascii="Arial" w:hAnsi="Arial"/>
                <w:sz w:val="18"/>
              </w:rPr>
              <w:t>Brief</w:t>
            </w:r>
          </w:p>
        </w:tc>
      </w:tr>
      <w:tr>
        <w:trPr>
          <w:cantSplit/>
        </w:trPr>
        <w:tc>
          <w:tcPr>
            <w:tcW w:type="dxa" w:w="3099"/>
          </w:tcPr>
          <w:p>
            <w:pPr>
              <w:spacing w:before="20" w:after="20"/>
            </w:pPr>
            <w:r>
              <w:rPr>
                <w:rFonts w:ascii="Arial" w:hAnsi="Arial"/>
                <w:sz w:val="18"/>
              </w:rPr>
              <w:t>Administration (Reception, Purchasing, Sales ×2, Finance, Marketing, HR)</w:t>
            </w:r>
          </w:p>
        </w:tc>
        <w:tc>
          <w:tcPr>
            <w:tcW w:type="dxa" w:w="3099"/>
          </w:tcPr>
          <w:p>
            <w:pPr>
              <w:spacing w:before="20" w:after="20"/>
            </w:pPr>
            <w:r>
              <w:rPr>
                <w:rFonts w:ascii="Arial" w:hAnsi="Arial"/>
                <w:sz w:val="18"/>
              </w:rPr>
              <w:t>7</w:t>
            </w:r>
          </w:p>
        </w:tc>
        <w:tc>
          <w:tcPr>
            <w:tcW w:type="dxa" w:w="3099"/>
          </w:tcPr>
          <w:p>
            <w:pPr>
              <w:spacing w:before="20" w:after="20"/>
            </w:pPr>
            <w:r>
              <w:rPr>
                <w:rFonts w:ascii="Arial" w:hAnsi="Arial"/>
                <w:sz w:val="18"/>
              </w:rPr>
              <w:t>Brief; Sales count assumed</w:t>
            </w:r>
          </w:p>
        </w:tc>
      </w:tr>
      <w:tr>
        <w:trPr>
          <w:cantSplit/>
        </w:trPr>
        <w:tc>
          <w:tcPr>
            <w:tcW w:type="dxa" w:w="3099"/>
          </w:tcPr>
          <w:p>
            <w:pPr>
              <w:spacing w:before="20" w:after="20"/>
            </w:pPr>
            <w:r>
              <w:rPr>
                <w:rFonts w:ascii="Arial" w:hAnsi="Arial"/>
                <w:sz w:val="18"/>
              </w:rPr>
              <w:t>Plant supervisors</w:t>
            </w:r>
          </w:p>
        </w:tc>
        <w:tc>
          <w:tcPr>
            <w:tcW w:type="dxa" w:w="3099"/>
          </w:tcPr>
          <w:p>
            <w:pPr>
              <w:spacing w:before="20" w:after="20"/>
            </w:pPr>
            <w:r>
              <w:rPr>
                <w:rFonts w:ascii="Arial" w:hAnsi="Arial"/>
                <w:sz w:val="18"/>
              </w:rPr>
              <w:t>4</w:t>
            </w:r>
          </w:p>
        </w:tc>
        <w:tc>
          <w:tcPr>
            <w:tcW w:type="dxa" w:w="3099"/>
          </w:tcPr>
          <w:p>
            <w:pPr>
              <w:spacing w:before="20" w:after="20"/>
            </w:pPr>
            <w:r>
              <w:rPr>
                <w:rFonts w:ascii="Arial" w:hAnsi="Arial"/>
                <w:sz w:val="18"/>
              </w:rPr>
              <w:t>Glazed floor cubicles at bottleneck zones</w:t>
            </w:r>
          </w:p>
        </w:tc>
      </w:tr>
      <w:tr>
        <w:trPr>
          <w:cantSplit/>
        </w:trPr>
        <w:tc>
          <w:tcPr>
            <w:tcW w:type="dxa" w:w="3099"/>
          </w:tcPr>
          <w:p>
            <w:pPr>
              <w:spacing w:before="20" w:after="20"/>
            </w:pPr>
            <w:r>
              <w:rPr>
                <w:rFonts w:ascii="Arial" w:hAnsi="Arial"/>
                <w:sz w:val="18"/>
              </w:rPr>
              <w:t>Security</w:t>
            </w:r>
          </w:p>
        </w:tc>
        <w:tc>
          <w:tcPr>
            <w:tcW w:type="dxa" w:w="3099"/>
          </w:tcPr>
          <w:p>
            <w:pPr>
              <w:spacing w:before="20" w:after="20"/>
            </w:pPr>
            <w:r>
              <w:rPr>
                <w:rFonts w:ascii="Arial" w:hAnsi="Arial"/>
                <w:sz w:val="18"/>
              </w:rPr>
              <w:t>3</w:t>
            </w:r>
          </w:p>
        </w:tc>
        <w:tc>
          <w:tcPr>
            <w:tcW w:type="dxa" w:w="3099"/>
          </w:tcPr>
          <w:p>
            <w:pPr>
              <w:spacing w:before="20" w:after="20"/>
            </w:pPr>
            <w:r>
              <w:rPr>
                <w:rFonts w:ascii="Arial" w:hAnsi="Arial"/>
                <w:sz w:val="18"/>
              </w:rPr>
              <w:t>Gatehouse + reception side</w:t>
            </w:r>
          </w:p>
        </w:tc>
      </w:tr>
      <w:tr>
        <w:trPr>
          <w:cantSplit/>
        </w:trPr>
        <w:tc>
          <w:tcPr>
            <w:tcW w:type="dxa" w:w="3099"/>
          </w:tcPr>
          <w:p>
            <w:pPr>
              <w:spacing w:before="20" w:after="20"/>
            </w:pPr>
            <w:r>
              <w:rPr>
                <w:rFonts w:ascii="Arial" w:hAnsi="Arial"/>
                <w:sz w:val="18"/>
              </w:rPr>
              <w:t>Line operators</w:t>
            </w:r>
          </w:p>
        </w:tc>
        <w:tc>
          <w:tcPr>
            <w:tcW w:type="dxa" w:w="3099"/>
          </w:tcPr>
          <w:p>
            <w:pPr>
              <w:spacing w:before="20" w:after="20"/>
            </w:pPr>
            <w:r>
              <w:rPr>
                <w:rFonts w:ascii="Arial" w:hAnsi="Arial"/>
                <w:sz w:val="18"/>
              </w:rPr>
              <w:t>34</w:t>
            </w:r>
          </w:p>
        </w:tc>
        <w:tc>
          <w:tcPr>
            <w:tcW w:type="dxa" w:w="3099"/>
          </w:tcPr>
          <w:p>
            <w:pPr>
              <w:spacing w:before="20" w:after="20"/>
            </w:pPr>
            <w:r>
              <w:rPr>
                <w:rFonts w:ascii="Arial" w:hAnsi="Arial"/>
                <w:sz w:val="18"/>
              </w:rPr>
              <w:t>1:1 with machines</w:t>
            </w:r>
          </w:p>
        </w:tc>
      </w:tr>
      <w:tr>
        <w:trPr>
          <w:cantSplit/>
        </w:trPr>
        <w:tc>
          <w:tcPr>
            <w:tcW w:type="dxa" w:w="3099"/>
          </w:tcPr>
          <w:p>
            <w:pPr>
              <w:spacing w:before="20" w:after="20"/>
            </w:pPr>
            <w:r>
              <w:rPr>
                <w:rFonts w:ascii="Arial" w:hAnsi="Arial"/>
                <w:sz w:val="18"/>
              </w:rPr>
              <w:t>Equipment-dependent &amp; QA</w:t>
            </w:r>
          </w:p>
        </w:tc>
        <w:tc>
          <w:tcPr>
            <w:tcW w:type="dxa" w:w="3099"/>
          </w:tcPr>
          <w:p>
            <w:pPr>
              <w:spacing w:before="20" w:after="20"/>
            </w:pPr>
            <w:r>
              <w:rPr>
                <w:rFonts w:ascii="Arial" w:hAnsi="Arial"/>
                <w:sz w:val="18"/>
              </w:rPr>
              <w:t>4</w:t>
            </w:r>
          </w:p>
        </w:tc>
        <w:tc>
          <w:tcPr>
            <w:tcW w:type="dxa" w:w="3099"/>
          </w:tcPr>
          <w:p>
            <w:pPr>
              <w:spacing w:before="20" w:after="20"/>
            </w:pPr>
            <w:r>
              <w:rPr>
                <w:rFonts w:ascii="Arial" w:hAnsi="Arial"/>
                <w:sz w:val="18"/>
              </w:rPr>
              <w:t>Oven/blast/powder/inspection pool</w:t>
            </w:r>
          </w:p>
        </w:tc>
      </w:tr>
      <w:tr>
        <w:trPr>
          <w:cantSplit/>
        </w:trPr>
        <w:tc>
          <w:tcPr>
            <w:tcW w:type="dxa" w:w="3099"/>
          </w:tcPr>
          <w:p>
            <w:pPr>
              <w:spacing w:before="20" w:after="20"/>
            </w:pPr>
            <w:r>
              <w:rPr>
                <w:rFonts w:ascii="Arial" w:hAnsi="Arial"/>
                <w:sz w:val="18"/>
              </w:rPr>
              <w:t>Material handlers / forklift</w:t>
            </w:r>
          </w:p>
        </w:tc>
        <w:tc>
          <w:tcPr>
            <w:tcW w:type="dxa" w:w="3099"/>
          </w:tcPr>
          <w:p>
            <w:pPr>
              <w:spacing w:before="20" w:after="20"/>
            </w:pPr>
            <w:r>
              <w:rPr>
                <w:rFonts w:ascii="Arial" w:hAnsi="Arial"/>
                <w:sz w:val="18"/>
              </w:rPr>
              <w:t>5</w:t>
            </w:r>
          </w:p>
        </w:tc>
        <w:tc>
          <w:tcPr>
            <w:tcW w:type="dxa" w:w="3099"/>
          </w:tcPr>
          <w:p>
            <w:pPr>
              <w:spacing w:before="20" w:after="20"/>
            </w:pPr>
            <w:r>
              <w:rPr>
                <w:rFonts w:ascii="Arial" w:hAnsi="Arial"/>
                <w:sz w:val="18"/>
              </w:rPr>
              <w:t>Milk-run, stores, dock</w:t>
            </w:r>
          </w:p>
        </w:tc>
      </w:tr>
    </w:tbl>
    <w:p/>
    <w:p>
      <w:r>
        <w:t>Offices total 260 m² (26 non-operators × 10 m² — an aggregate allowance, not individual offices) on the visitor side, outside production flow, noise and dust; supervisors sit on the floor overlooking the knurling and sharpening banks. Amenities total 240 m² (60 × 4 m²): change rooms forming the PPE boundary, restrooms for both wings, a cafeteria sized for one 60-person sitting, first aid at the finishing/coating boundary and a janitorial store — exact regulatory provisions confirmed during detailed building design. Parking provides 70 car bays (1 750 m²) plus the 6 fleet bays (360 m²): 2 110 m² of external vehicle area. Utilities concentrate on one services wall: electricity (ageing and cure ovens dominant), compressed air (blasting major; ring main along the milk-run spine), water/plumbing, and three never-interconnected extraction systems (aluminium dust; powder enclosure; oven heat) under two distinct fire regimes — fire-engineering design to be confirmed.</w:t>
      </w:r>
    </w:p>
    <w:p>
      <w:pPr>
        <w:pStyle w:val="Heading2"/>
      </w:pPr>
      <w:r>
        <w:t>6.8 Space Requirements</w:t>
      </w:r>
    </w:p>
    <w:p>
      <w:pPr>
        <w:tabs>
          <w:tab w:pos="9071" w:val="right"/>
        </w:tabs>
      </w:pPr>
      <w:r>
        <w:rPr>
          <w:rFonts w:ascii="Cambria Math" w:hAnsi="Cambria Math"/>
          <w:i/>
          <w:sz w:val="22"/>
        </w:rPr>
        <w:t xml:space="preserve">        A(building) = (A(functional) × 1.30 circulation) × 1.10 expansion</w:t>
      </w:r>
      <w:r>
        <w:rPr>
          <w:sz w:val="20"/>
        </w:rPr>
        <w:tab/>
        <w:t>(12)</w:t>
      </w:r>
    </w:p>
    <w:p>
      <w:pPr>
        <w:pStyle w:val="TblCap"/>
      </w:pPr>
      <w:r>
        <w:t>Table 20: Space corrections — reconciled, not absorbed</w:t>
      </w:r>
    </w:p>
    <w:tbl>
      <w:tblPr>
        <w:tblW w:type="auto" w:w="0"/>
        <w:tblLook w:firstColumn="1" w:firstRow="1" w:lastColumn="0" w:lastRow="0" w:noHBand="0" w:noVBand="1" w:val="04A0"/>
        <w:tblBorders>
          <w:top w:val="single" w:sz="4" w:color="7F7F7F"/>
          <w:left w:val="single" w:sz="4" w:color="7F7F7F"/>
          <w:bottom w:val="single" w:sz="4" w:color="7F7F7F"/>
          <w:right w:val="single" w:sz="4" w:color="7F7F7F"/>
          <w:insideH w:val="single" w:sz="4" w:color="7F7F7F"/>
          <w:insideV w:val="single" w:sz="4" w:color="7F7F7F"/>
        </w:tblBorders>
        <w:tblW w:w="5000" w:type="pct"/>
      </w:tblPr>
      <w:tblGrid>
        <w:gridCol w:w="2324"/>
        <w:gridCol w:w="2324"/>
        <w:gridCol w:w="2324"/>
        <w:gridCol w:w="2324"/>
      </w:tblGrid>
      <w:tr>
        <w:trPr>
          <w:cantSplit/>
          <w:tblHeader w:val="true"/>
        </w:trPr>
        <w:tc>
          <w:tcPr>
            <w:tcW w:type="dxa" w:w="2324"/>
            <w:shd w:val="clear" w:fill="E7E6E6"/>
          </w:tcPr>
          <w:p>
            <w:pPr>
              <w:spacing w:before="20" w:after="20"/>
            </w:pPr>
            <w:r>
              <w:rPr>
                <w:rFonts w:ascii="Arial" w:hAnsi="Arial"/>
                <w:b/>
                <w:sz w:val="18"/>
              </w:rPr>
              <w:t>Item</w:t>
            </w:r>
          </w:p>
        </w:tc>
        <w:tc>
          <w:tcPr>
            <w:tcW w:type="dxa" w:w="2324"/>
            <w:shd w:val="clear" w:fill="E7E6E6"/>
          </w:tcPr>
          <w:p>
            <w:pPr>
              <w:spacing w:before="20" w:after="20"/>
            </w:pPr>
            <w:r>
              <w:rPr>
                <w:rFonts w:ascii="Arial" w:hAnsi="Arial"/>
                <w:b/>
                <w:sz w:val="18"/>
              </w:rPr>
              <w:t>Workbook base</w:t>
            </w:r>
          </w:p>
        </w:tc>
        <w:tc>
          <w:tcPr>
            <w:tcW w:type="dxa" w:w="2324"/>
            <w:shd w:val="clear" w:fill="E7E6E6"/>
          </w:tcPr>
          <w:p>
            <w:pPr>
              <w:spacing w:before="20" w:after="20"/>
            </w:pPr>
            <w:r>
              <w:rPr>
                <w:rFonts w:ascii="Arial" w:hAnsi="Arial"/>
                <w:b/>
                <w:sz w:val="18"/>
              </w:rPr>
              <w:t>Design value</w:t>
            </w:r>
          </w:p>
        </w:tc>
        <w:tc>
          <w:tcPr>
            <w:tcW w:type="dxa" w:w="2324"/>
            <w:shd w:val="clear" w:fill="E7E6E6"/>
          </w:tcPr>
          <w:p>
            <w:pPr>
              <w:spacing w:before="20" w:after="20"/>
            </w:pPr>
            <w:r>
              <w:rPr>
                <w:rFonts w:ascii="Arial" w:hAnsi="Arial"/>
                <w:b/>
                <w:sz w:val="18"/>
              </w:rPr>
              <w:t>Increase</w:t>
            </w:r>
          </w:p>
        </w:tc>
      </w:tr>
      <w:tr>
        <w:trPr>
          <w:cantSplit/>
        </w:trPr>
        <w:tc>
          <w:tcPr>
            <w:tcW w:type="dxa" w:w="2324"/>
          </w:tcPr>
          <w:p>
            <w:pPr>
              <w:spacing w:before="20" w:after="20"/>
            </w:pPr>
            <w:r>
              <w:rPr>
                <w:rFonts w:ascii="Arial" w:hAnsi="Arial"/>
                <w:sz w:val="18"/>
              </w:rPr>
              <w:t>Saw infeed strips (2 × 9.0×2.0 m)</w:t>
            </w:r>
          </w:p>
        </w:tc>
        <w:tc>
          <w:tcPr>
            <w:tcW w:type="dxa" w:w="2324"/>
          </w:tcPr>
          <w:p>
            <w:pPr>
              <w:spacing w:before="20" w:after="20"/>
            </w:pPr>
            <w:r>
              <w:rPr>
                <w:rFonts w:ascii="Arial" w:hAnsi="Arial"/>
                <w:sz w:val="18"/>
              </w:rPr>
              <w:t>12 m²</w:t>
            </w:r>
          </w:p>
        </w:tc>
        <w:tc>
          <w:tcPr>
            <w:tcW w:type="dxa" w:w="2324"/>
          </w:tcPr>
          <w:p>
            <w:pPr>
              <w:spacing w:before="20" w:after="20"/>
            </w:pPr>
            <w:r>
              <w:rPr>
                <w:rFonts w:ascii="Arial" w:hAnsi="Arial"/>
                <w:sz w:val="18"/>
              </w:rPr>
              <w:t>36 m²</w:t>
            </w:r>
          </w:p>
        </w:tc>
        <w:tc>
          <w:tcPr>
            <w:tcW w:type="dxa" w:w="2324"/>
          </w:tcPr>
          <w:p>
            <w:pPr>
              <w:spacing w:before="20" w:after="20"/>
            </w:pPr>
            <w:r>
              <w:rPr>
                <w:rFonts w:ascii="Arial" w:hAnsi="Arial"/>
                <w:sz w:val="18"/>
              </w:rPr>
              <w:t>+24 m²</w:t>
            </w:r>
          </w:p>
        </w:tc>
      </w:tr>
      <w:tr>
        <w:trPr>
          <w:cantSplit/>
        </w:trPr>
        <w:tc>
          <w:tcPr>
            <w:tcW w:type="dxa" w:w="2324"/>
          </w:tcPr>
          <w:p>
            <w:pPr>
              <w:spacing w:before="20" w:after="20"/>
            </w:pPr>
            <w:r>
              <w:rPr>
                <w:rFonts w:ascii="Arial" w:hAnsi="Arial"/>
                <w:sz w:val="18"/>
              </w:rPr>
              <w:t>Packaging cell incl. pallet build</w:t>
            </w:r>
          </w:p>
        </w:tc>
        <w:tc>
          <w:tcPr>
            <w:tcW w:type="dxa" w:w="2324"/>
          </w:tcPr>
          <w:p>
            <w:pPr>
              <w:spacing w:before="20" w:after="20"/>
            </w:pPr>
            <w:r>
              <w:rPr>
                <w:rFonts w:ascii="Arial" w:hAnsi="Arial"/>
                <w:sz w:val="18"/>
              </w:rPr>
              <w:t>12 m²</w:t>
            </w:r>
          </w:p>
        </w:tc>
        <w:tc>
          <w:tcPr>
            <w:tcW w:type="dxa" w:w="2324"/>
          </w:tcPr>
          <w:p>
            <w:pPr>
              <w:spacing w:before="20" w:after="20"/>
            </w:pPr>
            <w:r>
              <w:rPr>
                <w:rFonts w:ascii="Arial" w:hAnsi="Arial"/>
                <w:sz w:val="18"/>
              </w:rPr>
              <w:t>18 m²</w:t>
            </w:r>
          </w:p>
        </w:tc>
        <w:tc>
          <w:tcPr>
            <w:tcW w:type="dxa" w:w="2324"/>
          </w:tcPr>
          <w:p>
            <w:pPr>
              <w:spacing w:before="20" w:after="20"/>
            </w:pPr>
            <w:r>
              <w:rPr>
                <w:rFonts w:ascii="Arial" w:hAnsi="Arial"/>
                <w:sz w:val="18"/>
              </w:rPr>
              <w:t>+6 m²</w:t>
            </w:r>
          </w:p>
        </w:tc>
      </w:tr>
      <w:tr>
        <w:trPr>
          <w:cantSplit/>
        </w:trPr>
        <w:tc>
          <w:tcPr>
            <w:tcW w:type="dxa" w:w="2324"/>
          </w:tcPr>
          <w:p>
            <w:pPr>
              <w:spacing w:before="20" w:after="20"/>
            </w:pPr>
            <w:r>
              <w:rPr>
                <w:rFonts w:ascii="Arial" w:hAnsi="Arial"/>
                <w:sz w:val="18"/>
              </w:rPr>
              <w:t>Oven WIP day buffers (≈10 pallet positions)</w:t>
            </w:r>
          </w:p>
        </w:tc>
        <w:tc>
          <w:tcPr>
            <w:tcW w:type="dxa" w:w="2324"/>
          </w:tcPr>
          <w:p>
            <w:pPr>
              <w:spacing w:before="20" w:after="20"/>
            </w:pPr>
            <w:r>
              <w:rPr>
                <w:rFonts w:ascii="Arial" w:hAnsi="Arial"/>
                <w:sz w:val="18"/>
              </w:rPr>
              <w:t>3.8 m²</w:t>
            </w:r>
          </w:p>
        </w:tc>
        <w:tc>
          <w:tcPr>
            <w:tcW w:type="dxa" w:w="2324"/>
          </w:tcPr>
          <w:p>
            <w:pPr>
              <w:spacing w:before="20" w:after="20"/>
            </w:pPr>
            <w:r>
              <w:rPr>
                <w:rFonts w:ascii="Arial" w:hAnsi="Arial"/>
                <w:sz w:val="18"/>
              </w:rPr>
              <w:t>23.0 m²</w:t>
            </w:r>
          </w:p>
        </w:tc>
        <w:tc>
          <w:tcPr>
            <w:tcW w:type="dxa" w:w="2324"/>
          </w:tcPr>
          <w:p>
            <w:pPr>
              <w:spacing w:before="20" w:after="20"/>
            </w:pPr>
            <w:r>
              <w:rPr>
                <w:rFonts w:ascii="Arial" w:hAnsi="Arial"/>
                <w:sz w:val="18"/>
              </w:rPr>
              <w:t>+19.2 m²</w:t>
            </w:r>
          </w:p>
        </w:tc>
      </w:tr>
      <w:tr>
        <w:trPr>
          <w:cantSplit/>
        </w:trPr>
        <w:tc>
          <w:tcPr>
            <w:tcW w:type="dxa" w:w="2324"/>
          </w:tcPr>
          <w:p>
            <w:pPr>
              <w:spacing w:before="20" w:after="20"/>
            </w:pPr>
            <w:r>
              <w:rPr>
                <w:rFonts w:ascii="Arial" w:hAnsi="Arial"/>
                <w:sz w:val="18"/>
              </w:rPr>
              <w:t>TOTAL correction</w:t>
            </w:r>
          </w:p>
        </w:tc>
        <w:tc>
          <w:tcPr>
            <w:tcW w:type="dxa" w:w="2324"/>
          </w:tcPr>
          <w:p>
            <w:pPr>
              <w:spacing w:before="20" w:after="20"/>
            </w:pPr>
            <w:r>
              <w:rPr>
                <w:rFonts w:ascii="Arial" w:hAnsi="Arial"/>
                <w:sz w:val="18"/>
              </w:rPr>
            </w:r>
          </w:p>
        </w:tc>
        <w:tc>
          <w:tcPr>
            <w:tcW w:type="dxa" w:w="2324"/>
          </w:tcPr>
          <w:p>
            <w:pPr>
              <w:spacing w:before="20" w:after="20"/>
            </w:pPr>
            <w:r>
              <w:rPr>
                <w:rFonts w:ascii="Arial" w:hAnsi="Arial"/>
                <w:sz w:val="18"/>
              </w:rPr>
            </w:r>
          </w:p>
        </w:tc>
        <w:tc>
          <w:tcPr>
            <w:tcW w:type="dxa" w:w="2324"/>
          </w:tcPr>
          <w:p>
            <w:pPr>
              <w:spacing w:before="20" w:after="20"/>
            </w:pPr>
            <w:r>
              <w:rPr>
                <w:rFonts w:ascii="Arial" w:hAnsi="Arial"/>
                <w:sz w:val="18"/>
              </w:rPr>
              <w:t>+49.2 m²</w:t>
            </w:r>
          </w:p>
        </w:tc>
      </w:tr>
    </w:tbl>
    <w:p/>
    <w:p>
      <w:pPr>
        <w:pStyle w:val="TblCap"/>
      </w:pPr>
      <w:r>
        <w:t>Table 21: Final building and site areas (recommended for the MFP)</w:t>
      </w:r>
    </w:p>
    <w:tbl>
      <w:tblPr>
        <w:tblW w:type="auto" w:w="0"/>
        <w:tblLook w:firstColumn="1" w:firstRow="1" w:lastColumn="0" w:lastRow="0" w:noHBand="0" w:noVBand="1" w:val="04A0"/>
        <w:tblBorders>
          <w:top w:val="single" w:sz="4" w:color="7F7F7F"/>
          <w:left w:val="single" w:sz="4" w:color="7F7F7F"/>
          <w:bottom w:val="single" w:sz="4" w:color="7F7F7F"/>
          <w:right w:val="single" w:sz="4" w:color="7F7F7F"/>
          <w:insideH w:val="single" w:sz="4" w:color="7F7F7F"/>
          <w:insideV w:val="single" w:sz="4" w:color="7F7F7F"/>
        </w:tblBorders>
        <w:tblW w:w="5000" w:type="pct"/>
      </w:tblPr>
      <w:tblGrid>
        <w:gridCol w:w="3099"/>
        <w:gridCol w:w="3099"/>
        <w:gridCol w:w="3099"/>
      </w:tblGrid>
      <w:tr>
        <w:trPr>
          <w:cantSplit/>
          <w:tblHeader w:val="true"/>
        </w:trPr>
        <w:tc>
          <w:tcPr>
            <w:tcW w:type="dxa" w:w="3099"/>
            <w:shd w:val="clear" w:fill="E7E6E6"/>
          </w:tcPr>
          <w:p>
            <w:pPr>
              <w:spacing w:before="20" w:after="20"/>
            </w:pPr>
            <w:r>
              <w:rPr>
                <w:rFonts w:ascii="Arial" w:hAnsi="Arial"/>
                <w:b/>
                <w:sz w:val="18"/>
              </w:rPr>
              <w:t>Component</w:t>
            </w:r>
          </w:p>
        </w:tc>
        <w:tc>
          <w:tcPr>
            <w:tcW w:type="dxa" w:w="3099"/>
            <w:shd w:val="clear" w:fill="E7E6E6"/>
          </w:tcPr>
          <w:p>
            <w:pPr>
              <w:spacing w:before="20" w:after="20"/>
            </w:pPr>
            <w:r>
              <w:rPr>
                <w:rFonts w:ascii="Arial" w:hAnsi="Arial"/>
                <w:b/>
                <w:sz w:val="18"/>
              </w:rPr>
              <w:t>Workbook</w:t>
            </w:r>
          </w:p>
        </w:tc>
        <w:tc>
          <w:tcPr>
            <w:tcW w:type="dxa" w:w="3099"/>
            <w:shd w:val="clear" w:fill="E7E6E6"/>
          </w:tcPr>
          <w:p>
            <w:pPr>
              <w:spacing w:before="20" w:after="20"/>
            </w:pPr>
            <w:r>
              <w:rPr>
                <w:rFonts w:ascii="Arial" w:hAnsi="Arial"/>
                <w:b/>
                <w:sz w:val="18"/>
              </w:rPr>
              <w:t>Corrected design value</w:t>
            </w:r>
          </w:p>
        </w:tc>
      </w:tr>
      <w:tr>
        <w:trPr>
          <w:cantSplit/>
        </w:trPr>
        <w:tc>
          <w:tcPr>
            <w:tcW w:type="dxa" w:w="3099"/>
          </w:tcPr>
          <w:p>
            <w:pPr>
              <w:spacing w:before="20" w:after="20"/>
            </w:pPr>
            <w:r>
              <w:rPr>
                <w:rFonts w:ascii="Arial" w:hAnsi="Arial"/>
                <w:sz w:val="18"/>
              </w:rPr>
              <w:t>Functional subtotal</w:t>
            </w:r>
          </w:p>
        </w:tc>
        <w:tc>
          <w:tcPr>
            <w:tcW w:type="dxa" w:w="3099"/>
          </w:tcPr>
          <w:p>
            <w:pPr>
              <w:spacing w:before="20" w:after="20"/>
            </w:pPr>
            <w:r>
              <w:rPr>
                <w:rFonts w:ascii="Arial" w:hAnsi="Arial"/>
                <w:sz w:val="18"/>
              </w:rPr>
              <w:t>1 305.8 m²</w:t>
            </w:r>
          </w:p>
        </w:tc>
        <w:tc>
          <w:tcPr>
            <w:tcW w:type="dxa" w:w="3099"/>
          </w:tcPr>
          <w:p>
            <w:pPr>
              <w:spacing w:before="20" w:after="20"/>
            </w:pPr>
            <w:r>
              <w:rPr>
                <w:rFonts w:ascii="Arial" w:hAnsi="Arial"/>
                <w:sz w:val="18"/>
              </w:rPr>
              <w:t>1 355.0 m²</w:t>
            </w:r>
          </w:p>
        </w:tc>
      </w:tr>
      <w:tr>
        <w:trPr>
          <w:cantSplit/>
        </w:trPr>
        <w:tc>
          <w:tcPr>
            <w:tcW w:type="dxa" w:w="3099"/>
          </w:tcPr>
          <w:p>
            <w:pPr>
              <w:spacing w:before="20" w:after="20"/>
            </w:pPr>
            <w:r>
              <w:rPr>
                <w:rFonts w:ascii="Arial" w:hAnsi="Arial"/>
                <w:sz w:val="18"/>
              </w:rPr>
              <w:t>+ 30 % circulation</w:t>
            </w:r>
          </w:p>
        </w:tc>
        <w:tc>
          <w:tcPr>
            <w:tcW w:type="dxa" w:w="3099"/>
          </w:tcPr>
          <w:p>
            <w:pPr>
              <w:spacing w:before="20" w:after="20"/>
            </w:pPr>
            <w:r>
              <w:rPr>
                <w:rFonts w:ascii="Arial" w:hAnsi="Arial"/>
                <w:sz w:val="18"/>
              </w:rPr>
              <w:t>1 697.5 m²</w:t>
            </w:r>
          </w:p>
        </w:tc>
        <w:tc>
          <w:tcPr>
            <w:tcW w:type="dxa" w:w="3099"/>
          </w:tcPr>
          <w:p>
            <w:pPr>
              <w:spacing w:before="20" w:after="20"/>
            </w:pPr>
            <w:r>
              <w:rPr>
                <w:rFonts w:ascii="Arial" w:hAnsi="Arial"/>
                <w:sz w:val="18"/>
              </w:rPr>
              <w:t>1 761.5 m²</w:t>
            </w:r>
          </w:p>
        </w:tc>
      </w:tr>
      <w:tr>
        <w:trPr>
          <w:cantSplit/>
        </w:trPr>
        <w:tc>
          <w:tcPr>
            <w:tcW w:type="dxa" w:w="3099"/>
          </w:tcPr>
          <w:p>
            <w:pPr>
              <w:spacing w:before="20" w:after="20"/>
            </w:pPr>
            <w:r>
              <w:rPr>
                <w:rFonts w:ascii="Arial" w:hAnsi="Arial"/>
                <w:sz w:val="18"/>
              </w:rPr>
              <w:t>+ ≈10 % expansion</w:t>
            </w:r>
          </w:p>
        </w:tc>
        <w:tc>
          <w:tcPr>
            <w:tcW w:type="dxa" w:w="3099"/>
          </w:tcPr>
          <w:p>
            <w:pPr>
              <w:spacing w:before="20" w:after="20"/>
            </w:pPr>
            <w:r>
              <w:rPr>
                <w:rFonts w:ascii="Arial" w:hAnsi="Arial"/>
                <w:sz w:val="18"/>
              </w:rPr>
              <w:t>1 867 m²</w:t>
            </w:r>
          </w:p>
        </w:tc>
        <w:tc>
          <w:tcPr>
            <w:tcW w:type="dxa" w:w="3099"/>
          </w:tcPr>
          <w:p>
            <w:pPr>
              <w:spacing w:before="20" w:after="20"/>
            </w:pPr>
            <w:r>
              <w:rPr>
                <w:rFonts w:ascii="Arial" w:hAnsi="Arial"/>
                <w:sz w:val="18"/>
              </w:rPr>
              <w:t>≈ 1 940 m²</w:t>
            </w:r>
          </w:p>
        </w:tc>
      </w:tr>
      <w:tr>
        <w:trPr>
          <w:cantSplit/>
        </w:trPr>
        <w:tc>
          <w:tcPr>
            <w:tcW w:type="dxa" w:w="3099"/>
          </w:tcPr>
          <w:p>
            <w:pPr>
              <w:spacing w:before="20" w:after="20"/>
            </w:pPr>
            <w:r>
              <w:rPr>
                <w:rFonts w:ascii="Arial" w:hAnsi="Arial"/>
                <w:sz w:val="18"/>
              </w:rPr>
              <w:t>+ vehicles 2 110 m² → site</w:t>
            </w:r>
          </w:p>
        </w:tc>
        <w:tc>
          <w:tcPr>
            <w:tcW w:type="dxa" w:w="3099"/>
          </w:tcPr>
          <w:p>
            <w:pPr>
              <w:spacing w:before="20" w:after="20"/>
            </w:pPr>
            <w:r>
              <w:rPr>
                <w:rFonts w:ascii="Arial" w:hAnsi="Arial"/>
                <w:sz w:val="18"/>
              </w:rPr>
              <w:t>3 977 m²</w:t>
            </w:r>
          </w:p>
        </w:tc>
        <w:tc>
          <w:tcPr>
            <w:tcW w:type="dxa" w:w="3099"/>
          </w:tcPr>
          <w:p>
            <w:pPr>
              <w:spacing w:before="20" w:after="20"/>
            </w:pPr>
            <w:r>
              <w:rPr>
                <w:rFonts w:ascii="Arial" w:hAnsi="Arial"/>
                <w:sz w:val="18"/>
              </w:rPr>
              <w:t>≈ 4 050 m²</w:t>
            </w:r>
          </w:p>
        </w:tc>
      </w:tr>
    </w:tbl>
    <w:p/>
    <w:p>
      <w:r>
        <w:t>The corrections are deliberately not charged to the 10 % expansion allowance, which exists for growth: ≈42 m² is positioned at the 94.7 %+ banks (the +7-machine availability case), a knock-out panel at the dock, headroom beside finished-goods racking, and the remainder as shell beside the press cell (which grows by die-sets, not area) — never inside the powder enclosure or extraction footprints.</w:t>
      </w:r>
    </w:p>
    <w:p>
      <w:r/>
      <w:r>
        <w:rPr>
          <w:b/>
        </w:rPr>
        <w:t>Close-out.</w:t>
      </w:r>
      <w:r>
        <w:t xml:space="preserve"> This chapter fixes: a takt of 15.83 s from 1 819 shovels/day; two-week stocks of 990 tubes and 240 sheets; seventeen processes resolved into 34 line machines plus an ageing oven, blast installation and two enclosed powder lines; 60 staff; a lean one-dock U-flow with segregated customer collection; 151.8 m² of storage served by an hourly milk-run; and a corrected building of ≈1 940 m² on ≈4 050 m² of building-plus-vehicle area. The layout alternatives that follow are different geometric answers to these constraints and are scored on demand attainment at takt, flow distance and milk-run circuit length, hazard separation, storage and handling efficiency, site safety, expansion positioning and implementability.</w:t>
      </w:r>
    </w:p>
    <w:sectPr w:rsidR="00FC693F" w:rsidRPr="0006063C" w:rsidSect="00034616">
      <w:pgSz w:w="11906" w:h="16838"/>
      <w:pgMar w:top="1304" w:right="1304" w:bottom="130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blCap">
    <w:name w:val="TblCap"/>
    <w:pPr>
      <w:keepNext/>
      <w:spacing w:before="120" w:after="120"/>
    </w:pPr>
    <w:rPr>
      <w:rFonts w:ascii="Arial" w:hAnsi="Arial"/>
      <w:b/>
      <w:i w:val="0"/>
      <w:sz w:val="20"/>
    </w:rPr>
  </w:style>
  <w:style w:type="paragraph" w:customStyle="1" w:styleId="FigCap">
    <w:name w:val="FigCap"/>
    <w:pPr>
      <w:keepNext w:val="0"/>
      <w:spacing w:before="120" w:after="120"/>
      <w:jc w:val="center"/>
    </w:pPr>
    <w:rPr>
      <w:rFonts w:ascii="Arial" w:hAnsi="Arial"/>
      <w:b w:val="0"/>
      <w:i/>
      <w:color w:val="6A1B9A"/>
      <w:sz w:val="19"/>
    </w:rPr>
  </w:style>
  <w:style w:type="paragraph" w:customStyle="1" w:styleId="LnkLine">
    <w:name w:val="LnkLine"/>
    <w:pPr>
      <w:keepNext w:val="0"/>
      <w:spacing w:before="120" w:after="120"/>
      <w:jc w:val="center"/>
    </w:pPr>
    <w:rPr>
      <w:rFonts w:ascii="Arial" w:hAnsi="Arial"/>
      <w:b w:val="0"/>
      <w:i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pp.diagrams.net" TargetMode="External"/><Relationship Id="rId10" Type="http://schemas.openxmlformats.org/officeDocument/2006/relationships/hyperlink" Target="https://profifeedtech.com/products/aluminium-fully-automatic-saw-a420/" TargetMode="External"/><Relationship Id="rId11" Type="http://schemas.openxmlformats.org/officeDocument/2006/relationships/image" Target="media/image1.png"/><Relationship Id="rId12" Type="http://schemas.openxmlformats.org/officeDocument/2006/relationships/hyperlink" Target="https://www.cotswold-machinery-sales.co.uk/roscamat-tapping-machines/electric-tapping-machines/roscamat-tiger-electric-tapping-machine/" TargetMode="External"/><Relationship Id="rId13" Type="http://schemas.openxmlformats.org/officeDocument/2006/relationships/image" Target="media/image2.png"/><Relationship Id="rId14" Type="http://schemas.openxmlformats.org/officeDocument/2006/relationships/hyperlink" Target="https://www.hippobender.com/tube-end-former/" TargetMode="External"/><Relationship Id="rId15" Type="http://schemas.openxmlformats.org/officeDocument/2006/relationships/image" Target="media/image3.png"/><Relationship Id="rId16" Type="http://schemas.openxmlformats.org/officeDocument/2006/relationships/hyperlink" Target="https://profimach.com/special-machine/2-roll-thread-roll-machines-ptr-series" TargetMode="External"/><Relationship Id="rId17" Type="http://schemas.openxmlformats.org/officeDocument/2006/relationships/image" Target="media/image4.png"/><Relationship Id="rId18" Type="http://schemas.openxmlformats.org/officeDocument/2006/relationships/hyperlink" Target="https://www.stamtec.com/presses/mechanical-presses/1-point-gap-frame-press/ocp-series-gap-frame-press" TargetMode="External"/><Relationship Id="rId19" Type="http://schemas.openxmlformats.org/officeDocument/2006/relationships/image" Target="media/image5.png"/><Relationship Id="rId20" Type="http://schemas.openxmlformats.org/officeDocument/2006/relationships/hyperlink" Target="https://www.cotswold-machinery-sales.co.uk/euromac-bending-machines/electric-press-brakes/fx-bend-850/" TargetMode="External"/><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hyperlink" Target="https://www.echopkins.com/shop/fabrication/large-abrasive-machines/belt-grinders/pedestal/fein-gi75-abrasive-belt-grinder/" TargetMode="External"/><Relationship Id="rId24" Type="http://schemas.openxmlformats.org/officeDocument/2006/relationships/image" Target="media/image8.png"/><Relationship Id="rId25" Type="http://schemas.openxmlformats.org/officeDocument/2006/relationships/hyperlink" Target="https://www.cotswold-machinery-sales.co.uk/euromac-bending-machines/notching-machines/va-multi-220-6r-notching-machine/" TargetMode="External"/><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hyperlink" Target="https://www.agme.net/en/riveting-machines/radial-riveting-machines" TargetMode="External"/><Relationship Id="rId29" Type="http://schemas.openxmlformats.org/officeDocument/2006/relationships/image" Target="media/image11.png"/><Relationship Id="rId30" Type="http://schemas.openxmlformats.org/officeDocument/2006/relationships/hyperlink" Target="https://www.wisoven.com/products/batch-ovens/aluminum-age-ovens" TargetMode="External"/><Relationship Id="rId31" Type="http://schemas.openxmlformats.org/officeDocument/2006/relationships/image" Target="media/image12.png"/><Relationship Id="rId32" Type="http://schemas.openxmlformats.org/officeDocument/2006/relationships/hyperlink" Target="https://airblastafc.com/blast-solutions/blast-rooms/" TargetMode="External"/><Relationship Id="rId33" Type="http://schemas.openxmlformats.org/officeDocument/2006/relationships/image" Target="media/image13.png"/><Relationship Id="rId34" Type="http://schemas.openxmlformats.org/officeDocument/2006/relationships/hyperlink" Target="https://www.pimarketing.co.za/" TargetMode="External"/><Relationship Id="rId35" Type="http://schemas.openxmlformats.org/officeDocument/2006/relationships/image" Target="media/image14.png"/><Relationship Id="rId36" Type="http://schemas.openxmlformats.org/officeDocument/2006/relationships/hyperlink" Target="https://www.adendorff.co.za/mac-afric-2-ton-pallet-truck-685-x-1220-mm-gpallt000" TargetMode="External"/><Relationship Id="rId37" Type="http://schemas.openxmlformats.org/officeDocument/2006/relationships/image" Target="media/image15.png"/><Relationship Id="rId38" Type="http://schemas.openxmlformats.org/officeDocument/2006/relationships/image" Target="media/image16.png"/><Relationship Id="rId39" Type="http://schemas.openxmlformats.org/officeDocument/2006/relationships/image" Target="media/image17.png"/><Relationship Id="rId40" Type="http://schemas.openxmlformats.org/officeDocument/2006/relationships/image" Target="media/image18.png"/><Relationship Id="rId41" Type="http://schemas.openxmlformats.org/officeDocument/2006/relationships/image" Target="media/image19.png"/><Relationship Id="rId42"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