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  <Override PartName="/word/media/rId13.svg" ContentType="image/svg+xml"/>
  <Override PartName="/word/media/rId18.svg" ContentType="image/svg+xml"/>
  <Override PartName="/word/media/rId23.svg" ContentType="image/svg+xml"/>
  <Override PartName="/word/media/rId28.svg" ContentType="image/svg+xml"/>
  <Override PartName="/word/media/rId33.svg" ContentType="image/svg+xml"/>
  <Override PartName="/word/media/rId38.svg" ContentType="image/svg+xml"/>
  <Override PartName="/word/media/rId43.svg" ContentType="image/svg+xml"/>
  <Override PartName="/word/media/rId48.svg" ContentType="image/svg+xml"/>
  <Override PartName="/word/media/rId53.svg" ContentType="image/svg+xml"/>
  <Override PartName="/word/media/rId58.svg" ContentType="image/svg+xml"/>
  <Override PartName="/word/media/rId63.svg" ContentType="image/svg+xml"/>
  <Override PartName="/word/media/rId68.svg" ContentType="image/svg+xml"/>
  <Override PartName="/word/media/rId73.svg" ContentType="image/svg+xml"/>
  <Override PartName="/word/media/rId78.svg" ContentType="image/svg+xml"/>
  <Override PartName="/word/media/rId83.svg" ContentType="image/svg+xml"/>
  <Override PartName="/word/media/rId88.svg" ContentType="image/svg+xml"/>
  <Override PartName="/word/media/rId93.svg" ContentType="image/svg+xml"/>
  <Override PartName="/word/media/rId98.svg" ContentType="image/svg+xml"/>
  <Override PartName="/word/media/rId103.svg" ContentType="image/svg+xml"/>
  <Override PartName="/word/media/rId101.png" ContentType="image/png"/>
  <Override PartName="/word/media/rId106.png" ContentType="image/png"/>
  <Override PartName="/word/media/rId12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X0bd7b82ed2fa0ed66eb3396f169688c5491d01d"/>
    <w:p>
      <w:pPr>
        <w:pStyle w:val="Heading1"/>
      </w:pPr>
      <w:r>
        <w:t xml:space="preserve">Appendix C: Workstation Layouts and Costed Equipment Schedule (v2)</w:t>
      </w:r>
    </w:p>
    <w:p>
      <w:pPr>
        <w:pStyle w:val="FirstParagraph"/>
      </w:pPr>
      <w:r>
        <w:t xml:space="preserve">This appendix presents detailed plan-view workstation layouts (Figures C.1–C.19 below; each figure also exists as an editable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file) with full dimension/specification tables and costed equipment schedules. Every drawing shows overall dimensions, machine footprints, operator-movement areas, WIP-before and WIP-after zones, loading/unloading sides, scrap and safety zones, flow arrows, an embedded legend, a scale note (</w:t>
      </w:r>
      <w:r>
        <w:t xml:space="preserve">“not to scale — dimensions in metres”</w:t>
      </w:r>
      <w:r>
        <w:t xml:space="preserve">) and an academic caption. All drawings are</w:t>
      </w:r>
      <w:r>
        <w:t xml:space="preserve"> </w:t>
      </w:r>
      <w:r>
        <w:rPr>
          <w:b/>
          <w:bCs/>
        </w:rPr>
        <w:t xml:space="preserve">original (author’s own)</w:t>
      </w:r>
      <w:r>
        <w:t xml:space="preserve">; where machine proportions were informed by a verified supplier page this is stated per figure and the supplier image was redrawn, not copied. Colour code per Figure C.0: machines light green; raw material light red; load/unload orange; WIP light yellow; operator movement/aisles grey; safety/exclusion light blue; waste light brown; flow arrows black; powder-coat conveyor orange dashed.</w:t>
      </w:r>
    </w:p>
    <w:p>
      <w:pPr>
        <w:pStyle w:val="BodyText"/>
      </w:pPr>
      <w:r>
        <w:drawing>
          <wp:inline>
            <wp:extent cx="3599999" cy="36857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00_legend.sv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68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C.0: Workstation layout legend — colour code for all Appendix C drawings. (Author’s own.)</w:t>
      </w:r>
    </w:p>
    <w:p>
      <w:pPr>
        <w:pStyle w:val="BodyText"/>
      </w:pPr>
      <w:r>
        <w:rPr>
          <w:b/>
          <w:bCs/>
        </w:rPr>
        <w:t xml:space="preserve">Layout logic applied throughout</w:t>
      </w:r>
      <w:r>
        <w:t xml:space="preserve"> </w:t>
      </w:r>
      <w:r>
        <w:t xml:space="preserve">(facilities-design practice; Tompkins et al. method): receiving adjacent to storage (Fig. C.18); storage connected to receiving, packing and dispatch (Figs C.17–C.19); packing connects storage to shipping (Fig. C.16→C.17); shipping has staging for completed orders plus pallet-jack/forklift access (Fig. C.19); U-flow with a time-shared dock because in/out volumes are small and a single forklift serves both — while customer and truck flows stay fully separated; high-utilisation stations are milk-run fed so operators never leave station; expansion ground per §6.8. Aisle-width design bases: operator movement 0.5–0.9 m within stations; trolley/milk-run 2.0 m; counterbalance forklift 3.5 m.</w:t>
      </w:r>
    </w:p>
    <w:p>
      <w:pPr>
        <w:pStyle w:val="BodyText"/>
      </w:pPr>
      <w:r>
        <w:rPr>
          <w:b/>
          <w:bCs/>
        </w:rPr>
        <w:t xml:space="preserve">Drawn-area convention.</w:t>
      </w:r>
      <w:r>
        <w:t xml:space="preserve"> </w:t>
      </w:r>
      <w:r>
        <w:t xml:space="preserve">Drawn zone areas include shares of the 30 % circulation allowance and adjacent interfaces (buffer strips, extraction trunks, staging). Functional areas per Tables 6.33–6.35 are unchanged: the drawings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alter the corrected</w:t>
      </w:r>
      <w:r>
        <w:t xml:space="preserve"> </w:t>
      </w:r>
      <w:r>
        <w:rPr>
          <w:b/>
          <w:bCs/>
        </w:rPr>
        <w:t xml:space="preserve">1 940 m² building / ≈ 4 050 m² site</w:t>
      </w:r>
      <w:r>
        <w:t xml:space="preserve"> </w:t>
      </w:r>
      <w:r>
        <w:t xml:space="preserve">basis.</w:t>
      </w:r>
    </w:p>
    <w:p>
      <w:pPr>
        <w:pStyle w:val="BodyText"/>
      </w:pPr>
      <w:r>
        <w:rPr>
          <w:b/>
          <w:bCs/>
        </w:rPr>
        <w:t xml:space="preserve">Cost basis.</w:t>
      </w:r>
      <w:r>
        <w:t xml:space="preserve"> </w:t>
      </w:r>
      <w:r>
        <w:t xml:space="preserve">No prices invented. Levels:</w:t>
      </w:r>
      <w:r>
        <w:t xml:space="preserve"> </w:t>
      </w:r>
      <w:r>
        <w:rPr>
          <w:i/>
          <w:iCs/>
        </w:rPr>
        <w:t xml:space="preserve">Direct price</w:t>
      </w:r>
      <w:r>
        <w:t xml:space="preserve"> </w:t>
      </w:r>
      <w:r>
        <w:t xml:space="preserve">(opened page, published price);</w:t>
      </w:r>
      <w:r>
        <w:t xml:space="preserve"> </w:t>
      </w:r>
      <w:r>
        <w:rPr>
          <w:i/>
          <w:iCs/>
        </w:rPr>
        <w:t xml:space="preserve">Converted price</w:t>
      </w:r>
      <w:r>
        <w:t xml:space="preserve"> </w:t>
      </w:r>
      <w:r>
        <w:t xml:space="preserve">(GBP→ZAR at</w:t>
      </w:r>
      <w:r>
        <w:t xml:space="preserve"> </w:t>
      </w:r>
      <w:r>
        <w:rPr>
          <w:b/>
          <w:bCs/>
        </w:rPr>
        <w:t xml:space="preserve">R22.11/GBP</w:t>
      </w:r>
      <w:r>
        <w:t xml:space="preserve">, exchangerates.org.uk, accessed 10 June 2026; excludes shipping/duties);</w:t>
      </w:r>
      <w:r>
        <w:t xml:space="preserve"> </w:t>
      </w:r>
      <w:r>
        <w:rPr>
          <w:i/>
          <w:iCs/>
        </w:rPr>
        <w:t xml:space="preserve">Comparable estimate</w:t>
      </w:r>
      <w:r>
        <w:t xml:space="preserve"> </w:t>
      </w:r>
      <w:r>
        <w:t xml:space="preserve">(supplier-published SA budgeting range);</w:t>
      </w:r>
      <w:r>
        <w:t xml:space="preserve"> </w:t>
      </w:r>
      <w:r>
        <w:rPr>
          <w:i/>
          <w:iCs/>
        </w:rPr>
        <w:t xml:space="preserve">Quotation required</w:t>
      </w:r>
      <w:r>
        <w:t xml:space="preserve"> </w:t>
      </w:r>
      <w:r>
        <w:t xml:space="preserve">(no traceable price — confidence Low). ZAR retail prices include VAT.</w:t>
      </w:r>
    </w:p>
    <w:p>
      <w:r>
        <w:pict>
          <v:rect style="width:0;height:1.5pt" o:hralign="center" o:hrstd="t" o:hr="t"/>
        </w:pict>
      </w:r>
    </w:p>
    <w:bookmarkStart w:id="17" w:name="c.1-tube-cutting"/>
    <w:p>
      <w:pPr>
        <w:pStyle w:val="Heading2"/>
      </w:pPr>
      <w:r>
        <w:t xml:space="preserve">C.1 Tube cutting</w:t>
      </w:r>
    </w:p>
    <w:p>
      <w:pPr>
        <w:pStyle w:val="FirstParagraph"/>
      </w:pPr>
      <w:r>
        <w:drawing>
          <wp:inline>
            <wp:extent cx="5039999" cy="316145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01_tube_cutting.sv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16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C.1: Tube cutting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The saw cell is a 9.0 × 2.0 m strip because the 6 m bar magazine dominates; the rack face is both store and WIP-before, so putaway and consumption share one face (zero transfer). Scrap exits the rear to the waste route. Two mirrored cells share the rack aisle.</w:t>
      </w:r>
    </w:p>
    <w:p>
      <w:pPr>
        <w:pStyle w:val="BodyText"/>
      </w:pPr>
      <w:r>
        <w:rPr>
          <w:b/>
          <w:bCs/>
        </w:rPr>
        <w:t xml:space="preserve">Table C.1: Tube-cutting workstation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workstation dimensions (L × W)</w:t>
            </w:r>
          </w:p>
        </w:tc>
        <w:tc>
          <w:tcPr/>
          <w:p>
            <w:pPr>
              <w:pStyle w:val="Compact"/>
            </w:pPr>
            <w:r>
              <w:t xml:space="preserve">9.0 × 2.0 m per saw (drawn zone 10.5 × 3.8 m incl. rack face)</w:t>
            </w:r>
          </w:p>
        </w:tc>
        <w:tc>
          <w:tcPr/>
          <w:p>
            <w:pPr>
              <w:pStyle w:val="Compact"/>
            </w:pPr>
            <w:r>
              <w:t xml:space="preserve">Drawing calculation; §6.8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workstation area</w:t>
            </w:r>
          </w:p>
        </w:tc>
        <w:tc>
          <w:tcPr/>
          <w:p>
            <w:pPr>
              <w:pStyle w:val="Compact"/>
            </w:pPr>
            <w:r>
              <w:t xml:space="preserve">18.0 m² per saw (×2)</w:t>
            </w:r>
          </w:p>
        </w:tc>
        <w:tc>
          <w:tcPr/>
          <w:p>
            <w:pPr>
              <w:pStyle w:val="Compact"/>
            </w:pPr>
            <w:r>
              <w:t xml:space="preserve">L ×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 (L × W × H)</w:t>
            </w:r>
          </w:p>
        </w:tc>
        <w:tc>
          <w:tcPr/>
          <w:p>
            <w:pPr>
              <w:pStyle w:val="Compact"/>
            </w:pPr>
            <w:r>
              <w:t xml:space="preserve">Saw 1.5 × 1.3 m allowance; quotation-dependent</w:t>
            </w:r>
          </w:p>
        </w:tc>
        <w:tc>
          <w:tcPr/>
          <w:p>
            <w:pPr>
              <w:pStyle w:val="Compact"/>
            </w:pPr>
            <w:r>
              <w:t xml:space="preserve">ProfiFeed A420 page publishes no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7.9 × 0.9 m = 7.1 m²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0.9 m operator; 3.5 m rack/forklift aisle (Fig. C.18)</w:t>
            </w:r>
          </w:p>
        </w:tc>
        <w:tc>
          <w:tcPr/>
          <w:p>
            <w:pPr>
              <w:pStyle w:val="Compact"/>
            </w:pPr>
            <w:r>
              <w:t xml:space="preserve">Material-handling 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Rack face — 990 tubes (2-week stock)</w:t>
            </w:r>
          </w:p>
        </w:tc>
        <w:tc>
          <w:tcPr/>
          <w:p>
            <w:pPr>
              <w:pStyle w:val="Compact"/>
            </w:pPr>
            <w:r>
              <w:t xml:space="preserve">Table 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1.3 × 1.3 m = 1.7 m² cut-section bins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2 / 2 (99.7 %)</w:t>
            </w:r>
          </w:p>
        </w:tc>
        <w:tc>
          <w:tcPr/>
          <w:p>
            <w:pPr>
              <w:pStyle w:val="Compact"/>
            </w:pPr>
            <w:r>
              <w:t xml:space="preserve">Table 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cost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ProfiFeed Technologies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Price on application</w:t>
            </w:r>
          </w:p>
        </w:tc>
      </w:tr>
    </w:tbl>
    <w:bookmarkEnd w:id="17"/>
    <w:bookmarkStart w:id="22" w:name="c.2-internal-threading"/>
    <w:p>
      <w:pPr>
        <w:pStyle w:val="Heading2"/>
      </w:pPr>
      <w:r>
        <w:t xml:space="preserve">C.2 Internal threading</w:t>
      </w:r>
    </w:p>
    <w:p>
      <w:pPr>
        <w:pStyle w:val="FirstParagraph"/>
      </w:pPr>
      <w:r>
        <w:drawing>
          <wp:inline>
            <wp:extent cx="5039999" cy="60524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02_internal_threading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05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C.2: Internal threading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Classic 6 m² bench cell (Eq. 6.9); 66.5 % utilisation gives slack that absorbs saw interruptions, so its buffers stay small.</w:t>
      </w:r>
    </w:p>
    <w:p>
      <w:pPr>
        <w:pStyle w:val="BodyText"/>
      </w:pPr>
      <w:r>
        <w:rPr>
          <w:b/>
          <w:bCs/>
        </w:rPr>
        <w:t xml:space="preserve">Table C.2: Internal-threading workstation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workstation dimensions (L × W)</w:t>
            </w:r>
          </w:p>
        </w:tc>
        <w:tc>
          <w:tcPr/>
          <w:p>
            <w:pPr>
              <w:pStyle w:val="Compact"/>
            </w:pPr>
            <w:r>
              <w:t xml:space="preserve">3.0 × 2.0 m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workstation area</w:t>
            </w:r>
          </w:p>
        </w:tc>
        <w:tc>
          <w:tcPr/>
          <w:p>
            <w:pPr>
              <w:pStyle w:val="Compact"/>
            </w:pPr>
            <w:r>
              <w:t xml:space="preserve">6.0 m² (×2 stations)</w:t>
            </w:r>
          </w:p>
        </w:tc>
        <w:tc>
          <w:tcPr/>
          <w:p>
            <w:pPr>
              <w:pStyle w:val="Compact"/>
            </w:pPr>
            <w:r>
              <w:t xml:space="preserve">Equation 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</w:t>
            </w:r>
          </w:p>
        </w:tc>
        <w:tc>
          <w:tcPr/>
          <w:p>
            <w:pPr>
              <w:pStyle w:val="Compact"/>
            </w:pPr>
            <w:r>
              <w:t xml:space="preserve">Bench machine 1.2 × 1.1 m; 1 020 mm working radius</w:t>
            </w:r>
          </w:p>
        </w:tc>
        <w:tc>
          <w:tcPr/>
          <w:p>
            <w:pPr>
              <w:pStyle w:val="Compact"/>
            </w:pPr>
            <w:r>
              <w:t xml:space="preserve">Cotswold (n.d.a)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3.2 × 0.5 m = 1.6 m²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0.5 m in-station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 / after</w:t>
            </w:r>
          </w:p>
        </w:tc>
        <w:tc>
          <w:tcPr/>
          <w:p>
            <w:pPr>
              <w:pStyle w:val="Compact"/>
            </w:pPr>
            <w:r>
              <w:t xml:space="preserve">0.7 m² bin each side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2 / 2 (66.5 %)</w:t>
            </w:r>
          </w:p>
        </w:tc>
        <w:tc>
          <w:tcPr/>
          <w:p>
            <w:pPr>
              <w:pStyle w:val="Compact"/>
            </w:pPr>
            <w:r>
              <w:t xml:space="preserve">Table 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Distributor enquiry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Price on application</w:t>
            </w:r>
          </w:p>
        </w:tc>
      </w:tr>
    </w:tbl>
    <w:bookmarkEnd w:id="22"/>
    <w:bookmarkStart w:id="27" w:name="c.3-end-narrowing"/>
    <w:p>
      <w:pPr>
        <w:pStyle w:val="Heading2"/>
      </w:pPr>
      <w:r>
        <w:t xml:space="preserve">C.3 End narrowing</w:t>
      </w:r>
    </w:p>
    <w:p>
      <w:pPr>
        <w:pStyle w:val="FirstParagraph"/>
      </w:pPr>
      <w:r>
        <w:drawing>
          <wp:inline>
            <wp:extent cx="5039999" cy="60524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03_end_narrowing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05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C.3: End narrowing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Identical cell geometry to C.2; placed to feed the knurling bank in a one-piece-flow lane (§6.3.3). 33.2 % utilisation = future-flexibility station.</w:t>
      </w:r>
    </w:p>
    <w:p>
      <w:pPr>
        <w:pStyle w:val="BodyText"/>
      </w:pPr>
      <w:r>
        <w:rPr>
          <w:b/>
          <w:bCs/>
        </w:rPr>
        <w:t xml:space="preserve">Table C.3: End-narrowing workstation specifications</w:t>
      </w:r>
      <w:r>
        <w:t xml:space="preserve"> </w:t>
      </w:r>
      <w:r>
        <w:t xml:space="preserve">— as Table C.2 with: machine = tube end former (model for Ø31.70 mm at quotation); 1 station / 1 operator (33.2 %); unit/total cost Quotation required (Hippo, n.d.); basis Quotation / confidence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27"/>
    <w:bookmarkStart w:id="32" w:name="c.4-knurling-and-external-threading-bank"/>
    <w:p>
      <w:pPr>
        <w:pStyle w:val="Heading2"/>
      </w:pPr>
      <w:r>
        <w:t xml:space="preserve">C.4 Knurling and external threading bank</w:t>
      </w:r>
    </w:p>
    <w:p>
      <w:pPr>
        <w:pStyle w:val="FirstParagraph"/>
      </w:pPr>
      <w:r>
        <w:drawing>
          <wp:inline>
            <wp:extent cx="5039999" cy="360943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04_knurling_bank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0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C.4: Knurling and external threading bank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Four machines in a bank with a full-length buffer strip on the infeed: at 99.7 % utilisation the bank has &lt; 2 min/day slack, so the buffer decouples it from upstream stoppages and the milk-run replenishes it hourly.</w:t>
      </w:r>
    </w:p>
    <w:p>
      <w:pPr>
        <w:pStyle w:val="BodyText"/>
      </w:pPr>
      <w:r>
        <w:rPr>
          <w:b/>
          <w:bCs/>
        </w:rPr>
        <w:t xml:space="preserve">Table C.4: Knurling/external-threading bank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8.4 × 3.4 m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28.6 m² drawn (4 × 6 m² + buffer share of circulation)</w:t>
            </w:r>
          </w:p>
        </w:tc>
        <w:tc>
          <w:tcPr/>
          <w:p>
            <w:pPr>
              <w:pStyle w:val="Compact"/>
            </w:pPr>
            <w:r>
              <w:t xml:space="preserve">L ×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 (L × W × H)</w:t>
            </w:r>
          </w:p>
        </w:tc>
        <w:tc>
          <w:tcPr/>
          <w:p>
            <w:pPr>
              <w:pStyle w:val="Compact"/>
            </w:pPr>
            <w:r>
              <w:t xml:space="preserve">1 500 × 1 580 × 1 140 mm (PTR 42 class)</w:t>
            </w:r>
          </w:p>
        </w:tc>
        <w:tc>
          <w:tcPr/>
          <w:p>
            <w:pPr>
              <w:pStyle w:val="Compact"/>
            </w:pPr>
            <w:r>
              <w:t xml:space="preserve">Profimach published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8.4 × 0.55 m = 4.6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0.55 m in-station; milk-run lane 2.0 m adjacent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Buffer strip 8.4 × 0.55 m = 4.6 m² (narrowed pipes)</w:t>
            </w:r>
          </w:p>
        </w:tc>
        <w:tc>
          <w:tcPr/>
          <w:p>
            <w:pPr>
              <w:pStyle w:val="Compact"/>
            </w:pPr>
            <w:r>
              <w:t xml:space="preserve">Drawing; §6.3.4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Same strip, outflow right to coat staging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4 / 4 (99.7 %)</w:t>
            </w:r>
          </w:p>
        </w:tc>
        <w:tc>
          <w:tcPr/>
          <w:p>
            <w:pPr>
              <w:pStyle w:val="Compact"/>
            </w:pPr>
            <w:r>
              <w:t xml:space="preserve">Table 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Profimach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Price on application</w:t>
            </w:r>
          </w:p>
        </w:tc>
      </w:tr>
    </w:tbl>
    <w:bookmarkEnd w:id="32"/>
    <w:bookmarkStart w:id="37" w:name="c.5-sheet-stamping-press-cell"/>
    <w:p>
      <w:pPr>
        <w:pStyle w:val="Heading2"/>
      </w:pPr>
      <w:r>
        <w:t xml:space="preserve">C.5 Sheet-stamping press cell</w:t>
      </w:r>
    </w:p>
    <w:p>
      <w:pPr>
        <w:pStyle w:val="FirstParagraph"/>
      </w:pPr>
      <w:r>
        <w:drawing>
          <wp:inline>
            <wp:extent cx="5039999" cy="482205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05_press_cell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82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C.5: Sheet-stamping press cell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Head and hinge stamping are combined into one cell: shared sheet stacks, shared skeleton-scrap route, shared operator skills; both presses at 13.3 % keep the consolidation option (one press + quick die change) open.</w:t>
      </w:r>
    </w:p>
    <w:p>
      <w:pPr>
        <w:pStyle w:val="BodyText"/>
      </w:pPr>
      <w:r>
        <w:rPr>
          <w:b/>
          <w:bCs/>
        </w:rPr>
        <w:t xml:space="preserve">Table C.5: Press cell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6.4 × 4.0 m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25.6 m² drawn (2 × 6 m² stations + sheet staging at store interface)</w:t>
            </w:r>
          </w:p>
        </w:tc>
        <w:tc>
          <w:tcPr/>
          <w:p>
            <w:pPr>
              <w:pStyle w:val="Compact"/>
            </w:pPr>
            <w:r>
              <w:t xml:space="preserve">L ×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 (W × D × H)</w:t>
            </w:r>
          </w:p>
        </w:tc>
        <w:tc>
          <w:tcPr/>
          <w:p>
            <w:pPr>
              <w:pStyle w:val="Compact"/>
            </w:pPr>
            <w:r>
              <w:t xml:space="preserve">930 × 1 200 × 2 100 mm each (OCP-35)</w:t>
            </w:r>
          </w:p>
        </w:tc>
        <w:tc>
          <w:tcPr/>
          <w:p>
            <w:pPr>
              <w:pStyle w:val="Compact"/>
            </w:pPr>
            <w:r>
              <w:t xml:space="preserve">Stamtec published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6.4 × 0.6 m = 3.8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0.6 m in-cell; sheet infeed 2.5 m approach</w:t>
            </w:r>
          </w:p>
        </w:tc>
        <w:tc>
          <w:tcPr/>
          <w:p>
            <w:pPr>
              <w:pStyle w:val="Compact"/>
            </w:pPr>
            <w:r>
              <w:t xml:space="preserve">§6.3.5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Sheet stacks 1.5 × 1.6 m (240 sheets; counted in storage 10 m²)</w:t>
            </w:r>
          </w:p>
        </w:tc>
        <w:tc>
          <w:tcPr/>
          <w:p>
            <w:pPr>
              <w:pStyle w:val="Compact"/>
            </w:pPr>
            <w:r>
              <w:t xml:space="preserve">Storage_3D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Blank bins 2 × 0.8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2 / 2 (13.3 % each)</w:t>
            </w:r>
          </w:p>
        </w:tc>
        <w:tc>
          <w:tcPr/>
          <w:p>
            <w:pPr>
              <w:pStyle w:val="Compact"/>
            </w:pPr>
            <w:r>
              <w:t xml:space="preserve">Table 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 (+ dies as separate tooling)</w:t>
            </w:r>
          </w:p>
        </w:tc>
        <w:tc>
          <w:tcPr/>
          <w:p>
            <w:pPr>
              <w:pStyle w:val="Compact"/>
            </w:pPr>
            <w:r>
              <w:t xml:space="preserve">Stamtec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Price on application</w:t>
            </w:r>
          </w:p>
        </w:tc>
      </w:tr>
    </w:tbl>
    <w:bookmarkEnd w:id="37"/>
    <w:bookmarkStart w:id="42" w:name="c.6-hinge-bending"/>
    <w:p>
      <w:pPr>
        <w:pStyle w:val="Heading2"/>
      </w:pPr>
      <w:r>
        <w:t xml:space="preserve">C.6 Hinge bending</w:t>
      </w:r>
    </w:p>
    <w:p>
      <w:pPr>
        <w:pStyle w:val="FirstParagraph"/>
      </w:pPr>
      <w:r>
        <w:drawing>
          <wp:inline>
            <wp:extent cx="5039999" cy="609882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06_hinge_bending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09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C.6: Hinge bending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Bench brake with fixed V-die and light-curtain guard; sits between hinge stamping and riveting in a straight short-flow lane.</w:t>
      </w:r>
    </w:p>
    <w:p>
      <w:pPr>
        <w:pStyle w:val="BodyText"/>
      </w:pPr>
      <w:r>
        <w:rPr>
          <w:b/>
          <w:bCs/>
        </w:rPr>
        <w:t xml:space="preserve">Table C.6: Hinge-bending workstation specifications</w:t>
      </w:r>
      <w:r>
        <w:t xml:space="preserve"> </w:t>
      </w:r>
      <w:r>
        <w:t xml:space="preserve">— overall 3.4 × 2.5 m = 8.5 m² drawn (6 m² station + guard clearance); machine 1.4 × 1.0 m (tonnage at quotation); operator movement 1.7 m²; aisle 0.5 m; WIP 0.7 m² each side; 1 / 1 (31.6 %); cost Quotation required (Cotswold, n.d.b)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42"/>
    <w:bookmarkStart w:id="47" w:name="c.7-shovel-head-shaping"/>
    <w:p>
      <w:pPr>
        <w:pStyle w:val="Heading2"/>
      </w:pPr>
      <w:r>
        <w:t xml:space="preserve">C.7 Shovel-head shaping</w:t>
      </w:r>
    </w:p>
    <w:p>
      <w:pPr>
        <w:pStyle w:val="FirstParagraph"/>
      </w:pPr>
      <w:r>
        <w:drawing>
          <wp:inline>
            <wp:extent cx="5039999" cy="60524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07_head_shaping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05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C.7: Shovel-head shaping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Same press platform as C.5 (spares/training commonality); output buffer sized to keep the sharpening bank continuously fed.</w:t>
      </w:r>
    </w:p>
    <w:p>
      <w:pPr>
        <w:pStyle w:val="BodyText"/>
      </w:pPr>
      <w:r>
        <w:rPr>
          <w:b/>
          <w:bCs/>
        </w:rPr>
        <w:t xml:space="preserve">Table C.7: Head-shaping workstation specifications</w:t>
      </w:r>
      <w:r>
        <w:t xml:space="preserve"> </w:t>
      </w:r>
      <w:r>
        <w:t xml:space="preserve">— overall 3.0 × 2.0 m = 6.0 m²; machine 1.2 × 1.1 m allowance (OCP class; forming tonnage at die design); operator movement 1.6 m²; WIP 0.7 m² each side; 1 / 1 (12.6 %); cost Quotation required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47"/>
    <w:bookmarkStart w:id="52" w:name="c.8-blade-sharpening-bank"/>
    <w:p>
      <w:pPr>
        <w:pStyle w:val="Heading2"/>
      </w:pPr>
      <w:r>
        <w:t xml:space="preserve">C.8 Blade-sharpening bank</w:t>
      </w:r>
    </w:p>
    <w:p>
      <w:pPr>
        <w:pStyle w:val="FirstParagraph"/>
      </w:pPr>
      <w:r>
        <w:drawing>
          <wp:inline>
            <wp:extent cx="5039999" cy="496296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08_sharpening_bank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962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C.8: Blade-sharpening bank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Two facing rows of four grinders around a central milk-run WIP lane: operators never leave the row (94.7 %), extraction trunks run at the rear of each row, and the lane gives supervisors a single sight-line on queue depth.</w:t>
      </w:r>
    </w:p>
    <w:p>
      <w:pPr>
        <w:pStyle w:val="BodyText"/>
      </w:pPr>
      <w:r>
        <w:rPr>
          <w:b/>
          <w:bCs/>
        </w:rPr>
        <w:t xml:space="preserve">Table C.8: Sharpening bank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8.4 × 6.2 m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52.1 m² drawn (8 × 6 m² + extraction trunks within services)</w:t>
            </w:r>
          </w:p>
        </w:tc>
        <w:tc>
          <w:tcPr/>
          <w:p>
            <w:pPr>
              <w:pStyle w:val="Compact"/>
            </w:pPr>
            <w:r>
              <w:t xml:space="preserve">L ×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</w:t>
            </w:r>
          </w:p>
        </w:tc>
        <w:tc>
          <w:tcPr/>
          <w:p>
            <w:pPr>
              <w:pStyle w:val="Compact"/>
            </w:pPr>
            <w:r>
              <w:t xml:space="preserve">Grinder ≈ 1.1 × 1.1 m plan; 75 × 2 000 mm belt; 4 kW; 415 V</w:t>
            </w:r>
          </w:p>
        </w:tc>
        <w:tc>
          <w:tcPr/>
          <w:p>
            <w:pPr>
              <w:pStyle w:val="Compact"/>
            </w:pPr>
            <w:r>
              <w:t xml:space="preserve">EC Hopkins published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2 rows × 8.4 × 0.8 m = 13.4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0.8 m operator rows; central lane 1.05 m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Central lane 8.4 × 1.05 m = 8.8 m² (formed heads, milk-run fed)</w:t>
            </w:r>
          </w:p>
        </w:tc>
        <w:tc>
          <w:tcPr/>
          <w:p>
            <w:pPr>
              <w:pStyle w:val="Compact"/>
            </w:pPr>
            <w:r>
              <w:t xml:space="preserve">Drawing; §6.6.5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Same lane, outflow right to serrating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8 / 8 (94.7 % — facility bottleneck)</w:t>
            </w:r>
          </w:p>
        </w:tc>
        <w:tc>
          <w:tcPr/>
          <w:p>
            <w:pPr>
              <w:pStyle w:val="Compact"/>
            </w:pPr>
            <w:r>
              <w:t xml:space="preserve">Table 6.25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≈ £3,293 incl UK VAT ≈</w:t>
            </w:r>
            <w:r>
              <w:t xml:space="preserve"> </w:t>
            </w:r>
            <w:r>
              <w:rPr>
                <w:b/>
                <w:bCs/>
              </w:rPr>
              <w:t xml:space="preserve">R72,800</w:t>
            </w:r>
            <w:r>
              <w:t xml:space="preserve"> </w:t>
            </w:r>
            <w:r>
              <w:t xml:space="preserve">(extraction config)</w:t>
            </w:r>
          </w:p>
        </w:tc>
        <w:tc>
          <w:tcPr/>
          <w:p>
            <w:pPr>
              <w:pStyle w:val="Compact"/>
            </w:pPr>
            <w:r>
              <w:t xml:space="preserve">EC Hopkins price range top, accessed 10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R582,400</w:t>
            </w:r>
            <w:r>
              <w:t xml:space="preserve"> </w:t>
            </w:r>
            <w:r>
              <w:t xml:space="preserve">(8 ×)</w:t>
            </w:r>
          </w:p>
        </w:tc>
        <w:tc>
          <w:tcPr/>
          <w:p>
            <w:pPr>
              <w:pStyle w:val="Compact"/>
            </w:pPr>
            <w:r>
              <w:t xml:space="preserve">Quantity ×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Converted price (R22.11/GBP) /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Verified UK retail; excl. shipping/duties</w:t>
            </w:r>
          </w:p>
        </w:tc>
      </w:tr>
    </w:tbl>
    <w:bookmarkEnd w:id="52"/>
    <w:bookmarkStart w:id="57" w:name="c.9-blade-serrating-row"/>
    <w:p>
      <w:pPr>
        <w:pStyle w:val="Heading2"/>
      </w:pPr>
      <w:r>
        <w:t xml:space="preserve">C.9 Blade-serrating row</w:t>
      </w:r>
    </w:p>
    <w:p>
      <w:pPr>
        <w:pStyle w:val="FirstParagraph"/>
      </w:pPr>
      <w:r>
        <w:drawing>
          <wp:inline>
            <wp:extent cx="5039999" cy="351039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09_serrating_row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51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C.9: Blade-serrating row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In-line continuation of the sharpening lane — sharpened heads cross by bin without trolley transport; equipment homogeneous with C.8 for cross-balancing.</w:t>
      </w:r>
    </w:p>
    <w:p>
      <w:pPr>
        <w:pStyle w:val="BodyText"/>
      </w:pPr>
      <w:r>
        <w:rPr>
          <w:b/>
          <w:bCs/>
        </w:rPr>
        <w:t xml:space="preserve">Table C.9: Serrating row specifications</w:t>
      </w:r>
      <w:r>
        <w:t xml:space="preserve"> </w:t>
      </w:r>
      <w:r>
        <w:t xml:space="preserve">— overall 8.4 × 3.2 m = 26.9 m² drawn (4 × 6 m²); machines as C.8 with formed contact wheel; operator movement 5.0 m²; WIP strip 8.4 × 0.6 m shared before/after; 4 / 4 (94.7 %); unit ≈ R72,800, total ≈</w:t>
      </w:r>
      <w:r>
        <w:t xml:space="preserve"> </w:t>
      </w:r>
      <w:r>
        <w:rPr>
          <w:b/>
          <w:bCs/>
        </w:rPr>
        <w:t xml:space="preserve">R291,200</w:t>
      </w:r>
      <w:r>
        <w:t xml:space="preserve">; basis Converted price /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(serration method itself to be proven at quotation trial; notching alternative quotation-only).</w:t>
      </w:r>
    </w:p>
    <w:bookmarkEnd w:id="57"/>
    <w:bookmarkStart w:id="62" w:name="c.10-riveting"/>
    <w:p>
      <w:pPr>
        <w:pStyle w:val="Heading2"/>
      </w:pPr>
      <w:r>
        <w:t xml:space="preserve">C.10 Riveting</w:t>
      </w:r>
    </w:p>
    <w:p>
      <w:pPr>
        <w:pStyle w:val="FirstParagraph"/>
      </w:pPr>
      <w:r>
        <w:drawing>
          <wp:inline>
            <wp:extent cx="5039999" cy="5863266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10_riveting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86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C.10: Riveting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The sheet-stream convergence: two matched inbound buffers (heads, hinges) plus rivet point-of-use shelf; two-hand control enforces hands-clear forming; subassembly exits to oven staging.</w:t>
      </w:r>
    </w:p>
    <w:p>
      <w:pPr>
        <w:pStyle w:val="BodyText"/>
      </w:pPr>
      <w:r>
        <w:rPr>
          <w:b/>
          <w:bCs/>
        </w:rPr>
        <w:t xml:space="preserve">Table C.10: Riveting workstation specifications</w:t>
      </w:r>
      <w:r>
        <w:t xml:space="preserve"> </w:t>
      </w:r>
      <w:r>
        <w:t xml:space="preserve">— overall 3.7 × 2.6 m = 9.6 m² drawn (6 m² station + dual buffers); machine bench 1.2 × 1.1 m; operator movement 1.9 m²; WIP before 2 × 0.56 m² (heads, hinges) + rivets 0.3 m²; WIP after 0.63 m²; 1 / 1 (31.6 %); cost Quotation required (AGME, n.d.; model per rivet spec [VERIFY])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62"/>
    <w:bookmarkStart w:id="67" w:name="c.11-heat-treatment-and-oven-buffers"/>
    <w:p>
      <w:pPr>
        <w:pStyle w:val="Heading2"/>
      </w:pPr>
      <w:r>
        <w:t xml:space="preserve">C.11 Heat treatment and oven buffers</w:t>
      </w:r>
    </w:p>
    <w:p>
      <w:pPr>
        <w:pStyle w:val="FirstParagraph"/>
      </w:pPr>
      <w:r>
        <w:drawing>
          <wp:inline>
            <wp:extent cx="5039999" cy="4176573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11_heat_treatment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17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C.11: Heat treatment and oven buffers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Batch decoupling point: IN buffer accumulates a day of subassemblies; one 6 h batch per shift; cooling/OUT buffer feeds blasting. Thermal clearance and services-wall placement per §6.3.12.</w:t>
      </w:r>
    </w:p>
    <w:p>
      <w:pPr>
        <w:pStyle w:val="BodyText"/>
      </w:pPr>
      <w:r>
        <w:rPr>
          <w:b/>
          <w:bCs/>
        </w:rPr>
        <w:t xml:space="preserve">Table C.11: Heat-treatment area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9.4 × 5.4 m sub-zone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50.8 m² of the 80 m² allowance (+19.2 m² buffer correction, Table 6.34)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dimensions</w:t>
            </w:r>
          </w:p>
        </w:tc>
        <w:tc>
          <w:tcPr/>
          <w:p>
            <w:pPr>
              <w:pStyle w:val="Compact"/>
            </w:pPr>
            <w:r>
              <w:t xml:space="preserve">Oven ≈ 2.5 × 2.5 m plan (chamber at quotation — sizing-critical)</w:t>
            </w:r>
          </w:p>
        </w:tc>
        <w:tc>
          <w:tcPr/>
          <w:p>
            <w:pPr>
              <w:pStyle w:val="Compact"/>
            </w:pPr>
            <w:r>
              <w:t xml:space="preserve">Wisconsin Oven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Forklift/pallet-truck aisle 9.4 × 0.7 m = 6.6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0.7 m drawn local; 2.0 m milk-run access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Day buffer IN 2.2 × 3.6 m = 7.9 m² (≈ 5 pallets)</w:t>
            </w:r>
          </w:p>
        </w:tc>
        <w:tc>
          <w:tcPr/>
          <w:p>
            <w:pPr>
              <w:pStyle w:val="Compact"/>
            </w:pPr>
            <w:r>
              <w:t xml:space="preserve">Drawing; §6.6.2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Cooling/OUT 2.0 × 3.6 m = 7.2 m² (≈ 5 pallets)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machines</w:t>
            </w:r>
          </w:p>
        </w:tc>
        <w:tc>
          <w:tcPr/>
          <w:p>
            <w:pPr>
              <w:pStyle w:val="Compact"/>
            </w:pPr>
            <w:r>
              <w:t xml:space="preserve">Shared pool / 1 oven</w:t>
            </w:r>
          </w:p>
        </w:tc>
        <w:tc>
          <w:tcPr/>
          <w:p>
            <w:pPr>
              <w:pStyle w:val="Compact"/>
            </w:pPr>
            <w:r>
              <w:t xml:space="preserve">Table 6.27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Wisconsin Oven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Custom-sized capital item</w:t>
            </w:r>
          </w:p>
        </w:tc>
      </w:tr>
    </w:tbl>
    <w:bookmarkEnd w:id="67"/>
    <w:bookmarkStart w:id="72" w:name="c.12-sandblasting"/>
    <w:p>
      <w:pPr>
        <w:pStyle w:val="Heading2"/>
      </w:pPr>
      <w:r>
        <w:t xml:space="preserve">C.12 Sandblasting</w:t>
      </w:r>
    </w:p>
    <w:p>
      <w:pPr>
        <w:pStyle w:val="FirstParagraph"/>
      </w:pPr>
      <w:r>
        <w:drawing>
          <wp:inline>
            <wp:extent cx="5039999" cy="542140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12_sandblasting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42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C.12: Sandblasting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Enclosed booth with media-recovery floor; dust collector on the external services wall; sealed combustible-dust drums on the waste route; IN/OUT racks keep blasted parts clean en route to polishing.</w:t>
      </w:r>
    </w:p>
    <w:p>
      <w:pPr>
        <w:pStyle w:val="BodyText"/>
      </w:pPr>
      <w:r>
        <w:rPr>
          <w:b/>
          <w:bCs/>
        </w:rPr>
        <w:t xml:space="preserve">Table C.12: Sandblasting area specifications</w:t>
      </w:r>
      <w:r>
        <w:t xml:space="preserve"> </w:t>
      </w:r>
      <w:r>
        <w:t xml:space="preserve">— overall 6.4 × 5.0 m = 32.0 m² (remainder of 80 m² with C.11); booth 2.8 × 3.0 m + collector 1.2 × 1.4 m; operator/trolley aisle 3.8 m² (0.6 m); WIP before 1.9 m² IN racks / after 1.4 m² OUT racks; shared pool; cycle/booth count [VERIFY]; cost Quotation required (Airblast AFC, n.d.)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72"/>
    <w:bookmarkStart w:id="77" w:name="c.13-hand-polishingdeburring-row"/>
    <w:p>
      <w:pPr>
        <w:pStyle w:val="Heading2"/>
      </w:pPr>
      <w:r>
        <w:t xml:space="preserve">C.13 Hand polishing/deburring row</w:t>
      </w:r>
    </w:p>
    <w:p>
      <w:pPr>
        <w:pStyle w:val="FirstParagraph"/>
      </w:pPr>
      <w:r>
        <w:drawing>
          <wp:inline>
            <wp:extent cx="5039999" cy="345537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13_polishing_row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45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C.13: Hand polishing/deburring row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Last open process before the coating enclosure; bench extraction joins the finishing-zone combustible-dust system; inspection-grade lighting doubles as pre-coat surface check.</w:t>
      </w:r>
    </w:p>
    <w:p>
      <w:pPr>
        <w:pStyle w:val="BodyText"/>
      </w:pPr>
      <w:r>
        <w:rPr>
          <w:b/>
          <w:bCs/>
        </w:rPr>
        <w:t xml:space="preserve">Table C.13: Polishing row specifications</w:t>
      </w:r>
      <w:r>
        <w:t xml:space="preserve"> </w:t>
      </w:r>
      <w:r>
        <w:t xml:space="preserve">— overall 8.4 × 3.1 m = 26.0 m² (4 × 6 m²); bench 1.1 × 1.0 m each; operator movement 5.0 m² (0.6 m row); WIP strip shared before/after; 4 / 4 (94.7 %); benches</w:t>
      </w:r>
      <w:r>
        <w:t xml:space="preserve"> </w:t>
      </w:r>
      <w:r>
        <w:rPr>
          <w:b/>
          <w:bCs/>
        </w:rPr>
        <w:t xml:space="preserve">fabrication quote required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(no comparable SA catalogue price verified).</w:t>
      </w:r>
    </w:p>
    <w:bookmarkEnd w:id="77"/>
    <w:bookmarkStart w:id="82" w:name="c.14-powder-coating-enclosed-area"/>
    <w:p>
      <w:pPr>
        <w:pStyle w:val="Heading2"/>
      </w:pPr>
      <w:r>
        <w:t xml:space="preserve">C.14 Powder-coating enclosed area</w:t>
      </w:r>
    </w:p>
    <w:p>
      <w:pPr>
        <w:pStyle w:val="FirstParagraph"/>
      </w:pPr>
      <w:r>
        <w:drawing>
          <wp:inline>
            <wp:extent cx="5039999" cy="3546422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14_powder_coating.sv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54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C.14: Powder-coating enclosed area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The conveyor loop (orange dashed) runs load → spray booth → cure oven → cooling leg → unload; the enclosure is held at negative pressure with filtered extraction and make-up air, personnel enter via airlock, and parts cross the wall only at the trolley openings.</w:t>
      </w:r>
      <w:r>
        <w:t xml:space="preserve"> </w:t>
      </w:r>
      <w:r>
        <w:rPr>
          <w:b/>
          <w:bCs/>
        </w:rPr>
        <w:t xml:space="preserve">Area check: enclosure internal 15.0 × 8.0 m = 120 m² — matches the 120 m² design allowance exactly</w:t>
      </w:r>
      <w:r>
        <w:t xml:space="preserve"> </w:t>
      </w:r>
      <w:r>
        <w:t xml:space="preserve">(one of two lines shown; the second line mirrors within the same enclosure per §6.3.15).</w:t>
      </w:r>
    </w:p>
    <w:p>
      <w:pPr>
        <w:pStyle w:val="BodyText"/>
      </w:pPr>
      <w:r>
        <w:rPr>
          <w:b/>
          <w:bCs/>
        </w:rPr>
        <w:t xml:space="preserve">Table C.14: Powder-coating area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15.0 × 8.0 m internal</w:t>
            </w:r>
          </w:p>
        </w:tc>
        <w:tc>
          <w:tcPr/>
          <w:p>
            <w:pPr>
              <w:pStyle w:val="Compact"/>
            </w:pPr>
            <w:r>
              <w:t xml:space="preserve">Inputs allowance; 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120 m² — matches allowance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dimensions</w:t>
            </w:r>
          </w:p>
        </w:tc>
        <w:tc>
          <w:tcPr/>
          <w:p>
            <w:pPr>
              <w:pStyle w:val="Compact"/>
            </w:pPr>
            <w:r>
              <w:t xml:space="preserve">Booth 3.6 × 1.9 m; cure oven 4.6 × 1.9 m (line-dependent at quotation)</w:t>
            </w:r>
          </w:p>
        </w:tc>
        <w:tc>
          <w:tcPr/>
          <w:p>
            <w:pPr>
              <w:pStyle w:val="Compact"/>
            </w:pPr>
            <w:r>
              <w:t xml:space="preserve">Drawing allowances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Load↔unload corridor 2.4 × 1.0 m = 2.4 m² + enclosure circulation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1.0 m internal corridor; conveyor overhead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Hang/load staging 2.4 × 1.5 m = 3.6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Unload staging 2.4 × 1.5 m = 3.6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 / lines</w:t>
            </w:r>
          </w:p>
        </w:tc>
        <w:tc>
          <w:tcPr/>
          <w:p>
            <w:pPr>
              <w:pStyle w:val="Compact"/>
            </w:pPr>
            <w:r>
              <w:t xml:space="preserve">Shared pool / 2 lines (≈ 57 % each)</w:t>
            </w:r>
          </w:p>
        </w:tc>
        <w:tc>
          <w:tcPr/>
          <w:p>
            <w:pPr>
              <w:pStyle w:val="Compact"/>
            </w:pPr>
            <w:r>
              <w:t xml:space="preserve">Equation 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/ total cost</w:t>
            </w:r>
          </w:p>
        </w:tc>
        <w:tc>
          <w:tcPr/>
          <w:p>
            <w:pPr>
              <w:pStyle w:val="Compact"/>
            </w:pPr>
            <w:r>
              <w:t xml:space="preserve">Quotation required (turnkey)</w:t>
            </w:r>
          </w:p>
        </w:tc>
        <w:tc>
          <w:tcPr/>
          <w:p>
            <w:pPr>
              <w:pStyle w:val="Compact"/>
            </w:pPr>
            <w:r>
              <w:t xml:space="preserve">P.I. Marketing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Quotation required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Largest single capital item</w:t>
            </w:r>
          </w:p>
        </w:tc>
      </w:tr>
    </w:tbl>
    <w:bookmarkEnd w:id="82"/>
    <w:bookmarkStart w:id="87" w:name="c.15-final-assembly"/>
    <w:p>
      <w:pPr>
        <w:pStyle w:val="Heading2"/>
      </w:pPr>
      <w:r>
        <w:t xml:space="preserve">C.15 Final assembly</w:t>
      </w:r>
    </w:p>
    <w:p>
      <w:pPr>
        <w:pStyle w:val="FirstParagraph"/>
      </w:pPr>
      <w:r>
        <w:drawing>
          <wp:inline>
            <wp:extent cx="5039999" cy="5611914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15_final_assembly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611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C.15: Final assembly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The only convergence of tube and sheet streams: the three-part staging strip presents back handles, middle handles and head subassemblies within reach, each with min/max marking — a shortage of any one stops the station.</w:t>
      </w:r>
    </w:p>
    <w:p>
      <w:pPr>
        <w:pStyle w:val="BodyText"/>
      </w:pPr>
      <w:r>
        <w:rPr>
          <w:b/>
          <w:bCs/>
        </w:rPr>
        <w:t xml:space="preserve">Table C.15: Final-assembly specifications</w:t>
      </w:r>
      <w:r>
        <w:t xml:space="preserve"> </w:t>
      </w:r>
      <w:r>
        <w:t xml:space="preserve">— overall 4.4 × 3.1 m = 13.6 m² drawn (2 × 6 m² + staging strip); benches 1.1 × 1.0 m; operator movement 2.0 m²; WIP before staging 4.4 × 0.7 m = 3.1 m²; WIP after 0.7 m²; 2 / 2 (94.7 %); benches + cradle fixtures</w:t>
      </w:r>
      <w:r>
        <w:t xml:space="preserve"> </w:t>
      </w:r>
      <w:r>
        <w:rPr>
          <w:b/>
          <w:bCs/>
        </w:rPr>
        <w:t xml:space="preserve">fabrication quote required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87"/>
    <w:bookmarkStart w:id="92" w:name="c.16-packaging-and-final-visual-check"/>
    <w:p>
      <w:pPr>
        <w:pStyle w:val="Heading2"/>
      </w:pPr>
      <w:r>
        <w:t xml:space="preserve">C.16 Packaging and final visual check</w:t>
      </w:r>
    </w:p>
    <w:p>
      <w:pPr>
        <w:pStyle w:val="FirstParagraph"/>
      </w:pPr>
      <w:r>
        <w:drawing>
          <wp:inline>
            <wp:extent cx="5039999" cy="4133333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16_packaging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13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C.16: Packaging and final visual check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Packing connects storage to shipping: consumables at point of use, inspection benches as the quality gate (quarantine bin keeps it auditable), pallet-build positions feeding the FG store directly.</w:t>
      </w:r>
    </w:p>
    <w:p>
      <w:pPr>
        <w:pStyle w:val="BodyText"/>
      </w:pPr>
      <w:r>
        <w:rPr>
          <w:b/>
          <w:bCs/>
        </w:rPr>
        <w:t xml:space="preserve">Table C.16: Packaging cell specifications</w:t>
      </w:r>
      <w:r>
        <w:t xml:space="preserve"> </w:t>
      </w:r>
      <w:r>
        <w:t xml:space="preserve">— overall 6.6 × 3.0 m = 19.8 m² drawn (18 m² corrected cell, Table 6.34); benches 1.2 × 1.0 m ×2; operator movement 2.1 m²; WIP before = consumable shelving 1.1 × 1.5 m + assembled shovels by bin; WIP after = pallet build 1.75 × 1.3 m = 2.3 m²; 2 / 2 (94.7 %; 30 s cycle [VERIFY]); benches/shelving</w:t>
      </w:r>
      <w:r>
        <w:t xml:space="preserve"> </w:t>
      </w:r>
      <w:r>
        <w:rPr>
          <w:b/>
          <w:bCs/>
        </w:rPr>
        <w:t xml:space="preserve">fabrication quote required</w:t>
      </w:r>
      <w:r>
        <w:t xml:space="preserve">; optional carton sealer Quotation required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92"/>
    <w:bookmarkStart w:id="97" w:name="X0a4d90c2af207543496a693bb3777b6ed8cc636"/>
    <w:p>
      <w:pPr>
        <w:pStyle w:val="Heading2"/>
      </w:pPr>
      <w:r>
        <w:t xml:space="preserve">C.17 Finished-goods racking and dispatch interface</w:t>
      </w:r>
    </w:p>
    <w:p>
      <w:pPr>
        <w:pStyle w:val="FirstParagraph"/>
      </w:pPr>
      <w:r>
        <w:drawing>
          <wp:inline>
            <wp:extent cx="5039999" cy="476971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17_fg_dispatch.sv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76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C.17: Finished-goods racking and dispatch interface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Five-areas logic on the outbound side: storage (two selective rows, FIFO putaway→pick), shipping staging (5 pallets/day), dock loading, and the customer-collection counter as a pedestrian-only interface on the visitor side.</w:t>
      </w:r>
    </w:p>
    <w:p>
      <w:pPr>
        <w:pStyle w:val="BodyText"/>
      </w:pPr>
      <w:r>
        <w:rPr>
          <w:b/>
          <w:bCs/>
        </w:rPr>
        <w:t xml:space="preserve">Table C.17: FG racking and dispatch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12.4 × 9.6 m zone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119 m² drawn (59.5 m² racking + aisle/staging from circulation and dock allowances)</w:t>
            </w:r>
          </w:p>
        </w:tc>
        <w:tc>
          <w:tcPr/>
          <w:p>
            <w:pPr>
              <w:pStyle w:val="Compact"/>
            </w:pPr>
            <w:r>
              <w:t xml:space="preserve">Eq. 6.13–6.14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Racking dimensions</w:t>
            </w:r>
          </w:p>
        </w:tc>
        <w:tc>
          <w:tcPr/>
          <w:p>
            <w:pPr>
              <w:pStyle w:val="Compact"/>
            </w:pPr>
            <w:r>
              <w:t xml:space="preserve">2 rows × 9.4 × 1.2 m; 3 levels; 31 floor positions / 93 pallet positions</w:t>
            </w:r>
          </w:p>
        </w:tc>
        <w:tc>
          <w:tcPr/>
          <w:p>
            <w:pPr>
              <w:pStyle w:val="Compact"/>
            </w:pPr>
            <w:r>
              <w:t xml:space="preserve">Storage_3D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Forklift aisle 9.4 × 3.5 m = 32.9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 m forklift</w:t>
            </w:r>
          </w:p>
        </w:tc>
        <w:tc>
          <w:tcPr/>
          <w:p>
            <w:pPr>
              <w:pStyle w:val="Compact"/>
            </w:pPr>
            <w:r>
              <w:t xml:space="preserve">Material-handling 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Putaway from packaging (left arrow)</w:t>
            </w:r>
          </w:p>
        </w:tc>
        <w:tc>
          <w:tcPr/>
          <w:p>
            <w:pPr>
              <w:pStyle w:val="Compact"/>
            </w:pPr>
            <w:r>
              <w:t xml:space="preserve">Fig. C.16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Outbound staging 2.7 × 1.8 m = 4.9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Material handlers (pool of 5)</w:t>
            </w:r>
          </w:p>
        </w:tc>
        <w:tc>
          <w:tcPr/>
          <w:p>
            <w:pPr>
              <w:pStyle w:val="Compact"/>
            </w:pPr>
            <w:r>
              <w:t xml:space="preserve">Personnel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R1,500–4,000 per pallet position</w:t>
            </w:r>
          </w:p>
        </w:tc>
        <w:tc>
          <w:tcPr/>
          <w:p>
            <w:pPr>
              <w:pStyle w:val="Compact"/>
            </w:pPr>
            <w:r>
              <w:t xml:space="preserve">Krost published SA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R139,500–R372,000</w:t>
            </w:r>
            <w:r>
              <w:t xml:space="preserve"> </w:t>
            </w:r>
            <w:r>
              <w:t xml:space="preserve">(mid ≈ R256,000)</w:t>
            </w:r>
          </w:p>
        </w:tc>
        <w:tc>
          <w:tcPr/>
          <w:p>
            <w:pPr>
              <w:pStyle w:val="Compact"/>
            </w:pPr>
            <w:r>
              <w:t xml:space="preserve">93 positions ×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Comparable estimate (supplier-published range) /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Not a quote</w:t>
            </w:r>
          </w:p>
        </w:tc>
      </w:tr>
    </w:tbl>
    <w:bookmarkEnd w:id="97"/>
    <w:bookmarkStart w:id="102" w:name="c.18-raw-material-storage-interface"/>
    <w:p>
      <w:pPr>
        <w:pStyle w:val="Heading2"/>
      </w:pPr>
      <w:r>
        <w:t xml:space="preserve">C.18 Raw-material storage interface</w:t>
      </w:r>
    </w:p>
    <w:p>
      <w:pPr>
        <w:pStyle w:val="FirstParagraph"/>
      </w:pPr>
      <w:r>
        <w:drawing>
          <wp:inline>
            <wp:extent cx="5039999" cy="3574072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18_rm_storage.sv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57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C.18: Raw-material storage interface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Receiving is adjacent to storage: the ground-level tube bay offloads straight to the cantilever racks, and the 3.5 m putaway aisle doubles as the saw feed lane — one aisle serves receiving, storage and production feeding with zero re-handling.</w:t>
      </w:r>
    </w:p>
    <w:p>
      <w:pPr>
        <w:pStyle w:val="BodyText"/>
      </w:pPr>
      <w:r>
        <w:rPr>
          <w:b/>
          <w:bCs/>
        </w:rPr>
        <w:t xml:space="preserve">Table C.18: Raw-material storage specifications</w:t>
      </w:r>
      <w:r>
        <w:t xml:space="preserve"> </w:t>
      </w:r>
      <w:r>
        <w:t xml:space="preserve">— overall 14.4 × 7.6 m = 109 m² drawn (48.4 m² stores + aisle from circulation + bay from dock allowance); racks 4 × (6.0 × 1.0 m), 250 tubes each, arm rating per quotation; sheet stacks 2 × (1.7 × 1.7 m); forklift aisle 13.3 × 3.5 m = 46.6 m²; aisle width</w:t>
      </w:r>
      <w:r>
        <w:t xml:space="preserve"> </w:t>
      </w:r>
      <w:r>
        <w:rPr>
          <w:b/>
          <w:bCs/>
        </w:rPr>
        <w:t xml:space="preserve">3.5 m</w:t>
      </w:r>
      <w:r>
        <w:t xml:space="preserve">; WIP = the 2-week stores themselves (990 tubes / 240 sheets); cantilever racking Quotation required (Krost cost guide publishes no per-bay figure) /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bookmarkEnd w:id="102"/>
    <w:bookmarkStart w:id="107" w:name="Xb3769977db1dde0376d2e41af8a5dcc94449f61"/>
    <w:p>
      <w:pPr>
        <w:pStyle w:val="Heading2"/>
      </w:pPr>
      <w:r>
        <w:t xml:space="preserve">C.19 Receiving and dispatch dock interface</w:t>
      </w:r>
    </w:p>
    <w:p>
      <w:pPr>
        <w:pStyle w:val="FirstParagraph"/>
      </w:pPr>
      <w:r>
        <w:drawing>
          <wp:inline>
            <wp:extent cx="5039999" cy="4007111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19_dock_interface.sv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00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C.19: Receiving and dispatch dock interface — plan-view workstation layout. (Author’s own; not to scale, dimensions in metres.)</w:t>
      </w:r>
    </w:p>
    <w:p>
      <w:pPr>
        <w:pStyle w:val="BodyText"/>
      </w:pPr>
      <w:r>
        <w:rPr>
          <w:b/>
          <w:bCs/>
        </w:rPr>
        <w:t xml:space="preserve">Design note.</w:t>
      </w:r>
      <w:r>
        <w:t xml:space="preserve"> </w:t>
      </w:r>
      <w:r>
        <w:t xml:space="preserve">Full five-areas U-flow: loading/unloading (dock + ground bay), receiving (inbound staging), storage (FG context + Fig. C.18), packing (collection counter prep) and shipping (outbound staging) connect through one forklift spine; trucks marshal on the apron side, customers and pedestrians on the visitor side — the flows never cross. Knock-out panel beside the dock is the expansion provision.</w:t>
      </w:r>
    </w:p>
    <w:p>
      <w:pPr>
        <w:pStyle w:val="BodyText"/>
      </w:pPr>
      <w:r>
        <w:rPr>
          <w:b/>
          <w:bCs/>
        </w:rPr>
        <w:t xml:space="preserve">Table C.19: Receiving/dispatch interface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Equipment specification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dimensions (L × W)</w:t>
            </w:r>
          </w:p>
        </w:tc>
        <w:tc>
          <w:tcPr/>
          <w:p>
            <w:pPr>
              <w:pStyle w:val="Compact"/>
            </w:pPr>
            <w:r>
              <w:t xml:space="preserve">16.4 × 10.6 m drawn zone</w:t>
            </w:r>
          </w:p>
        </w:tc>
        <w:tc>
          <w:tcPr/>
          <w:p>
            <w:pPr>
              <w:pStyle w:val="Compact"/>
            </w:pPr>
            <w:r>
              <w:t xml:space="preserve">Drawing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area</w:t>
            </w:r>
          </w:p>
        </w:tc>
        <w:tc>
          <w:tcPr/>
          <w:p>
            <w:pPr>
              <w:pStyle w:val="Compact"/>
            </w:pPr>
            <w:r>
              <w:t xml:space="preserve">174 m² of the 250 m² allowance (balance = apron-edge staging and door clearances)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1 dock leveller + seal + door; 1 ground-level roller door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movement area</w:t>
            </w:r>
          </w:p>
        </w:tc>
        <w:tc>
          <w:tcPr/>
          <w:p>
            <w:pPr>
              <w:pStyle w:val="Compact"/>
            </w:pPr>
            <w:r>
              <w:t xml:space="preserve">Forklift spine 6.6 × 4.4 m = 29.0 m²; pedestrian route on visitor side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Aisle width</w:t>
            </w:r>
          </w:p>
        </w:tc>
        <w:tc>
          <w:tcPr/>
          <w:p>
            <w:pPr>
              <w:pStyle w:val="Compact"/>
            </w:pPr>
            <w:r>
              <w:t xml:space="preserve">3.5 m forklift; 2.5 m staging lanes</w:t>
            </w:r>
          </w:p>
        </w:tc>
        <w:tc>
          <w:tcPr/>
          <w:p>
            <w:pPr>
              <w:pStyle w:val="Compact"/>
            </w:pPr>
            <w:r>
              <w:t xml:space="preserve">Design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before</w:t>
            </w:r>
          </w:p>
        </w:tc>
        <w:tc>
          <w:tcPr/>
          <w:p>
            <w:pPr>
              <w:pStyle w:val="Compact"/>
            </w:pPr>
            <w:r>
              <w:t xml:space="preserve">Inbound staging 3.0 × 2.5 m = 7.5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WIP after</w:t>
            </w:r>
          </w:p>
        </w:tc>
        <w:tc>
          <w:tcPr/>
          <w:p>
            <w:pPr>
              <w:pStyle w:val="Compact"/>
            </w:pPr>
            <w:r>
              <w:t xml:space="preserve">Outbound staging 3.4 × 2.5 m = 8.5 m²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Material handlers (pool)</w:t>
            </w:r>
          </w:p>
        </w:tc>
        <w:tc>
          <w:tcPr/>
          <w:p>
            <w:pPr>
              <w:pStyle w:val="Compact"/>
            </w:pPr>
            <w:r>
              <w:t xml:space="preserve">Personnel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 package cost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Maxiflex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Forklift / powered pallet truck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Toyota Forklift SA (n.d.)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pallet trucks (2 t ×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R4,695 × 2 = R9,390</w:t>
            </w:r>
            <w:r>
              <w:t xml:space="preserve"> </w:t>
            </w:r>
            <w:r>
              <w:t xml:space="preserve">incl VAT</w:t>
            </w:r>
          </w:p>
        </w:tc>
        <w:tc>
          <w:tcPr/>
          <w:p>
            <w:pPr>
              <w:pStyle w:val="Compact"/>
            </w:pPr>
            <w:r>
              <w:t xml:space="preserve">Adendorff product page, accessed 10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basis / confidence</w:t>
            </w:r>
          </w:p>
        </w:tc>
        <w:tc>
          <w:tcPr/>
          <w:p>
            <w:pPr>
              <w:pStyle w:val="Compact"/>
            </w:pPr>
            <w:r>
              <w:t xml:space="preserve">Direct price (pallet trucks: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); rest Quotation /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Cost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c.20-final-cost-audit-table"/>
    <w:p>
      <w:pPr>
        <w:pStyle w:val="Heading2"/>
      </w:pPr>
      <w:r>
        <w:t xml:space="preserve">C.20 Final cost-audit table</w:t>
      </w:r>
    </w:p>
    <w:p>
      <w:pPr>
        <w:pStyle w:val="FirstParagraph"/>
      </w:pPr>
      <w:r>
        <w:rPr>
          <w:b/>
          <w:bCs/>
        </w:rPr>
        <w:t xml:space="preserve">Table C.20: Capital cost audit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cost</w:t>
            </w:r>
          </w:p>
        </w:tc>
        <w:tc>
          <w:tcPr/>
          <w:p>
            <w:pPr>
              <w:pStyle w:val="Compact"/>
            </w:pPr>
            <w:r>
              <w:t xml:space="preserve">Cost basis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Automatic saw + bar feed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Tapping machine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Tube end 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Thread/profile roller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Gap-frame press (incl. forming)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 (dies extra)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Electric press brake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Belt grinder w/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R72,800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R873,600</w:t>
            </w:r>
          </w:p>
        </w:tc>
        <w:tc>
          <w:tcPr/>
          <w:p>
            <w:pPr>
              <w:pStyle w:val="Compact"/>
            </w:pPr>
            <w:r>
              <w:t xml:space="preserve">Converted price (£3,293 @ R22.11)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Radial riveter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Ageing batch oven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Blast booth + recovery + collection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</w:pPr>
            <w:r>
              <w:t xml:space="preserve">Powder-coating line (turnkey)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Fabricated</w:t>
            </w:r>
          </w:p>
        </w:tc>
        <w:tc>
          <w:tcPr/>
          <w:p>
            <w:pPr>
              <w:pStyle w:val="Compact"/>
            </w:pPr>
            <w:r>
              <w:t xml:space="preserve">Polish/assembly/packing benches, fixtures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Fabrication quote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Fabrication quote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Fabricated</w:t>
            </w:r>
          </w:p>
        </w:tc>
        <w:tc>
          <w:tcPr/>
          <w:p>
            <w:pPr>
              <w:pStyle w:val="Compact"/>
            </w:pPr>
            <w:r>
              <w:t xml:space="preserve">Tube carts, trolleys, kanban bins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Fabrication quote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Fabrication quote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Selective pallet racking (93 pos.)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R1,500–4,000/pos.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R139,500–372,000</w:t>
            </w:r>
          </w:p>
        </w:tc>
        <w:tc>
          <w:tcPr/>
          <w:p>
            <w:pPr>
              <w:pStyle w:val="Compact"/>
            </w:pPr>
            <w:r>
              <w:t xml:space="preserve">Comparable estimate (published range)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Cantilever racking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</w:t>
            </w:r>
          </w:p>
        </w:tc>
        <w:tc>
          <w:tcPr/>
          <w:p>
            <w:pPr>
              <w:pStyle w:val="Compact"/>
            </w:pPr>
            <w:r>
              <w:t xml:space="preserve">Counterbalance forklift (electric)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</w:t>
            </w:r>
          </w:p>
        </w:tc>
        <w:tc>
          <w:tcPr/>
          <w:p>
            <w:pPr>
              <w:pStyle w:val="Compact"/>
            </w:pPr>
            <w:r>
              <w:t xml:space="preserve">Powered pallet truck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MH</w:t>
            </w:r>
          </w:p>
        </w:tc>
        <w:tc>
          <w:tcPr/>
          <w:p>
            <w:pPr>
              <w:pStyle w:val="Compact"/>
            </w:pPr>
            <w:r>
              <w:t xml:space="preserve">Hand pallet truck 2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R4,695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R9,390</w:t>
            </w:r>
          </w:p>
        </w:tc>
        <w:tc>
          <w:tcPr/>
          <w:p>
            <w:pPr>
              <w:pStyle w:val="Compact"/>
            </w:pPr>
            <w:r>
              <w:t xml:space="preserve">Direct price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</w:t>
            </w:r>
          </w:p>
        </w:tc>
        <w:tc>
          <w:tcPr/>
          <w:p>
            <w:pPr>
              <w:pStyle w:val="Compact"/>
            </w:pPr>
            <w:r>
              <w:t xml:space="preserve">Leveller + seal + door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Quotation required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Priced subset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R1.14 m</w:t>
            </w:r>
            <w:r>
              <w:t xml:space="preserve"> </w:t>
            </w:r>
            <w:r>
              <w:t xml:space="preserve">(midpoint)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priced subset supports budgeting structure only; quotation-only items (powder lines, oven, saws, presses, rollers) will dominate the capital budget.</w:t>
      </w:r>
    </w:p>
    <w:bookmarkEnd w:id="108"/>
    <w:bookmarkStart w:id="109" w:name="c.21-cost-references"/>
    <w:p>
      <w:pPr>
        <w:pStyle w:val="Heading2"/>
      </w:pPr>
      <w:r>
        <w:t xml:space="preserve">C.21 Cost references</w:t>
      </w:r>
    </w:p>
    <w:p>
      <w:pPr>
        <w:pStyle w:val="FirstParagraph"/>
      </w:pPr>
      <w:r>
        <w:t xml:space="preserve">As Appendix C v1 §C.23 (Adendorff; EC Hopkins; Exchange Rates UK; Krost ×2 — all accessed 10 June 2026).</w:t>
      </w:r>
    </w:p>
    <w:bookmarkEnd w:id="109"/>
    <w:bookmarkEnd w:id="11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i w:val="0"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 w:val="0"/>
      <w:bCs/>
      <w:i/>
      <w:color w:val="6A1B9A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18" Target="media/rId18.svg" /><Relationship Type="http://schemas.openxmlformats.org/officeDocument/2006/relationships/image" Id="rId23" Target="media/rId23.svg" /><Relationship Type="http://schemas.openxmlformats.org/officeDocument/2006/relationships/image" Id="rId28" Target="media/rId28.svg" /><Relationship Type="http://schemas.openxmlformats.org/officeDocument/2006/relationships/image" Id="rId33" Target="media/rId33.svg" /><Relationship Type="http://schemas.openxmlformats.org/officeDocument/2006/relationships/image" Id="rId38" Target="media/rId38.svg" /><Relationship Type="http://schemas.openxmlformats.org/officeDocument/2006/relationships/image" Id="rId43" Target="media/rId43.svg" /><Relationship Type="http://schemas.openxmlformats.org/officeDocument/2006/relationships/image" Id="rId48" Target="media/rId48.svg" /><Relationship Type="http://schemas.openxmlformats.org/officeDocument/2006/relationships/image" Id="rId53" Target="media/rId53.svg" /><Relationship Type="http://schemas.openxmlformats.org/officeDocument/2006/relationships/image" Id="rId58" Target="media/rId58.svg" /><Relationship Type="http://schemas.openxmlformats.org/officeDocument/2006/relationships/image" Id="rId63" Target="media/rId63.svg" /><Relationship Type="http://schemas.openxmlformats.org/officeDocument/2006/relationships/image" Id="rId68" Target="media/rId68.svg" /><Relationship Type="http://schemas.openxmlformats.org/officeDocument/2006/relationships/image" Id="rId73" Target="media/rId73.svg" /><Relationship Type="http://schemas.openxmlformats.org/officeDocument/2006/relationships/image" Id="rId78" Target="media/rId78.svg" /><Relationship Type="http://schemas.openxmlformats.org/officeDocument/2006/relationships/image" Id="rId83" Target="media/rId83.svg" /><Relationship Type="http://schemas.openxmlformats.org/officeDocument/2006/relationships/image" Id="rId88" Target="media/rId88.svg" /><Relationship Type="http://schemas.openxmlformats.org/officeDocument/2006/relationships/image" Id="rId93" Target="media/rId93.svg" /><Relationship Type="http://schemas.openxmlformats.org/officeDocument/2006/relationships/image" Id="rId98" Target="media/rId98.svg" /><Relationship Type="http://schemas.openxmlformats.org/officeDocument/2006/relationships/image" Id="rId103" Target="media/rId103.sv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2026-06-10T13:54:15Z</dcterms:created>
  <dcterms:modified xsi:type="dcterms:W3CDTF">2026-06-10T13:54:15Z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