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svg" ContentType="image/svg+xml"/>
  <Override PartName="/word/media/rId30.svg" ContentType="image/svg+xml"/>
  <Override PartName="/word/media/rId40.svg" ContentType="image/svg+xml"/>
  <Override PartName="/word/media/rId60.svg" ContentType="image/svg+xml"/>
  <Override PartName="/word/media/rId54.svg" ContentType="image/svg+xml"/>
  <Override PartName="/word/media/rId21.png" ContentType="image/png"/>
  <Override PartName="/word/media/rId33.png" ContentType="image/png"/>
  <Override PartName="/word/media/rId43.png" ContentType="image/png"/>
  <Override PartName="/word/media/rId57.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5" w:name="detail-design-specifications"/>
    <w:p>
      <w:pPr>
        <w:pStyle w:val="Heading1"/>
      </w:pPr>
      <w:r>
        <w:t xml:space="preserve">6. Detail Design Specifications</w:t>
      </w:r>
    </w:p>
    <w:p>
      <w:pPr>
        <w:pStyle w:val="FirstParagraph"/>
      </w:pPr>
      <w:r>
        <w:t xml:space="preserve">This chapter converts the DigMore Co. demand and product specification into the quantitative parameters that govern the new facility: production rates, raw-material quantities, machine and operator requirements, packaging and dispatch loads, storage volumes, waste handling, utilities and floor-space estimates, including the 10 % future expansion allowance. Each parameter is derived from the 2026 assignment brief or calculated in the supporting workbook, and each subsection closes with its implications for material flow and layout, so that the chapter directly supports the layout alternatives and the final Master Facility Plan.</w:t>
      </w:r>
    </w:p>
    <w:p>
      <w:pPr>
        <w:pStyle w:val="BodyText"/>
      </w:pPr>
      <w:r>
        <w:rPr>
          <w:b/>
          <w:bCs/>
        </w:rPr>
        <w:t xml:space="preserve">Figure 6.1: Folding mini shovel component breakdown — back handle section, middle handle section, shovel head and hinge connector, with material callouts (Ø31.70 × 3.18 mm aluminium tube; 2.5 mm aluminium sheet). (Author’s own, from the 2026 brief.)</w:t>
      </w:r>
    </w:p>
    <w:bookmarkStart w:id="12" w:name="demand-and-production-requirements"/>
    <w:p>
      <w:pPr>
        <w:pStyle w:val="Heading2"/>
      </w:pPr>
      <w:r>
        <w:t xml:space="preserve">6.1 Demand and Production Requirements</w:t>
      </w:r>
    </w:p>
    <w:p>
      <w:pPr>
        <w:pStyle w:val="FirstParagraph"/>
      </w:pPr>
      <w:r>
        <w:t xml:space="preserve">The facility must produce 400 000 folding mini shovels per year over 220 working days, on a single 9-hour shift containing one 30-minute lunch break and two 15-minute tea breaks, leaving 480 productive minutes per day. These parameters fix the required rate of every downstream process and are therefore established before any equipment or space calculation. The daily requirement is calculated in Equation 6.1 and rounded up, since rounding down would accumulate an annual shortfall against demand.</w:t>
      </w:r>
    </w:p>
    <w:p>
      <w:pPr>
        <w:pStyle w:val="BodyText"/>
      </w:pPr>
      <w:r>
        <w:rPr>
          <w:b/>
          <w:bCs/>
        </w:rPr>
        <w:t xml:space="preserve">Equation 6.1: Daily demand</w:t>
      </w:r>
    </w:p>
    <w:p>
      <w:pPr>
        <w:pStyle w:val="BodyText"/>
      </w:pPr>
      <m:oMathPara>
        <m:oMathParaPr>
          <m:jc m:val="center"/>
        </m:oMathParaPr>
        <m:oMath>
          <m:r>
            <m:rPr>
              <m:nor/>
              <m:sty m:val="p"/>
            </m:rPr>
            <m:t>Daily demand</m:t>
          </m:r>
          <m:r>
            <m:rPr>
              <m:sty m:val="p"/>
            </m:rPr>
            <m:t>=</m:t>
          </m:r>
          <m:d>
            <m:dPr>
              <m:begChr m:val="⌈"/>
              <m:sepChr m:val=""/>
              <m:endChr m:val="⌉"/>
              <m:grow/>
            </m:dPr>
            <m:e>
              <m:f>
                <m:fPr>
                  <m:type m:val="bar"/>
                </m:fPr>
                <m:num>
                  <m:r>
                    <m:rPr>
                      <m:nor/>
                      <m:sty m:val="p"/>
                    </m:rPr>
                    <m:t>Annual demand</m:t>
                  </m:r>
                </m:num>
                <m:den>
                  <m:r>
                    <m:rPr>
                      <m:nor/>
                      <m:sty m:val="p"/>
                    </m:rPr>
                    <m:t>Working days</m:t>
                  </m:r>
                </m:den>
              </m:f>
            </m:e>
          </m:d>
          <m:r>
            <m:rPr>
              <m:sty m:val="p"/>
            </m:rPr>
            <m:t>=</m:t>
          </m:r>
          <m:d>
            <m:dPr>
              <m:begChr m:val="⌈"/>
              <m:sepChr m:val=""/>
              <m:endChr m:val="⌉"/>
              <m:grow/>
            </m:dPr>
            <m:e>
              <m:f>
                <m:fPr>
                  <m:type m:val="bar"/>
                </m:fPr>
                <m:num>
                  <m:r>
                    <m:t>400</m:t>
                  </m:r>
                  <m:r>
                    <m:t> </m:t>
                  </m:r>
                  <m:r>
                    <m:t>000</m:t>
                  </m:r>
                  <m:r>
                    <m:t> </m:t>
                  </m:r>
                  <m:r>
                    <m:rPr>
                      <m:nor/>
                      <m:sty m:val="p"/>
                    </m:rPr>
                    <m:t>shovels/yr</m:t>
                  </m:r>
                </m:num>
                <m:den>
                  <m:r>
                    <m:t>220</m:t>
                  </m:r>
                  <m:r>
                    <m:t> </m:t>
                  </m:r>
                  <m:r>
                    <m:rPr>
                      <m:nor/>
                      <m:sty m:val="p"/>
                    </m:rPr>
                    <m:t>days/yr</m:t>
                  </m:r>
                </m:den>
              </m:f>
            </m:e>
          </m:d>
          <m:r>
            <m:rPr>
              <m:sty m:val="p"/>
            </m:rPr>
            <m:t>=</m:t>
          </m:r>
          <m:r>
            <m:rPr>
              <m:sty m:val="p"/>
            </m:rPr>
            <m:t>⌈</m:t>
          </m:r>
          <m:r>
            <m:t>1</m:t>
          </m:r>
          <m:r>
            <m:t> </m:t>
          </m:r>
          <m:r>
            <m:t>818.2</m:t>
          </m:r>
          <m:r>
            <m:rPr>
              <m:sty m:val="p"/>
            </m:rPr>
            <m:t>⌉</m:t>
          </m:r>
          <m:r>
            <m:rPr>
              <m:sty m:val="p"/>
            </m:rPr>
            <m:t>=</m:t>
          </m:r>
          <m:r>
            <m:t>1</m:t>
          </m:r>
          <m:r>
            <m:t> </m:t>
          </m:r>
          <m:r>
            <m:t>819</m:t>
          </m:r>
          <m:r>
            <m:t> </m:t>
          </m:r>
          <m:r>
            <m:rPr>
              <m:nor/>
              <m:sty m:val="p"/>
            </m:rPr>
            <m:t>shovels/day</m:t>
          </m:r>
        </m:oMath>
      </m:oMathPara>
    </w:p>
    <w:p>
      <w:pPr>
        <w:pStyle w:val="FirstParagraph"/>
      </w:pPr>
      <w:r>
        <w:t xml:space="preserve">Dividing the daily requirement across the 8 productive hours gives an hourly rate of 1 819 ÷ 8 = 227.4 ≈ 228 shovels per hour. The takt time — the interval at which one completed shovel must leave the line for demand to be met — follows in Equation 6.2, with the unit conversion shown explicitly.</w:t>
      </w:r>
    </w:p>
    <w:p>
      <w:pPr>
        <w:pStyle w:val="BodyText"/>
      </w:pPr>
      <w:r>
        <w:rPr>
          <w:b/>
          <w:bCs/>
        </w:rPr>
        <w:t xml:space="preserve">Equation 6.2: Takt time</w:t>
      </w:r>
    </w:p>
    <w:p>
      <w:pPr>
        <w:pStyle w:val="BodyText"/>
      </w:pPr>
      <m:oMathPara>
        <m:oMathParaPr>
          <m:jc m:val="center"/>
        </m:oMathParaPr>
        <m:oMath>
          <m:r>
            <m:rPr>
              <m:nor/>
              <m:sty m:val="p"/>
            </m:rPr>
            <m:t>Takt time</m:t>
          </m:r>
          <m:r>
            <m:rPr>
              <m:sty m:val="p"/>
            </m:rPr>
            <m:t>=</m:t>
          </m:r>
          <m:f>
            <m:fPr>
              <m:type m:val="bar"/>
            </m:fPr>
            <m:num>
              <m:r>
                <m:rPr>
                  <m:nor/>
                  <m:sty m:val="p"/>
                </m:rPr>
                <m:t>Effective time per day</m:t>
              </m:r>
            </m:num>
            <m:den>
              <m:r>
                <m:rPr>
                  <m:nor/>
                  <m:sty m:val="p"/>
                </m:rPr>
                <m:t>Daily demand</m:t>
              </m:r>
            </m:den>
          </m:f>
          <m:r>
            <m:rPr>
              <m:sty m:val="p"/>
            </m:rPr>
            <m:t>=</m:t>
          </m:r>
          <m:f>
            <m:fPr>
              <m:type m:val="bar"/>
            </m:fPr>
            <m:num>
              <m:r>
                <m:t>480</m:t>
              </m:r>
              <m:r>
                <m:t> </m:t>
              </m:r>
              <m:r>
                <m:rPr>
                  <m:nor/>
                  <m:sty m:val="p"/>
                </m:rPr>
                <m:t>min/day</m:t>
              </m:r>
            </m:num>
            <m:den>
              <m:r>
                <m:t>1</m:t>
              </m:r>
              <m:r>
                <m:t> </m:t>
              </m:r>
              <m:r>
                <m:t>819</m:t>
              </m:r>
              <m:r>
                <m:t> </m:t>
              </m:r>
              <m:r>
                <m:rPr>
                  <m:nor/>
                  <m:sty m:val="p"/>
                </m:rPr>
                <m:t>shovels/day</m:t>
              </m:r>
            </m:den>
          </m:f>
          <m:r>
            <m:rPr>
              <m:sty m:val="p"/>
            </m:rPr>
            <m:t>=</m:t>
          </m:r>
          <m:r>
            <m:t>0.264</m:t>
          </m:r>
          <m:r>
            <m:t> </m:t>
          </m:r>
          <m:r>
            <m:rPr>
              <m:nor/>
              <m:sty m:val="p"/>
            </m:rPr>
            <m:t>min/shovel</m:t>
          </m:r>
          <m:r>
            <m:rPr>
              <m:sty m:val="p"/>
            </m:rPr>
            <m:t>=</m:t>
          </m:r>
          <m:r>
            <m:t>15.83</m:t>
          </m:r>
          <m:r>
            <m:t> </m:t>
          </m:r>
          <m:r>
            <m:rPr>
              <m:nor/>
              <m:sty m:val="p"/>
            </m:rPr>
            <m:t>s/shovel</m:t>
          </m:r>
        </m:oMath>
      </m:oMathPara>
    </w:p>
    <w:p>
      <w:pPr>
        <w:pStyle w:val="FirstParagraph"/>
      </w:pPr>
      <w:r>
        <w:t xml:space="preserve">All equipment in this chapter is sized on the full 480 effective minutes per day, i.e. an assumed availability of 1.0. This is a design assumption, not a brief requirement: it makes no allowance for setup, changeover or breakdown time. The sensitivity of machine counts to a lower availability is assessed in §6.4, and the brief designates overtime — not additional base capacity — as the flexibility mechanism. Table 6.1 consolidates the production parameters.</w:t>
      </w:r>
    </w:p>
    <w:p>
      <w:pPr>
        <w:pStyle w:val="BodyText"/>
      </w:pPr>
      <w:r>
        <w:rPr>
          <w:b/>
          <w:bCs/>
        </w:rPr>
        <w:t xml:space="preserve">Table 6.1: Demand and production parameters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w:t>
            </w:r>
          </w:p>
        </w:tc>
        <w:tc>
          <w:tcPr/>
          <w:p>
            <w:pPr>
              <w:pStyle w:val="Compact"/>
            </w:pPr>
            <w:r>
              <w:t xml:space="preserve">Basis / Source</w:t>
            </w:r>
          </w:p>
        </w:tc>
      </w:tr>
      <w:tr>
        <w:tc>
          <w:tcPr/>
          <w:p>
            <w:pPr>
              <w:pStyle w:val="Compact"/>
            </w:pPr>
            <w:r>
              <w:t xml:space="preserve">Annual demand</w:t>
            </w:r>
          </w:p>
        </w:tc>
        <w:tc>
          <w:tcPr/>
          <w:p>
            <w:pPr>
              <w:pStyle w:val="Compact"/>
            </w:pPr>
            <w:r>
              <w:t xml:space="preserve">400 000</w:t>
            </w:r>
          </w:p>
        </w:tc>
        <w:tc>
          <w:tcPr/>
          <w:p>
            <w:pPr>
              <w:pStyle w:val="Compact"/>
            </w:pPr>
            <w:r>
              <w:t xml:space="preserve">shovels/yr</w:t>
            </w:r>
          </w:p>
        </w:tc>
        <w:tc>
          <w:tcPr/>
          <w:p>
            <w:pPr>
              <w:pStyle w:val="Compact"/>
            </w:pPr>
            <w:r>
              <w:t xml:space="preserve">2026 brief</w:t>
            </w:r>
          </w:p>
        </w:tc>
      </w:tr>
      <w:tr>
        <w:tc>
          <w:tcPr/>
          <w:p>
            <w:pPr>
              <w:pStyle w:val="Compact"/>
            </w:pPr>
            <w:r>
              <w:t xml:space="preserve">Working days</w:t>
            </w:r>
          </w:p>
        </w:tc>
        <w:tc>
          <w:tcPr/>
          <w:p>
            <w:pPr>
              <w:pStyle w:val="Compact"/>
            </w:pPr>
            <w:r>
              <w:t xml:space="preserve">220</w:t>
            </w:r>
          </w:p>
        </w:tc>
        <w:tc>
          <w:tcPr/>
          <w:p>
            <w:pPr>
              <w:pStyle w:val="Compact"/>
            </w:pPr>
            <w:r>
              <w:t xml:space="preserve">days/yr</w:t>
            </w:r>
          </w:p>
        </w:tc>
        <w:tc>
          <w:tcPr/>
          <w:p>
            <w:pPr>
              <w:pStyle w:val="Compact"/>
            </w:pPr>
            <w:r>
              <w:t xml:space="preserve">2026 brief</w:t>
            </w:r>
          </w:p>
        </w:tc>
      </w:tr>
      <w:tr>
        <w:tc>
          <w:tcPr/>
          <w:p>
            <w:pPr>
              <w:pStyle w:val="Compact"/>
            </w:pPr>
            <w:r>
              <w:t xml:space="preserve">Shift length</w:t>
            </w:r>
          </w:p>
        </w:tc>
        <w:tc>
          <w:tcPr/>
          <w:p>
            <w:pPr>
              <w:pStyle w:val="Compact"/>
            </w:pPr>
            <w:r>
              <w:t xml:space="preserve">540</w:t>
            </w:r>
          </w:p>
        </w:tc>
        <w:tc>
          <w:tcPr/>
          <w:p>
            <w:pPr>
              <w:pStyle w:val="Compact"/>
            </w:pPr>
            <w:r>
              <w:t xml:space="preserve">min/day</w:t>
            </w:r>
          </w:p>
        </w:tc>
        <w:tc>
          <w:tcPr/>
          <w:p>
            <w:pPr>
              <w:pStyle w:val="Compact"/>
            </w:pPr>
            <w:r>
              <w:t xml:space="preserve">9 h shift (brief)</w:t>
            </w:r>
          </w:p>
        </w:tc>
      </w:tr>
      <w:tr>
        <w:tc>
          <w:tcPr/>
          <w:p>
            <w:pPr>
              <w:pStyle w:val="Compact"/>
            </w:pPr>
            <w:r>
              <w:t xml:space="preserve">Breaks</w:t>
            </w:r>
          </w:p>
        </w:tc>
        <w:tc>
          <w:tcPr/>
          <w:p>
            <w:pPr>
              <w:pStyle w:val="Compact"/>
            </w:pPr>
            <w:r>
              <w:t xml:space="preserve">60</w:t>
            </w:r>
          </w:p>
        </w:tc>
        <w:tc>
          <w:tcPr/>
          <w:p>
            <w:pPr>
              <w:pStyle w:val="Compact"/>
            </w:pPr>
            <w:r>
              <w:t xml:space="preserve">min/day</w:t>
            </w:r>
          </w:p>
        </w:tc>
        <w:tc>
          <w:tcPr/>
          <w:p>
            <w:pPr>
              <w:pStyle w:val="Compact"/>
            </w:pPr>
            <w:r>
              <w:t xml:space="preserve">30 + 15 + 15 min (brief)</w:t>
            </w:r>
          </w:p>
        </w:tc>
      </w:tr>
      <w:tr>
        <w:tc>
          <w:tcPr/>
          <w:p>
            <w:pPr>
              <w:pStyle w:val="Compact"/>
            </w:pPr>
            <w:r>
              <w:t xml:space="preserve">Effective production time</w:t>
            </w:r>
          </w:p>
        </w:tc>
        <w:tc>
          <w:tcPr/>
          <w:p>
            <w:pPr>
              <w:pStyle w:val="Compact"/>
            </w:pPr>
            <w:r>
              <w:t xml:space="preserve">480</w:t>
            </w:r>
          </w:p>
        </w:tc>
        <w:tc>
          <w:tcPr/>
          <w:p>
            <w:pPr>
              <w:pStyle w:val="Compact"/>
            </w:pPr>
            <w:r>
              <w:t xml:space="preserve">min/day</w:t>
            </w:r>
          </w:p>
        </w:tc>
        <w:tc>
          <w:tcPr/>
          <w:p>
            <w:pPr>
              <w:pStyle w:val="Compact"/>
            </w:pPr>
            <w:r>
              <w:t xml:space="preserve">Shift − breaks</w:t>
            </w:r>
          </w:p>
        </w:tc>
      </w:tr>
      <w:tr>
        <w:tc>
          <w:tcPr/>
          <w:p>
            <w:pPr>
              <w:pStyle w:val="Compact"/>
            </w:pPr>
            <w:r>
              <w:t xml:space="preserve">Availability</w:t>
            </w:r>
          </w:p>
        </w:tc>
        <w:tc>
          <w:tcPr/>
          <w:p>
            <w:pPr>
              <w:pStyle w:val="Compact"/>
            </w:pPr>
            <w:r>
              <w:t xml:space="preserve">1.0</w:t>
            </w:r>
          </w:p>
        </w:tc>
        <w:tc>
          <w:tcPr/>
          <w:p>
            <w:pPr>
              <w:pStyle w:val="Compact"/>
            </w:pPr>
            <w:r>
              <w:t xml:space="preserve">—</w:t>
            </w:r>
          </w:p>
        </w:tc>
        <w:tc>
          <w:tcPr/>
          <w:p>
            <w:pPr>
              <w:pStyle w:val="Compact"/>
            </w:pPr>
            <w:r>
              <w:t xml:space="preserve">Assumption: no setup/breakdown allowance (sensitivity in §6.4)</w:t>
            </w:r>
          </w:p>
        </w:tc>
      </w:tr>
      <w:tr>
        <w:tc>
          <w:tcPr/>
          <w:p>
            <w:pPr>
              <w:pStyle w:val="Compact"/>
            </w:pPr>
            <w:r>
              <w:t xml:space="preserve">Daily demand (good units)</w:t>
            </w:r>
          </w:p>
        </w:tc>
        <w:tc>
          <w:tcPr/>
          <w:p>
            <w:pPr>
              <w:pStyle w:val="Compact"/>
            </w:pPr>
            <w:r>
              <w:t xml:space="preserve">1 819</w:t>
            </w:r>
          </w:p>
        </w:tc>
        <w:tc>
          <w:tcPr/>
          <w:p>
            <w:pPr>
              <w:pStyle w:val="Compact"/>
            </w:pPr>
            <w:r>
              <w:t xml:space="preserve">shovels/day</w:t>
            </w:r>
          </w:p>
        </w:tc>
        <w:tc>
          <w:tcPr/>
          <w:p>
            <w:pPr>
              <w:pStyle w:val="Compact"/>
            </w:pPr>
            <w:r>
              <w:t xml:space="preserve">Equation 6.1, rounded up</w:t>
            </w:r>
          </w:p>
        </w:tc>
      </w:tr>
      <w:tr>
        <w:tc>
          <w:tcPr/>
          <w:p>
            <w:pPr>
              <w:pStyle w:val="Compact"/>
            </w:pPr>
            <w:r>
              <w:t xml:space="preserve">Hourly demand</w:t>
            </w:r>
          </w:p>
        </w:tc>
        <w:tc>
          <w:tcPr/>
          <w:p>
            <w:pPr>
              <w:pStyle w:val="Compact"/>
            </w:pPr>
            <w:r>
              <w:t xml:space="preserve">≈ 228</w:t>
            </w:r>
          </w:p>
        </w:tc>
        <w:tc>
          <w:tcPr/>
          <w:p>
            <w:pPr>
              <w:pStyle w:val="Compact"/>
            </w:pPr>
            <w:r>
              <w:t xml:space="preserve">shovels/h</w:t>
            </w:r>
          </w:p>
        </w:tc>
        <w:tc>
          <w:tcPr/>
          <w:p>
            <w:pPr>
              <w:pStyle w:val="Compact"/>
            </w:pPr>
            <w:r>
              <w:t xml:space="preserve">Daily demand ÷ 8 h</w:t>
            </w:r>
          </w:p>
        </w:tc>
      </w:tr>
      <w:tr>
        <w:tc>
          <w:tcPr/>
          <w:p>
            <w:pPr>
              <w:pStyle w:val="Compact"/>
            </w:pPr>
            <w:r>
              <w:t xml:space="preserve">Takt time</w:t>
            </w:r>
          </w:p>
        </w:tc>
        <w:tc>
          <w:tcPr/>
          <w:p>
            <w:pPr>
              <w:pStyle w:val="Compact"/>
            </w:pPr>
            <w:r>
              <w:t xml:space="preserve">15.83</w:t>
            </w:r>
          </w:p>
        </w:tc>
        <w:tc>
          <w:tcPr/>
          <w:p>
            <w:pPr>
              <w:pStyle w:val="Compact"/>
            </w:pPr>
            <w:r>
              <w:t xml:space="preserve">s/shovel</w:t>
            </w:r>
          </w:p>
        </w:tc>
        <w:tc>
          <w:tcPr/>
          <w:p>
            <w:pPr>
              <w:pStyle w:val="Compact"/>
            </w:pPr>
            <w:r>
              <w:t xml:space="preserve">Equation 6.2</w:t>
            </w:r>
          </w:p>
        </w:tc>
      </w:tr>
      <w:tr>
        <w:tc>
          <w:tcPr/>
          <w:p>
            <w:pPr>
              <w:pStyle w:val="Compact"/>
            </w:pPr>
            <w:r>
              <w:t xml:space="preserve">Scrap allowance</w:t>
            </w:r>
          </w:p>
        </w:tc>
        <w:tc>
          <w:tcPr/>
          <w:p>
            <w:pPr>
              <w:pStyle w:val="Compact"/>
            </w:pPr>
            <w:r>
              <w:t xml:space="preserve">5</w:t>
            </w:r>
          </w:p>
        </w:tc>
        <w:tc>
          <w:tcPr/>
          <w:p>
            <w:pPr>
              <w:pStyle w:val="Compact"/>
            </w:pPr>
            <w:r>
              <w:t xml:space="preserve">%</w:t>
            </w:r>
          </w:p>
        </w:tc>
        <w:tc>
          <w:tcPr/>
          <w:p>
            <w:pPr>
              <w:pStyle w:val="Compact"/>
            </w:pPr>
            <w:r>
              <w:t xml:space="preserve">Tube cutting and sheet stamping only (brief)</w:t>
            </w:r>
          </w:p>
        </w:tc>
      </w:tr>
      <w:tr>
        <w:tc>
          <w:tcPr/>
          <w:p>
            <w:pPr>
              <w:pStyle w:val="Compact"/>
            </w:pPr>
            <w:r>
              <w:t xml:space="preserve">Process yield (scrap steps)</w:t>
            </w:r>
          </w:p>
        </w:tc>
        <w:tc>
          <w:tcPr/>
          <w:p>
            <w:pPr>
              <w:pStyle w:val="Compact"/>
            </w:pPr>
            <w:r>
              <w:t xml:space="preserve">95</w:t>
            </w:r>
          </w:p>
        </w:tc>
        <w:tc>
          <w:tcPr/>
          <w:p>
            <w:pPr>
              <w:pStyle w:val="Compact"/>
            </w:pPr>
            <w:r>
              <w:t xml:space="preserve">%</w:t>
            </w:r>
          </w:p>
        </w:tc>
        <w:tc>
          <w:tcPr/>
          <w:p>
            <w:pPr>
              <w:pStyle w:val="Compact"/>
            </w:pPr>
            <w:r>
              <w:t xml:space="preserve">1 − scrap rate</w:t>
            </w:r>
          </w:p>
        </w:tc>
      </w:tr>
    </w:tbl>
    <w:bookmarkStart w:id="9" w:name="part-level-production-requirement"/>
    <w:p>
      <w:pPr>
        <w:pStyle w:val="Heading3"/>
      </w:pPr>
      <w:r>
        <w:t xml:space="preserve">Part-level production requirement</w:t>
      </w:r>
    </w:p>
    <w:p>
      <w:pPr>
        <w:pStyle w:val="FirstParagraph"/>
      </w:pPr>
      <w:r>
        <w:t xml:space="preserve">Each shovel comprises two tube components (back and middle handle sections) and two sheet components (shovel head and hinge connector). Because the 5 % scrap allowance applies only to tube cutting and sheet stamping, those operations must run at a gross rate of good demand ÷ 0.95, i.e. 5.26 % above the good-unit rate. Table 6.2 states the requirement per component, with the gross tube demand split between the two handle sections and totalled.</w:t>
      </w:r>
    </w:p>
    <w:p>
      <w:pPr>
        <w:pStyle w:val="BodyText"/>
      </w:pPr>
      <w:r>
        <w:rPr>
          <w:b/>
          <w:bCs/>
        </w:rPr>
        <w:t xml:space="preserve">Table 6.2: Part-level daily production requirement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Part</w:t>
            </w:r>
          </w:p>
        </w:tc>
        <w:tc>
          <w:tcPr/>
          <w:p>
            <w:pPr>
              <w:pStyle w:val="Compact"/>
            </w:pPr>
            <w:r>
              <w:t xml:space="preserve">Qty per shovel</w:t>
            </w:r>
          </w:p>
        </w:tc>
        <w:tc>
          <w:tcPr/>
          <w:p>
            <w:pPr>
              <w:pStyle w:val="Compact"/>
            </w:pPr>
            <w:r>
              <w:t xml:space="preserve">Good units/day</w:t>
            </w:r>
          </w:p>
        </w:tc>
        <w:tc>
          <w:tcPr/>
          <w:p>
            <w:pPr>
              <w:pStyle w:val="Compact"/>
            </w:pPr>
            <w:r>
              <w:t xml:space="preserve">Gross units/day</w:t>
            </w:r>
          </w:p>
        </w:tc>
        <w:tc>
          <w:tcPr/>
          <w:p>
            <w:pPr>
              <w:pStyle w:val="Compact"/>
            </w:pPr>
            <w:r>
              <w:t xml:space="preserve">Basis / Source</w:t>
            </w:r>
          </w:p>
        </w:tc>
      </w:tr>
      <w:tr>
        <w:tc>
          <w:tcPr/>
          <w:p>
            <w:pPr>
              <w:pStyle w:val="Compact"/>
            </w:pPr>
            <w:r>
              <w:t xml:space="preserve">Back handle section (tube)</w:t>
            </w:r>
          </w:p>
        </w:tc>
        <w:tc>
          <w:tcPr/>
          <w:p>
            <w:pPr>
              <w:pStyle w:val="Compact"/>
            </w:pPr>
            <w:r>
              <w:t xml:space="preserve">1</w:t>
            </w:r>
          </w:p>
        </w:tc>
        <w:tc>
          <w:tcPr/>
          <w:p>
            <w:pPr>
              <w:pStyle w:val="Compact"/>
            </w:pPr>
            <w:r>
              <w:t xml:space="preserve">1 819</w:t>
            </w:r>
          </w:p>
        </w:tc>
        <w:tc>
          <w:tcPr/>
          <w:p>
            <w:pPr>
              <w:pStyle w:val="Compact"/>
            </w:pPr>
            <w:r>
              <w:t xml:space="preserve">1 915</w:t>
            </w:r>
          </w:p>
        </w:tc>
        <w:tc>
          <w:tcPr/>
          <w:p>
            <w:pPr>
              <w:pStyle w:val="Compact"/>
            </w:pPr>
            <w:r>
              <w:t xml:space="preserve">Gross = good ÷ 0.95 (cutting scrap)</w:t>
            </w:r>
          </w:p>
        </w:tc>
      </w:tr>
      <w:tr>
        <w:tc>
          <w:tcPr/>
          <w:p>
            <w:pPr>
              <w:pStyle w:val="Compact"/>
            </w:pPr>
            <w:r>
              <w:t xml:space="preserve">Middle handle section (tube)</w:t>
            </w:r>
          </w:p>
        </w:tc>
        <w:tc>
          <w:tcPr/>
          <w:p>
            <w:pPr>
              <w:pStyle w:val="Compact"/>
            </w:pPr>
            <w:r>
              <w:t xml:space="preserve">1</w:t>
            </w:r>
          </w:p>
        </w:tc>
        <w:tc>
          <w:tcPr/>
          <w:p>
            <w:pPr>
              <w:pStyle w:val="Compact"/>
            </w:pPr>
            <w:r>
              <w:t xml:space="preserve">1 819</w:t>
            </w:r>
          </w:p>
        </w:tc>
        <w:tc>
          <w:tcPr/>
          <w:p>
            <w:pPr>
              <w:pStyle w:val="Compact"/>
            </w:pPr>
            <w:r>
              <w:t xml:space="preserve">1 915</w:t>
            </w:r>
          </w:p>
        </w:tc>
        <w:tc>
          <w:tcPr/>
          <w:p>
            <w:pPr>
              <w:pStyle w:val="Compact"/>
            </w:pPr>
            <w:r>
              <w:t xml:space="preserve">Gross = good ÷ 0.95 (cutting scrap)</w:t>
            </w:r>
          </w:p>
        </w:tc>
      </w:tr>
      <w:tr>
        <w:tc>
          <w:tcPr/>
          <w:p>
            <w:pPr>
              <w:pStyle w:val="Compact"/>
            </w:pPr>
            <w:r>
              <w:rPr>
                <w:b/>
                <w:bCs/>
              </w:rPr>
              <w:t xml:space="preserve">Total tube sections</w:t>
            </w:r>
          </w:p>
        </w:tc>
        <w:tc>
          <w:tcPr/>
          <w:p>
            <w:pPr>
              <w:pStyle w:val="Compact"/>
            </w:pPr>
            <w:r>
              <w:rPr>
                <w:b/>
                <w:bCs/>
              </w:rPr>
              <w:t xml:space="preserve">2</w:t>
            </w:r>
          </w:p>
        </w:tc>
        <w:tc>
          <w:tcPr/>
          <w:p>
            <w:pPr>
              <w:pStyle w:val="Compact"/>
            </w:pPr>
            <w:r>
              <w:rPr>
                <w:b/>
                <w:bCs/>
              </w:rPr>
              <w:t xml:space="preserve">3 638</w:t>
            </w:r>
          </w:p>
        </w:tc>
        <w:tc>
          <w:tcPr/>
          <w:p>
            <w:pPr>
              <w:pStyle w:val="Compact"/>
            </w:pPr>
            <w:r>
              <w:rPr>
                <w:b/>
                <w:bCs/>
              </w:rPr>
              <w:t xml:space="preserve">3 830</w:t>
            </w:r>
          </w:p>
        </w:tc>
        <w:tc>
          <w:tcPr/>
          <w:p>
            <w:pPr>
              <w:pStyle w:val="Compact"/>
            </w:pPr>
            <w:r>
              <w:t xml:space="preserve">Sum of handle sections</w:t>
            </w:r>
          </w:p>
        </w:tc>
      </w:tr>
      <w:tr>
        <w:tc>
          <w:tcPr/>
          <w:p>
            <w:pPr>
              <w:pStyle w:val="Compact"/>
            </w:pPr>
            <w:r>
              <w:t xml:space="preserve">Shovel head (sheet)</w:t>
            </w:r>
          </w:p>
        </w:tc>
        <w:tc>
          <w:tcPr/>
          <w:p>
            <w:pPr>
              <w:pStyle w:val="Compact"/>
            </w:pPr>
            <w:r>
              <w:t xml:space="preserve">1</w:t>
            </w:r>
          </w:p>
        </w:tc>
        <w:tc>
          <w:tcPr/>
          <w:p>
            <w:pPr>
              <w:pStyle w:val="Compact"/>
            </w:pPr>
            <w:r>
              <w:t xml:space="preserve">1 819</w:t>
            </w:r>
          </w:p>
        </w:tc>
        <w:tc>
          <w:tcPr/>
          <w:p>
            <w:pPr>
              <w:pStyle w:val="Compact"/>
            </w:pPr>
            <w:r>
              <w:t xml:space="preserve">1 915</w:t>
            </w:r>
          </w:p>
        </w:tc>
        <w:tc>
          <w:tcPr/>
          <w:p>
            <w:pPr>
              <w:pStyle w:val="Compact"/>
            </w:pPr>
            <w:r>
              <w:t xml:space="preserve">Gross = good ÷ 0.95 (stamping scrap)</w:t>
            </w:r>
          </w:p>
        </w:tc>
      </w:tr>
      <w:tr>
        <w:tc>
          <w:tcPr/>
          <w:p>
            <w:pPr>
              <w:pStyle w:val="Compact"/>
            </w:pPr>
            <w:r>
              <w:t xml:space="preserve">Hinge connector (sheet)</w:t>
            </w:r>
          </w:p>
        </w:tc>
        <w:tc>
          <w:tcPr/>
          <w:p>
            <w:pPr>
              <w:pStyle w:val="Compact"/>
            </w:pPr>
            <w:r>
              <w:t xml:space="preserve">1</w:t>
            </w:r>
          </w:p>
        </w:tc>
        <w:tc>
          <w:tcPr/>
          <w:p>
            <w:pPr>
              <w:pStyle w:val="Compact"/>
            </w:pPr>
            <w:r>
              <w:t xml:space="preserve">1 819</w:t>
            </w:r>
          </w:p>
        </w:tc>
        <w:tc>
          <w:tcPr/>
          <w:p>
            <w:pPr>
              <w:pStyle w:val="Compact"/>
            </w:pPr>
            <w:r>
              <w:t xml:space="preserve">1 915</w:t>
            </w:r>
          </w:p>
        </w:tc>
        <w:tc>
          <w:tcPr/>
          <w:p>
            <w:pPr>
              <w:pStyle w:val="Compact"/>
            </w:pPr>
            <w:r>
              <w:t xml:space="preserve">Gross = good ÷ 0.95 (stamping scrap)</w:t>
            </w:r>
          </w:p>
        </w:tc>
      </w:tr>
    </w:tbl>
    <w:p>
      <w:pPr>
        <w:pStyle w:val="BodyText"/>
      </w:pPr>
      <w:r>
        <w:rPr>
          <w:i/>
          <w:iCs/>
        </w:rPr>
        <w:t xml:space="preserve">Gross values rounded up from 1 914.7 per part and 3 829.5 in total; the workbook carries unrounded values through subsequent calculations to avoid compounding rounding error.</w:t>
      </w:r>
    </w:p>
    <w:bookmarkEnd w:id="9"/>
    <w:bookmarkStart w:id="10" w:name="packaging-and-unit-load-demand"/>
    <w:p>
      <w:pPr>
        <w:pStyle w:val="Heading3"/>
      </w:pPr>
      <w:r>
        <w:t xml:space="preserve">Packaging and unit-load demand</w:t>
      </w:r>
    </w:p>
    <w:p>
      <w:pPr>
        <w:pStyle w:val="FirstParagraph"/>
      </w:pPr>
      <w:r>
        <w:t xml:space="preserve">Packaging is manual and doubles as the final visual inspection, so its demand is stated here because it sizes both the packaging workstations (§6.3.17) and the dispatch unit loads (§6.5). Each shovel is packed into a bought-out bag; bagged shovels are boxed and palletised on the workbook’s unit-load definitions.</w:t>
      </w:r>
    </w:p>
    <w:p>
      <w:pPr>
        <w:pStyle w:val="BodyText"/>
      </w:pPr>
      <w:r>
        <w:rPr>
          <w:b/>
          <w:bCs/>
        </w:rPr>
        <w:t xml:space="preserve">Table 6.3: Packaging and unit-load demand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Value</w:t>
            </w:r>
          </w:p>
        </w:tc>
        <w:tc>
          <w:tcPr/>
          <w:p>
            <w:pPr>
              <w:pStyle w:val="Compact"/>
            </w:pPr>
            <w:r>
              <w:t xml:space="preserve">Unit</w:t>
            </w:r>
          </w:p>
        </w:tc>
        <w:tc>
          <w:tcPr/>
          <w:p>
            <w:pPr>
              <w:pStyle w:val="Compact"/>
            </w:pPr>
            <w:r>
              <w:t xml:space="preserve">Basis / Source</w:t>
            </w:r>
          </w:p>
        </w:tc>
      </w:tr>
      <w:tr>
        <w:tc>
          <w:tcPr/>
          <w:p>
            <w:pPr>
              <w:pStyle w:val="Compact"/>
            </w:pPr>
            <w:r>
              <w:t xml:space="preserve">Packaging bags</w:t>
            </w:r>
          </w:p>
        </w:tc>
        <w:tc>
          <w:tcPr/>
          <w:p>
            <w:pPr>
              <w:pStyle w:val="Compact"/>
            </w:pPr>
            <w:r>
              <w:t xml:space="preserve">1 819</w:t>
            </w:r>
          </w:p>
        </w:tc>
        <w:tc>
          <w:tcPr/>
          <w:p>
            <w:pPr>
              <w:pStyle w:val="Compact"/>
            </w:pPr>
            <w:r>
              <w:t xml:space="preserve">bags/day</w:t>
            </w:r>
          </w:p>
        </w:tc>
        <w:tc>
          <w:tcPr/>
          <w:p>
            <w:pPr>
              <w:pStyle w:val="Compact"/>
            </w:pPr>
            <w:r>
              <w:t xml:space="preserve">1 per shovel (brief: bought-out)</w:t>
            </w:r>
          </w:p>
        </w:tc>
      </w:tr>
      <w:tr>
        <w:tc>
          <w:tcPr/>
          <w:p>
            <w:pPr>
              <w:pStyle w:val="Compact"/>
            </w:pPr>
            <w:r>
              <w:t xml:space="preserve">Boxes (10 shovels/box)</w:t>
            </w:r>
          </w:p>
        </w:tc>
        <w:tc>
          <w:tcPr/>
          <w:p>
            <w:pPr>
              <w:pStyle w:val="Compact"/>
            </w:pPr>
            <w:r>
              <w:t xml:space="preserve">182</w:t>
            </w:r>
          </w:p>
        </w:tc>
        <w:tc>
          <w:tcPr/>
          <w:p>
            <w:pPr>
              <w:pStyle w:val="Compact"/>
            </w:pPr>
            <w:r>
              <w:t xml:space="preserve">boxes/day</w:t>
            </w:r>
          </w:p>
        </w:tc>
        <w:tc>
          <w:tcPr/>
          <w:p>
            <w:pPr>
              <w:pStyle w:val="Compact"/>
            </w:pPr>
            <w:r>
              <w:t xml:space="preserve">⌈1 819 ÷ 10⌉; box size is an assumption</w:t>
            </w:r>
          </w:p>
        </w:tc>
      </w:tr>
      <w:tr>
        <w:tc>
          <w:tcPr/>
          <w:p>
            <w:pPr>
              <w:pStyle w:val="Compact"/>
            </w:pPr>
            <w:r>
              <w:t xml:space="preserve">Pallets (40 boxes/pallet, 400 shovels)</w:t>
            </w:r>
          </w:p>
        </w:tc>
        <w:tc>
          <w:tcPr/>
          <w:p>
            <w:pPr>
              <w:pStyle w:val="Compact"/>
            </w:pPr>
            <w:r>
              <w:t xml:space="preserve">5</w:t>
            </w:r>
          </w:p>
        </w:tc>
        <w:tc>
          <w:tcPr/>
          <w:p>
            <w:pPr>
              <w:pStyle w:val="Compact"/>
            </w:pPr>
            <w:r>
              <w:t xml:space="preserve">pallets/day</w:t>
            </w:r>
          </w:p>
        </w:tc>
        <w:tc>
          <w:tcPr/>
          <w:p>
            <w:pPr>
              <w:pStyle w:val="Compact"/>
            </w:pPr>
            <w:r>
              <w:t xml:space="preserve">⌈182 ÷ 40⌉; pallet load is an assumption</w:t>
            </w:r>
          </w:p>
        </w:tc>
      </w:tr>
      <w:tr>
        <w:tc>
          <w:tcPr/>
          <w:p>
            <w:pPr>
              <w:pStyle w:val="Compact"/>
            </w:pPr>
            <w:r>
              <w:t xml:space="preserve">Small order threshold</w:t>
            </w:r>
          </w:p>
        </w:tc>
        <w:tc>
          <w:tcPr/>
          <w:p>
            <w:pPr>
              <w:pStyle w:val="Compact"/>
            </w:pPr>
            <w:r>
              <w:t xml:space="preserve">≤ 400</w:t>
            </w:r>
          </w:p>
        </w:tc>
        <w:tc>
          <w:tcPr/>
          <w:p>
            <w:pPr>
              <w:pStyle w:val="Compact"/>
            </w:pPr>
            <w:r>
              <w:t xml:space="preserve">shovels (≤ 1 pallet)</w:t>
            </w:r>
          </w:p>
        </w:tc>
        <w:tc>
          <w:tcPr/>
          <w:p>
            <w:pPr>
              <w:pStyle w:val="Compact"/>
            </w:pPr>
            <w:r>
              <w:t xml:space="preserve">Workbook order definition</w:t>
            </w:r>
          </w:p>
        </w:tc>
      </w:tr>
      <w:tr>
        <w:tc>
          <w:tcPr/>
          <w:p>
            <w:pPr>
              <w:pStyle w:val="Compact"/>
            </w:pPr>
            <w:r>
              <w:t xml:space="preserve">Large order threshold</w:t>
            </w:r>
          </w:p>
        </w:tc>
        <w:tc>
          <w:tcPr/>
          <w:p>
            <w:pPr>
              <w:pStyle w:val="Compact"/>
            </w:pPr>
            <w:r>
              <w:t xml:space="preserve">&gt; 400</w:t>
            </w:r>
          </w:p>
        </w:tc>
        <w:tc>
          <w:tcPr/>
          <w:p>
            <w:pPr>
              <w:pStyle w:val="Compact"/>
            </w:pPr>
            <w:r>
              <w:t xml:space="preserve">shovels (&gt; 1 pallet)</w:t>
            </w:r>
          </w:p>
        </w:tc>
        <w:tc>
          <w:tcPr/>
          <w:p>
            <w:pPr>
              <w:pStyle w:val="Compact"/>
            </w:pPr>
            <w:r>
              <w:t xml:space="preserve">Workbook order definition</w:t>
            </w:r>
          </w:p>
        </w:tc>
      </w:tr>
    </w:tbl>
    <w:bookmarkEnd w:id="10"/>
    <w:bookmarkStart w:id="11" w:name="key-findings-and-layout-implications"/>
    <w:p>
      <w:pPr>
        <w:pStyle w:val="Heading3"/>
      </w:pPr>
      <w:r>
        <w:t xml:space="preserve">Key Findings and Layout Implications</w:t>
      </w:r>
    </w:p>
    <w:p>
      <w:pPr>
        <w:pStyle w:val="FirstParagraph"/>
      </w:pPr>
      <w:r>
        <w:t xml:space="preserve">The takt time of 15.83 s/shovel is the most consequential parameter in this chapter. Several brief-specified cycle times exceed it severalfold — blade sharpening at 120 s, knurling and external threading at 60 s, serrating at 60 s and hand polishing at 60 s — so these operations cannot meet demand on single machines and must be parallelised (sharpening alone requires 8 stations, derived in §6.4). The layout must therefore provide banks of identical workstations at these operations, making them the dominant drivers of production floor area and of WIP staging between unbalanced stages. Second, because scrap arises only at tube cutting and sheet stamping, those two workstations require scrap bins and a dedicated removal route to the waste store, and they draw raw material at 5.26 % above the good-unit rate — the input to the raw-material and storage sizing in §6.2 and §6.6. Third, the part structure defines the facility’s flow architecture: the tube stream (cutting, threading, narrowing, knurling) and the sheet stream (stamping, bending, shaping, sharpening, serrating) run in parallel; the two sheet parts converge at riveting to form the head subassembly, which then passes through heat treatment, sandblasting, polishing and powder coating; the tube and sheet streams converge only at final assembly, where the two powder-coated handle sections are united with the coated head subassembly. The layout alternatives must preserve this split-and-merge flow from raw-material storage to assembly (Figure 6.3, §6.3). Finally, the single-shift, availability-1.0 assumption means any unplanned downtime converts directly into overtime, which argues for maintenance access at the high-utilisation stations identified in §6.4.</w:t>
      </w:r>
    </w:p>
    <w:p>
      <w:pPr>
        <w:pStyle w:val="BodyText"/>
      </w:pPr>
      <w:r>
        <w:rPr>
          <w:b/>
          <w:bCs/>
        </w:rPr>
        <w:t xml:space="preserve">Figure 6.2: High-level material flow from receiving to dispatch — parallel tube and sheet streams, riveting convergence of the sheet parts into the head subassembly, finishing and enclosed coating sequence, final-assembly convergence, packaging, and the dispatch/collection routes. (Author’s own.)</w:t>
      </w:r>
    </w:p>
    <w:bookmarkEnd w:id="11"/>
    <w:bookmarkEnd w:id="12"/>
    <w:bookmarkStart w:id="17" w:name="raw-material-requirements"/>
    <w:p>
      <w:pPr>
        <w:pStyle w:val="Heading2"/>
      </w:pPr>
      <w:r>
        <w:t xml:space="preserve">6.2 Raw Material Requirements</w:t>
      </w:r>
    </w:p>
    <w:p>
      <w:pPr>
        <w:pStyle w:val="FirstParagraph"/>
      </w:pPr>
      <w:r>
        <w:t xml:space="preserve">The product consumes two manufactured raw-material streams — aluminium round tube (Ø31.70 mm outside diameter, 3.18 mm wall) for the handle sections, and 2.5 mm aluminium sheet for the shovel head and hinge connector — plus bought-out packaging bags and rivets. The brief requires two weeks of raw material to be held indoors, equal to 10 working days of cover on the 220-day calendar. This subsection converts the gross daily part requirements of Table 6.2 into purchasable raw-material units — full-length tubes and standard sheets — because storage racking, receiving loads and material-handling equipment are sized in those units, not in finished parts. Table 6.4 records the conversion basis; market research confirming the stock-unit assumptions is noted beneath each table.</w:t>
      </w:r>
    </w:p>
    <w:p>
      <w:pPr>
        <w:pStyle w:val="BodyText"/>
      </w:pPr>
      <w:r>
        <w:rPr>
          <w:b/>
          <w:bCs/>
        </w:rPr>
        <w:t xml:space="preserve">Table 6.4: Product components and raw-material basis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Raw material</w:t>
            </w:r>
          </w:p>
        </w:tc>
        <w:tc>
          <w:tcPr/>
          <w:p>
            <w:pPr>
              <w:pStyle w:val="Compact"/>
            </w:pPr>
            <w:r>
              <w:t xml:space="preserve">Blank / section size</w:t>
            </w:r>
          </w:p>
        </w:tc>
        <w:tc>
          <w:tcPr/>
          <w:p>
            <w:pPr>
              <w:pStyle w:val="Compact"/>
            </w:pPr>
            <w:r>
              <w:t xml:space="preserve">Purchasing unit</w:t>
            </w:r>
          </w:p>
        </w:tc>
        <w:tc>
          <w:tcPr/>
          <w:p>
            <w:pPr>
              <w:pStyle w:val="Compact"/>
            </w:pPr>
            <w:r>
              <w:t xml:space="preserve">Basis / Source</w:t>
            </w:r>
          </w:p>
        </w:tc>
      </w:tr>
      <w:tr>
        <w:tc>
          <w:tcPr/>
          <w:p>
            <w:pPr>
              <w:pStyle w:val="Compact"/>
            </w:pPr>
            <w:r>
              <w:t xml:space="preserve">Back handle section</w:t>
            </w:r>
          </w:p>
        </w:tc>
        <w:tc>
          <w:tcPr/>
          <w:p>
            <w:pPr>
              <w:pStyle w:val="Compact"/>
            </w:pPr>
            <w:r>
              <w:t xml:space="preserve">Al round tube Ø31.70 × 3.18 mm</w:t>
            </w:r>
          </w:p>
        </w:tc>
        <w:tc>
          <w:tcPr/>
          <w:p>
            <w:pPr>
              <w:pStyle w:val="Compact"/>
            </w:pPr>
            <w:r>
              <w:t xml:space="preserve">150 mm section</w:t>
            </w:r>
          </w:p>
        </w:tc>
        <w:tc>
          <w:tcPr/>
          <w:p>
            <w:pPr>
              <w:pStyle w:val="Compact"/>
            </w:pPr>
            <w:r>
              <w:t xml:space="preserve">6 m stock tube</w:t>
            </w:r>
          </w:p>
        </w:tc>
        <w:tc>
          <w:tcPr/>
          <w:p>
            <w:pPr>
              <w:pStyle w:val="Compact"/>
            </w:pPr>
            <w:r>
              <w:t xml:space="preserve">Brief; 6 m is the standard SA mill length¹</w:t>
            </w:r>
          </w:p>
        </w:tc>
      </w:tr>
      <w:tr>
        <w:tc>
          <w:tcPr/>
          <w:p>
            <w:pPr>
              <w:pStyle w:val="Compact"/>
            </w:pPr>
            <w:r>
              <w:t xml:space="preserve">Middle handle section</w:t>
            </w:r>
          </w:p>
        </w:tc>
        <w:tc>
          <w:tcPr/>
          <w:p>
            <w:pPr>
              <w:pStyle w:val="Compact"/>
            </w:pPr>
            <w:r>
              <w:t xml:space="preserve">Al round tube Ø31.70 × 3.18 mm</w:t>
            </w:r>
          </w:p>
        </w:tc>
        <w:tc>
          <w:tcPr/>
          <w:p>
            <w:pPr>
              <w:pStyle w:val="Compact"/>
            </w:pPr>
            <w:r>
              <w:t xml:space="preserve">150 mm section</w:t>
            </w:r>
          </w:p>
        </w:tc>
        <w:tc>
          <w:tcPr/>
          <w:p>
            <w:pPr>
              <w:pStyle w:val="Compact"/>
            </w:pPr>
            <w:r>
              <w:t xml:space="preserve">6 m stock tube</w:t>
            </w:r>
          </w:p>
        </w:tc>
        <w:tc>
          <w:tcPr/>
          <w:p>
            <w:pPr>
              <w:pStyle w:val="Compact"/>
            </w:pPr>
            <w:r>
              <w:t xml:space="preserve">Brief; as above</w:t>
            </w:r>
          </w:p>
        </w:tc>
      </w:tr>
      <w:tr>
        <w:tc>
          <w:tcPr/>
          <w:p>
            <w:pPr>
              <w:pStyle w:val="Compact"/>
            </w:pPr>
            <w:r>
              <w:t xml:space="preserve">Shovel head</w:t>
            </w:r>
          </w:p>
        </w:tc>
        <w:tc>
          <w:tcPr/>
          <w:p>
            <w:pPr>
              <w:pStyle w:val="Compact"/>
            </w:pPr>
            <w:r>
              <w:t xml:space="preserve">Al sheet, 2.5 mm</w:t>
            </w:r>
          </w:p>
        </w:tc>
        <w:tc>
          <w:tcPr/>
          <w:p>
            <w:pPr>
              <w:pStyle w:val="Compact"/>
            </w:pPr>
            <w:r>
              <w:t xml:space="preserve">0.17 × 0.14 m blank (forming allowance)</w:t>
            </w:r>
          </w:p>
        </w:tc>
        <w:tc>
          <w:tcPr/>
          <w:p>
            <w:pPr>
              <w:pStyle w:val="Compact"/>
            </w:pPr>
            <w:r>
              <w:t xml:space="preserve">2 500 × 1 250 mm sheet</w:t>
            </w:r>
          </w:p>
        </w:tc>
        <w:tc>
          <w:tcPr/>
          <w:p>
            <w:pPr>
              <w:pStyle w:val="Compact"/>
            </w:pPr>
            <w:r>
              <w:t xml:space="preserve">Brief (finished 150 × 120 mm); standard SA sheet size²</w:t>
            </w:r>
          </w:p>
        </w:tc>
      </w:tr>
      <w:tr>
        <w:tc>
          <w:tcPr/>
          <w:p>
            <w:pPr>
              <w:pStyle w:val="Compact"/>
            </w:pPr>
            <w:r>
              <w:t xml:space="preserve">Hinge connector</w:t>
            </w:r>
          </w:p>
        </w:tc>
        <w:tc>
          <w:tcPr/>
          <w:p>
            <w:pPr>
              <w:pStyle w:val="Compact"/>
            </w:pPr>
            <w:r>
              <w:t xml:space="preserve">Al sheet, 2.5 mm</w:t>
            </w:r>
          </w:p>
        </w:tc>
        <w:tc>
          <w:tcPr/>
          <w:p>
            <w:pPr>
              <w:pStyle w:val="Compact"/>
            </w:pPr>
            <w:r>
              <w:t xml:space="preserve">0.08 × 0.05 m blank</w:t>
            </w:r>
          </w:p>
        </w:tc>
        <w:tc>
          <w:tcPr/>
          <w:p>
            <w:pPr>
              <w:pStyle w:val="Compact"/>
            </w:pPr>
            <w:r>
              <w:t xml:space="preserve">2 500 × 1 250 mm sheet</w:t>
            </w:r>
          </w:p>
        </w:tc>
        <w:tc>
          <w:tcPr/>
          <w:p>
            <w:pPr>
              <w:pStyle w:val="Compact"/>
            </w:pPr>
            <w:r>
              <w:t xml:space="preserve">Blank size assumption (die design)</w:t>
            </w:r>
          </w:p>
        </w:tc>
      </w:tr>
      <w:tr>
        <w:tc>
          <w:tcPr/>
          <w:p>
            <w:pPr>
              <w:pStyle w:val="Compact"/>
            </w:pPr>
            <w:r>
              <w:t xml:space="preserve">Packaging bag</w:t>
            </w:r>
          </w:p>
        </w:tc>
        <w:tc>
          <w:tcPr/>
          <w:p>
            <w:pPr>
              <w:pStyle w:val="Compact"/>
            </w:pPr>
            <w:r>
              <w:t xml:space="preserve">Bought-out</w:t>
            </w:r>
          </w:p>
        </w:tc>
        <w:tc>
          <w:tcPr/>
          <w:p>
            <w:pPr>
              <w:pStyle w:val="Compact"/>
            </w:pPr>
            <w:r>
              <w:t xml:space="preserve">—</w:t>
            </w:r>
          </w:p>
        </w:tc>
        <w:tc>
          <w:tcPr/>
          <w:p>
            <w:pPr>
              <w:pStyle w:val="Compact"/>
            </w:pPr>
            <w:r>
              <w:t xml:space="preserve">Per shovel</w:t>
            </w:r>
          </w:p>
        </w:tc>
        <w:tc>
          <w:tcPr/>
          <w:p>
            <w:pPr>
              <w:pStyle w:val="Compact"/>
            </w:pPr>
            <w:r>
              <w:t xml:space="preserve">Brief (outside supplier)</w:t>
            </w:r>
          </w:p>
        </w:tc>
      </w:tr>
      <w:tr>
        <w:tc>
          <w:tcPr/>
          <w:p>
            <w:pPr>
              <w:pStyle w:val="Compact"/>
            </w:pPr>
            <w:r>
              <w:t xml:space="preserve">Rivets</w:t>
            </w:r>
          </w:p>
        </w:tc>
        <w:tc>
          <w:tcPr/>
          <w:p>
            <w:pPr>
              <w:pStyle w:val="Compact"/>
            </w:pPr>
            <w:r>
              <w:t xml:space="preserve">Bought-out</w:t>
            </w:r>
          </w:p>
        </w:tc>
        <w:tc>
          <w:tcPr/>
          <w:p>
            <w:pPr>
              <w:pStyle w:val="Compact"/>
            </w:pPr>
            <w:r>
              <w:t xml:space="preserve">—</w:t>
            </w:r>
          </w:p>
        </w:tc>
        <w:tc>
          <w:tcPr/>
          <w:p>
            <w:pPr>
              <w:pStyle w:val="Compact"/>
            </w:pPr>
            <w:r>
              <w:t xml:space="preserve">2 per shovel (assumed)</w:t>
            </w:r>
          </w:p>
        </w:tc>
        <w:tc>
          <w:tcPr/>
          <w:p>
            <w:pPr>
              <w:pStyle w:val="Compact"/>
            </w:pPr>
            <w:r>
              <w:t xml:space="preserve">Brief (riveted hinge joint); count [VERIFY]</w:t>
            </w:r>
          </w:p>
        </w:tc>
      </w:tr>
    </w:tbl>
    <w:p>
      <w:pPr>
        <w:pStyle w:val="BodyText"/>
      </w:pPr>
      <w:r>
        <w:t xml:space="preserve">¹ 6 m is the standard mill length for aluminium round tube in South Africa (Premium Aluminium, n.d.). This source supports the stock length only; availability of the specific Ø31.70 × 3.18 mm section must be confirmed with the supplier.</w:t>
      </w:r>
      <w:r>
        <w:t xml:space="preserve"> </w:t>
      </w:r>
      <w:r>
        <w:t xml:space="preserve">² 2 500 × 1 250 mm is a standard South African aluminium sheet size, stocked in thicknesses up to 2.5 mm (Euro Steel, n.d.).</w:t>
      </w:r>
    </w:p>
    <w:bookmarkStart w:id="13" w:name="aluminium-tube-requirement"/>
    <w:p>
      <w:pPr>
        <w:pStyle w:val="Heading3"/>
      </w:pPr>
      <w:r>
        <w:t xml:space="preserve">Aluminium tube requirement</w:t>
      </w:r>
    </w:p>
    <w:p>
      <w:pPr>
        <w:pStyle w:val="FirstParagraph"/>
      </w:pPr>
      <w:r>
        <w:t xml:space="preserve">Each shovel requires two 150 mm handle sections, and tube cutting carries the 5 % scrap allowance, so the saw must produce the gross section rate derived in Equation 6.3. The yield per 6 m stock tube must account for saw kerf. A practical kerf allowance of 2.5 mm is adopted here, informed by blade data published by a cold-saw blade supplier (chip-breaker tooth forms at 2.2 mm kerf; common blade plate thicknesses of 2.5 mm) (Cold Saw Blade Store, n.d.). This is an allowance, not a universal standard; the actual kerf must be confirmed against the blade specified for the selected saw [VERIFY]. Each cut then consumes approximately 152.5 mm of stock, giving 39 sections per tube rather than the 40 obtained when kerf is ignored (Equation 6.4).</w:t>
      </w:r>
    </w:p>
    <w:p>
      <w:pPr>
        <w:pStyle w:val="BodyText"/>
      </w:pPr>
      <w:r>
        <w:rPr>
          <w:b/>
          <w:bCs/>
        </w:rPr>
        <w:t xml:space="preserve">Equation 6.3: Daily gross tube-section requirement</w:t>
      </w:r>
    </w:p>
    <w:p>
      <w:pPr>
        <w:pStyle w:val="BodyText"/>
      </w:pPr>
      <m:oMathPara>
        <m:oMathParaPr>
          <m:jc m:val="center"/>
        </m:oMathParaPr>
        <m:oMath>
          <m:r>
            <m:rPr>
              <m:nor/>
              <m:sty m:val="p"/>
            </m:rPr>
            <m:t>Gross sections/day</m:t>
          </m:r>
          <m:r>
            <m:rPr>
              <m:sty m:val="p"/>
            </m:rPr>
            <m:t>=</m:t>
          </m:r>
          <m:f>
            <m:fPr>
              <m:type m:val="bar"/>
            </m:fPr>
            <m:num>
              <m:r>
                <m:rPr>
                  <m:nor/>
                  <m:sty m:val="p"/>
                </m:rPr>
                <m:t>Good sections/day</m:t>
              </m:r>
            </m:num>
            <m:den>
              <m:r>
                <m:t>1</m:t>
              </m:r>
              <m:r>
                <m:rPr>
                  <m:sty m:val="p"/>
                </m:rPr>
                <m:t>−</m:t>
              </m:r>
              <m:r>
                <m:rPr>
                  <m:nor/>
                  <m:sty m:val="p"/>
                </m:rPr>
                <m:t>scrap rate</m:t>
              </m:r>
            </m:den>
          </m:f>
          <m:r>
            <m:rPr>
              <m:sty m:val="p"/>
            </m:rPr>
            <m:t>=</m:t>
          </m:r>
          <m:f>
            <m:fPr>
              <m:type m:val="bar"/>
            </m:fPr>
            <m:num>
              <m:r>
                <m:t>2</m:t>
              </m:r>
              <m:r>
                <m:rPr>
                  <m:sty m:val="p"/>
                </m:rPr>
                <m:t>×</m:t>
              </m:r>
              <m:r>
                <m:t>1</m:t>
              </m:r>
              <m:r>
                <m:t> </m:t>
              </m:r>
              <m:r>
                <m:t>819</m:t>
              </m:r>
            </m:num>
            <m:den>
              <m:r>
                <m:t>0.95</m:t>
              </m:r>
            </m:den>
          </m:f>
          <m:r>
            <m:rPr>
              <m:sty m:val="p"/>
            </m:rPr>
            <m:t>=</m:t>
          </m:r>
          <m:f>
            <m:fPr>
              <m:type m:val="bar"/>
            </m:fPr>
            <m:num>
              <m:r>
                <m:t>3</m:t>
              </m:r>
              <m:r>
                <m:t> </m:t>
              </m:r>
              <m:r>
                <m:t>638</m:t>
              </m:r>
            </m:num>
            <m:den>
              <m:r>
                <m:t>0.95</m:t>
              </m:r>
            </m:den>
          </m:f>
          <m:r>
            <m:rPr>
              <m:sty m:val="p"/>
            </m:rPr>
            <m:t>=</m:t>
          </m:r>
          <m:r>
            <m:t>3</m:t>
          </m:r>
          <m:r>
            <m:t> </m:t>
          </m:r>
          <m:r>
            <m:t>829.5</m:t>
          </m:r>
          <m:r>
            <m:rPr>
              <m:sty m:val="p"/>
            </m:rPr>
            <m:t>≈</m:t>
          </m:r>
          <m:r>
            <m:t>3</m:t>
          </m:r>
          <m:r>
            <m:t> </m:t>
          </m:r>
          <m:r>
            <m:t>830</m:t>
          </m:r>
          <m:r>
            <m:t> </m:t>
          </m:r>
          <m:r>
            <m:rPr>
              <m:nor/>
              <m:sty m:val="p"/>
            </m:rPr>
            <m:t>tube sections/day</m:t>
          </m:r>
        </m:oMath>
      </m:oMathPara>
    </w:p>
    <w:p>
      <w:pPr>
        <w:pStyle w:val="FirstParagraph"/>
      </w:pPr>
      <w:r>
        <w:rPr>
          <w:b/>
          <w:bCs/>
        </w:rPr>
        <w:t xml:space="preserve">Equation 6.4: Sections per stock tube (kerf included)</w:t>
      </w:r>
    </w:p>
    <w:p>
      <w:pPr>
        <w:pStyle w:val="BodyText"/>
      </w:pPr>
      <m:oMathPara>
        <m:oMathParaPr>
          <m:jc m:val="center"/>
        </m:oMathParaPr>
        <m:oMath>
          <m:r>
            <m:rPr>
              <m:nor/>
              <m:sty m:val="p"/>
            </m:rPr>
            <m:t>Sections/tube</m:t>
          </m:r>
          <m:r>
            <m:rPr>
              <m:sty m:val="p"/>
            </m:rPr>
            <m:t>=</m:t>
          </m:r>
          <m:d>
            <m:dPr>
              <m:begChr m:val="⌊"/>
              <m:sepChr m:val=""/>
              <m:endChr m:val="⌋"/>
              <m:grow/>
            </m:dPr>
            <m:e>
              <m:f>
                <m:fPr>
                  <m:type m:val="bar"/>
                </m:fPr>
                <m:num>
                  <m:r>
                    <m:rPr>
                      <m:nor/>
                      <m:sty m:val="p"/>
                    </m:rPr>
                    <m:t>Stock length</m:t>
                  </m:r>
                </m:num>
                <m:den>
                  <m:r>
                    <m:rPr>
                      <m:nor/>
                      <m:sty m:val="p"/>
                    </m:rPr>
                    <m:t>Section length</m:t>
                  </m:r>
                  <m:r>
                    <m:rPr>
                      <m:sty m:val="p"/>
                    </m:rPr>
                    <m:t>+</m:t>
                  </m:r>
                  <m:r>
                    <m:rPr>
                      <m:nor/>
                      <m:sty m:val="p"/>
                    </m:rPr>
                    <m:t>kerf</m:t>
                  </m:r>
                </m:den>
              </m:f>
            </m:e>
          </m:d>
          <m:r>
            <m:rPr>
              <m:sty m:val="p"/>
            </m:rPr>
            <m:t>=</m:t>
          </m:r>
          <m:d>
            <m:dPr>
              <m:begChr m:val="⌊"/>
              <m:sepChr m:val=""/>
              <m:endChr m:val="⌋"/>
              <m:grow/>
            </m:dPr>
            <m:e>
              <m:f>
                <m:fPr>
                  <m:type m:val="bar"/>
                </m:fPr>
                <m:num>
                  <m:r>
                    <m:t>6</m:t>
                  </m:r>
                  <m:r>
                    <m:t> </m:t>
                  </m:r>
                  <m:r>
                    <m:t>000</m:t>
                  </m:r>
                  <m:r>
                    <m:t> </m:t>
                  </m:r>
                  <m:r>
                    <m:rPr>
                      <m:nor/>
                      <m:sty m:val="p"/>
                    </m:rPr>
                    <m:t>mm</m:t>
                  </m:r>
                </m:num>
                <m:den>
                  <m:r>
                    <m:t>150</m:t>
                  </m:r>
                  <m:r>
                    <m:t> </m:t>
                  </m:r>
                  <m:r>
                    <m:rPr>
                      <m:nor/>
                      <m:sty m:val="p"/>
                    </m:rPr>
                    <m:t>mm</m:t>
                  </m:r>
                  <m:r>
                    <m:rPr>
                      <m:sty m:val="p"/>
                    </m:rPr>
                    <m:t>+</m:t>
                  </m:r>
                  <m:r>
                    <m:t>2.5</m:t>
                  </m:r>
                  <m:r>
                    <m:t> </m:t>
                  </m:r>
                  <m:r>
                    <m:rPr>
                      <m:nor/>
                      <m:sty m:val="p"/>
                    </m:rPr>
                    <m:t>mm</m:t>
                  </m:r>
                </m:den>
              </m:f>
            </m:e>
          </m:d>
          <m:r>
            <m:rPr>
              <m:sty m:val="p"/>
            </m:rPr>
            <m:t>=</m:t>
          </m:r>
          <m:r>
            <m:rPr>
              <m:sty m:val="p"/>
            </m:rPr>
            <m:t>⌊</m:t>
          </m:r>
          <m:r>
            <m:t>39.3</m:t>
          </m:r>
          <m:r>
            <m:rPr>
              <m:sty m:val="p"/>
            </m:rPr>
            <m:t>⌋</m:t>
          </m:r>
          <m:r>
            <m:rPr>
              <m:sty m:val="p"/>
            </m:rPr>
            <m:t>=</m:t>
          </m:r>
          <m:r>
            <m:t>39</m:t>
          </m:r>
          <m:r>
            <m:t> </m:t>
          </m:r>
          <m:r>
            <m:rPr>
              <m:nor/>
              <m:sty m:val="p"/>
            </m:rPr>
            <m:t>sections/tube</m:t>
          </m:r>
        </m:oMath>
      </m:oMathPara>
    </w:p>
    <w:p>
      <w:pPr>
        <w:pStyle w:val="FirstParagraph"/>
      </w:pPr>
      <w:r>
        <w:rPr>
          <w:b/>
          <w:bCs/>
        </w:rPr>
        <w:t xml:space="preserve">Equation 6.5: Daily 6 m tube requirement</w:t>
      </w:r>
    </w:p>
    <w:p>
      <w:pPr>
        <w:pStyle w:val="BodyText"/>
      </w:pPr>
      <m:oMathPara>
        <m:oMathParaPr>
          <m:jc m:val="center"/>
        </m:oMathParaPr>
        <m:oMath>
          <m:r>
            <m:rPr>
              <m:nor/>
              <m:sty m:val="p"/>
            </m:rPr>
            <m:t>Tubes/day</m:t>
          </m:r>
          <m:r>
            <m:rPr>
              <m:sty m:val="p"/>
            </m:rPr>
            <m:t>=</m:t>
          </m:r>
          <m:d>
            <m:dPr>
              <m:begChr m:val="⌈"/>
              <m:sepChr m:val=""/>
              <m:endChr m:val="⌉"/>
              <m:grow/>
            </m:dPr>
            <m:e>
              <m:f>
                <m:fPr>
                  <m:type m:val="bar"/>
                </m:fPr>
                <m:num>
                  <m:r>
                    <m:rPr>
                      <m:nor/>
                      <m:sty m:val="p"/>
                    </m:rPr>
                    <m:t>Gross sections/day</m:t>
                  </m:r>
                </m:num>
                <m:den>
                  <m:r>
                    <m:rPr>
                      <m:nor/>
                      <m:sty m:val="p"/>
                    </m:rPr>
                    <m:t>Sections per tube</m:t>
                  </m:r>
                </m:den>
              </m:f>
            </m:e>
          </m:d>
          <m:r>
            <m:rPr>
              <m:sty m:val="p"/>
            </m:rPr>
            <m:t>=</m:t>
          </m:r>
          <m:d>
            <m:dPr>
              <m:begChr m:val="⌈"/>
              <m:sepChr m:val=""/>
              <m:endChr m:val="⌉"/>
              <m:grow/>
            </m:dPr>
            <m:e>
              <m:f>
                <m:fPr>
                  <m:type m:val="bar"/>
                </m:fPr>
                <m:num>
                  <m:r>
                    <m:t>3</m:t>
                  </m:r>
                  <m:r>
                    <m:t> </m:t>
                  </m:r>
                  <m:r>
                    <m:t>829.5</m:t>
                  </m:r>
                </m:num>
                <m:den>
                  <m:r>
                    <m:t>39</m:t>
                  </m:r>
                </m:den>
              </m:f>
            </m:e>
          </m:d>
          <m:r>
            <m:rPr>
              <m:sty m:val="p"/>
            </m:rPr>
            <m:t>=</m:t>
          </m:r>
          <m:r>
            <m:rPr>
              <m:sty m:val="p"/>
            </m:rPr>
            <m:t>⌈</m:t>
          </m:r>
          <m:r>
            <m:t>98.2</m:t>
          </m:r>
          <m:r>
            <m:rPr>
              <m:sty m:val="p"/>
            </m:rPr>
            <m:t>⌉</m:t>
          </m:r>
          <m:r>
            <m:rPr>
              <m:sty m:val="p"/>
            </m:rPr>
            <m:t>=</m:t>
          </m:r>
          <m:r>
            <m:t>99</m:t>
          </m:r>
          <m:r>
            <m:t> </m:t>
          </m:r>
          <m:r>
            <m:rPr>
              <m:nor/>
              <m:sty m:val="p"/>
            </m:rPr>
            <m:t>tubes/day</m:t>
          </m:r>
        </m:oMath>
      </m:oMathPara>
    </w:p>
    <w:p>
      <w:pPr>
        <w:pStyle w:val="FirstParagraph"/>
      </w:pPr>
      <w:r>
        <w:rPr>
          <w:b/>
          <w:bCs/>
        </w:rPr>
        <w:t xml:space="preserve">Table 6.5: Aluminium tube requirement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Value</w:t>
            </w:r>
          </w:p>
        </w:tc>
        <w:tc>
          <w:tcPr/>
          <w:p>
            <w:pPr>
              <w:pStyle w:val="Compact"/>
            </w:pPr>
            <w:r>
              <w:t xml:space="preserve">Unit</w:t>
            </w:r>
          </w:p>
        </w:tc>
        <w:tc>
          <w:tcPr/>
          <w:p>
            <w:pPr>
              <w:pStyle w:val="Compact"/>
            </w:pPr>
            <w:r>
              <w:t xml:space="preserve">Basis / Source</w:t>
            </w:r>
          </w:p>
        </w:tc>
      </w:tr>
      <w:tr>
        <w:tc>
          <w:tcPr/>
          <w:p>
            <w:pPr>
              <w:pStyle w:val="Compact"/>
            </w:pPr>
            <w:r>
              <w:t xml:space="preserve">Tube sections per shovel</w:t>
            </w:r>
          </w:p>
        </w:tc>
        <w:tc>
          <w:tcPr/>
          <w:p>
            <w:pPr>
              <w:pStyle w:val="Compact"/>
            </w:pPr>
            <w:r>
              <w:t xml:space="preserve">2</w:t>
            </w:r>
          </w:p>
        </w:tc>
        <w:tc>
          <w:tcPr/>
          <w:p>
            <w:pPr>
              <w:pStyle w:val="Compact"/>
            </w:pPr>
            <w:r>
              <w:t xml:space="preserve">sections</w:t>
            </w:r>
          </w:p>
        </w:tc>
        <w:tc>
          <w:tcPr/>
          <w:p>
            <w:pPr>
              <w:pStyle w:val="Compact"/>
            </w:pPr>
            <w:r>
              <w:t xml:space="preserve">Product structure (brief)</w:t>
            </w:r>
          </w:p>
        </w:tc>
      </w:tr>
      <w:tr>
        <w:tc>
          <w:tcPr/>
          <w:p>
            <w:pPr>
              <w:pStyle w:val="Compact"/>
            </w:pPr>
            <w:r>
              <w:t xml:space="preserve">Good tube sections per day</w:t>
            </w:r>
          </w:p>
        </w:tc>
        <w:tc>
          <w:tcPr/>
          <w:p>
            <w:pPr>
              <w:pStyle w:val="Compact"/>
            </w:pPr>
            <w:r>
              <w:t xml:space="preserve">3 638</w:t>
            </w:r>
          </w:p>
        </w:tc>
        <w:tc>
          <w:tcPr/>
          <w:p>
            <w:pPr>
              <w:pStyle w:val="Compact"/>
            </w:pPr>
            <w:r>
              <w:t xml:space="preserve">sections/day</w:t>
            </w:r>
          </w:p>
        </w:tc>
        <w:tc>
          <w:tcPr/>
          <w:p>
            <w:pPr>
              <w:pStyle w:val="Compact"/>
            </w:pPr>
            <w:r>
              <w:t xml:space="preserve">2 × 1 819</w:t>
            </w:r>
          </w:p>
        </w:tc>
      </w:tr>
      <w:tr>
        <w:tc>
          <w:tcPr/>
          <w:p>
            <w:pPr>
              <w:pStyle w:val="Compact"/>
            </w:pPr>
            <w:r>
              <w:t xml:space="preserve">Gross tube sections per day</w:t>
            </w:r>
          </w:p>
        </w:tc>
        <w:tc>
          <w:tcPr/>
          <w:p>
            <w:pPr>
              <w:pStyle w:val="Compact"/>
            </w:pPr>
            <w:r>
              <w:t xml:space="preserve">3 830</w:t>
            </w:r>
          </w:p>
        </w:tc>
        <w:tc>
          <w:tcPr/>
          <w:p>
            <w:pPr>
              <w:pStyle w:val="Compact"/>
            </w:pPr>
            <w:r>
              <w:t xml:space="preserve">sections/day</w:t>
            </w:r>
          </w:p>
        </w:tc>
        <w:tc>
          <w:tcPr/>
          <w:p>
            <w:pPr>
              <w:pStyle w:val="Compact"/>
            </w:pPr>
            <w:r>
              <w:t xml:space="preserve">Equation 6.3 (5 % cutting scrap)</w:t>
            </w:r>
          </w:p>
        </w:tc>
      </w:tr>
      <w:tr>
        <w:tc>
          <w:tcPr/>
          <w:p>
            <w:pPr>
              <w:pStyle w:val="Compact"/>
            </w:pPr>
            <w:r>
              <w:t xml:space="preserve">Sections per 6 m tube</w:t>
            </w:r>
          </w:p>
        </w:tc>
        <w:tc>
          <w:tcPr/>
          <w:p>
            <w:pPr>
              <w:pStyle w:val="Compact"/>
            </w:pPr>
            <w:r>
              <w:t xml:space="preserve">39</w:t>
            </w:r>
          </w:p>
        </w:tc>
        <w:tc>
          <w:tcPr/>
          <w:p>
            <w:pPr>
              <w:pStyle w:val="Compact"/>
            </w:pPr>
            <w:r>
              <w:t xml:space="preserve">sections</w:t>
            </w:r>
          </w:p>
        </w:tc>
        <w:tc>
          <w:tcPr/>
          <w:p>
            <w:pPr>
              <w:pStyle w:val="Compact"/>
            </w:pPr>
            <w:r>
              <w:t xml:space="preserve">Equation 6.4 (2.5 mm kerf) [VERIFY blade specification]</w:t>
            </w:r>
          </w:p>
        </w:tc>
      </w:tr>
      <w:tr>
        <w:tc>
          <w:tcPr/>
          <w:p>
            <w:pPr>
              <w:pStyle w:val="Compact"/>
            </w:pPr>
            <w:r>
              <w:t xml:space="preserve">Tubes per day</w:t>
            </w:r>
          </w:p>
        </w:tc>
        <w:tc>
          <w:tcPr/>
          <w:p>
            <w:pPr>
              <w:pStyle w:val="Compact"/>
            </w:pPr>
            <w:r>
              <w:t xml:space="preserve">99</w:t>
            </w:r>
          </w:p>
        </w:tc>
        <w:tc>
          <w:tcPr/>
          <w:p>
            <w:pPr>
              <w:pStyle w:val="Compact"/>
            </w:pPr>
            <w:r>
              <w:t xml:space="preserve">tubes/day</w:t>
            </w:r>
          </w:p>
        </w:tc>
        <w:tc>
          <w:tcPr/>
          <w:p>
            <w:pPr>
              <w:pStyle w:val="Compact"/>
            </w:pPr>
            <w:r>
              <w:t xml:space="preserve">Equation 6.5</w:t>
            </w:r>
          </w:p>
        </w:tc>
      </w:tr>
      <w:tr>
        <w:tc>
          <w:tcPr/>
          <w:p>
            <w:pPr>
              <w:pStyle w:val="Compact"/>
            </w:pPr>
            <w:r>
              <w:t xml:space="preserve">Tubes for 2-week cover</w:t>
            </w:r>
          </w:p>
        </w:tc>
        <w:tc>
          <w:tcPr/>
          <w:p>
            <w:pPr>
              <w:pStyle w:val="Compact"/>
            </w:pPr>
            <w:r>
              <w:t xml:space="preserve">990</w:t>
            </w:r>
          </w:p>
        </w:tc>
        <w:tc>
          <w:tcPr/>
          <w:p>
            <w:pPr>
              <w:pStyle w:val="Compact"/>
            </w:pPr>
            <w:r>
              <w:t xml:space="preserve">tubes</w:t>
            </w:r>
          </w:p>
        </w:tc>
        <w:tc>
          <w:tcPr/>
          <w:p>
            <w:pPr>
              <w:pStyle w:val="Compact"/>
            </w:pPr>
            <w:r>
              <w:t xml:space="preserve">99 × 10 working days</w:t>
            </w:r>
          </w:p>
        </w:tc>
      </w:tr>
    </w:tbl>
    <w:p>
      <w:pPr>
        <w:pStyle w:val="BodyText"/>
      </w:pPr>
      <w:r>
        <w:rPr>
          <w:i/>
          <w:iCs/>
        </w:rPr>
        <w:t xml:space="preserve">The workbook’s current basis ignores kerf (40 sections/tube; 96 tubes/day; 960 tubes stored). The kerf-inclusive figures above are adopted as the design values; the difference (+30 tubes of stock) remains within the four cantilever racks sized in §6.6.</w:t>
      </w:r>
    </w:p>
    <w:bookmarkEnd w:id="13"/>
    <w:bookmarkStart w:id="14" w:name="aluminium-sheet-requirement"/>
    <w:p>
      <w:pPr>
        <w:pStyle w:val="Heading3"/>
      </w:pPr>
      <w:r>
        <w:t xml:space="preserve">Aluminium sheet requirement</w:t>
      </w:r>
    </w:p>
    <w:p>
      <w:pPr>
        <w:pStyle w:val="FirstParagraph"/>
      </w:pPr>
      <w:r>
        <w:t xml:space="preserve">Shovel heads and hinge connectors are stamped from 2 500 × 1 250 mm sheets (3.125 m² each). Because stamped blanks cannot tile a sheet perfectly, a nesting efficiency of 75 % is applied — a conservative figure for rectangular blanks on a progressive die, to be confirmed against the die layout in §6.3.5 [VERIFY]. Sheet stamping carries the 5 % scrap allowance, so sheets are sized on the gross part rates of Table 6.2.</w:t>
      </w:r>
    </w:p>
    <w:p>
      <w:pPr>
        <w:pStyle w:val="BodyText"/>
      </w:pPr>
      <w:r>
        <w:rPr>
          <w:b/>
          <w:bCs/>
        </w:rPr>
        <w:t xml:space="preserve">Equation 6.6: Parts nested per sheet</w:t>
      </w:r>
    </w:p>
    <w:p>
      <w:pPr>
        <w:pStyle w:val="BodyText"/>
      </w:pPr>
      <m:oMathPara>
        <m:oMathParaPr>
          <m:jc m:val="center"/>
        </m:oMathParaPr>
        <m:oMath>
          <m:r>
            <m:rPr>
              <m:nor/>
              <m:sty m:val="p"/>
            </m:rPr>
            <m:t>Parts/sheet</m:t>
          </m:r>
          <m:r>
            <m:rPr>
              <m:sty m:val="p"/>
            </m:rPr>
            <m:t>=</m:t>
          </m:r>
          <m:d>
            <m:dPr>
              <m:begChr m:val="⌊"/>
              <m:sepChr m:val=""/>
              <m:endChr m:val="⌋"/>
              <m:grow/>
            </m:dPr>
            <m:e>
              <m:f>
                <m:fPr>
                  <m:type m:val="bar"/>
                </m:fPr>
                <m:num>
                  <m:r>
                    <m:rPr>
                      <m:nor/>
                      <m:sty m:val="p"/>
                    </m:rPr>
                    <m:t>Sheet area</m:t>
                  </m:r>
                  <m:r>
                    <m:rPr>
                      <m:sty m:val="p"/>
                    </m:rPr>
                    <m:t>×</m:t>
                  </m:r>
                  <m:r>
                    <m:rPr>
                      <m:nor/>
                      <m:sty m:val="p"/>
                    </m:rPr>
                    <m:t>Nesting efficiency</m:t>
                  </m:r>
                </m:num>
                <m:den>
                  <m:r>
                    <m:rPr>
                      <m:nor/>
                      <m:sty m:val="p"/>
                    </m:rPr>
                    <m:t>Blank area</m:t>
                  </m:r>
                </m:den>
              </m:f>
            </m:e>
          </m:d>
          <m:r>
            <m:t> </m:t>
          </m:r>
          <m:r>
            <m:rPr>
              <m:sty m:val="p"/>
            </m:rPr>
            <m:t>⇒</m:t>
          </m:r>
          <m:r>
            <m:t> </m:t>
          </m:r>
          <m:r>
            <m:rPr>
              <m:nor/>
              <m:sty m:val="p"/>
            </m:rPr>
            <m:t>Heads: </m:t>
          </m:r>
          <m:d>
            <m:dPr>
              <m:begChr m:val="⌊"/>
              <m:sepChr m:val=""/>
              <m:endChr m:val="⌋"/>
              <m:grow/>
            </m:dPr>
            <m:e>
              <m:f>
                <m:fPr>
                  <m:type m:val="bar"/>
                </m:fPr>
                <m:num>
                  <m:r>
                    <m:t>3.125</m:t>
                  </m:r>
                  <m:r>
                    <m:rPr>
                      <m:sty m:val="p"/>
                    </m:rPr>
                    <m:t>×</m:t>
                  </m:r>
                  <m:r>
                    <m:t>0.75</m:t>
                  </m:r>
                </m:num>
                <m:den>
                  <m:r>
                    <m:t>0.0238</m:t>
                  </m:r>
                </m:den>
              </m:f>
            </m:e>
          </m:d>
          <m:r>
            <m:rPr>
              <m:sty m:val="p"/>
            </m:rPr>
            <m:t>=</m:t>
          </m:r>
          <m:r>
            <m:t>98</m:t>
          </m:r>
          <m:r>
            <m:rPr>
              <m:sty m:val="p"/>
            </m:rPr>
            <m:t>;</m:t>
          </m:r>
          <m:r>
            <m:t> </m:t>
          </m:r>
          <m:r>
            <m:rPr>
              <m:nor/>
              <m:sty m:val="p"/>
            </m:rPr>
            <m:t>Hinges: </m:t>
          </m:r>
          <m:d>
            <m:dPr>
              <m:begChr m:val="⌊"/>
              <m:sepChr m:val=""/>
              <m:endChr m:val="⌋"/>
              <m:grow/>
            </m:dPr>
            <m:e>
              <m:f>
                <m:fPr>
                  <m:type m:val="bar"/>
                </m:fPr>
                <m:num>
                  <m:r>
                    <m:t>3.125</m:t>
                  </m:r>
                  <m:r>
                    <m:rPr>
                      <m:sty m:val="p"/>
                    </m:rPr>
                    <m:t>×</m:t>
                  </m:r>
                  <m:r>
                    <m:t>0.75</m:t>
                  </m:r>
                </m:num>
                <m:den>
                  <m:r>
                    <m:t>0.004</m:t>
                  </m:r>
                </m:den>
              </m:f>
            </m:e>
          </m:d>
          <m:r>
            <m:rPr>
              <m:sty m:val="p"/>
            </m:rPr>
            <m:t>=</m:t>
          </m:r>
          <m:r>
            <m:t>585</m:t>
          </m:r>
        </m:oMath>
      </m:oMathPara>
    </w:p>
    <w:p>
      <w:pPr>
        <w:pStyle w:val="FirstParagraph"/>
      </w:pPr>
      <w:r>
        <w:rPr>
          <w:b/>
          <w:bCs/>
        </w:rPr>
        <w:t xml:space="preserve">Equation 6.7: Daily sheet requirement</w:t>
      </w:r>
    </w:p>
    <w:p>
      <w:pPr>
        <w:pStyle w:val="BodyText"/>
      </w:pPr>
      <m:oMathPara>
        <m:oMathParaPr>
          <m:jc m:val="center"/>
        </m:oMathParaPr>
        <m:oMath>
          <m:r>
            <m:rPr>
              <m:nor/>
              <m:sty m:val="p"/>
            </m:rPr>
            <m:t>Sheets/day</m:t>
          </m:r>
          <m:r>
            <m:rPr>
              <m:sty m:val="p"/>
            </m:rPr>
            <m:t>=</m:t>
          </m:r>
          <m:d>
            <m:dPr>
              <m:begChr m:val="⌈"/>
              <m:sepChr m:val=""/>
              <m:endChr m:val="⌉"/>
              <m:grow/>
            </m:dPr>
            <m:e>
              <m:f>
                <m:fPr>
                  <m:type m:val="bar"/>
                </m:fPr>
                <m:num>
                  <m:r>
                    <m:rPr>
                      <m:nor/>
                      <m:sty m:val="p"/>
                    </m:rPr>
                    <m:t>Gross parts/day</m:t>
                  </m:r>
                </m:num>
                <m:den>
                  <m:r>
                    <m:rPr>
                      <m:nor/>
                      <m:sty m:val="p"/>
                    </m:rPr>
                    <m:t>Parts per sheet</m:t>
                  </m:r>
                </m:den>
              </m:f>
            </m:e>
          </m:d>
          <m:r>
            <m:t> </m:t>
          </m:r>
          <m:r>
            <m:rPr>
              <m:sty m:val="p"/>
            </m:rPr>
            <m:t>⇒</m:t>
          </m:r>
          <m:r>
            <m:t> </m:t>
          </m:r>
          <m:r>
            <m:rPr>
              <m:nor/>
              <m:sty m:val="p"/>
            </m:rPr>
            <m:t>Heads: </m:t>
          </m:r>
          <m:d>
            <m:dPr>
              <m:begChr m:val="⌈"/>
              <m:sepChr m:val=""/>
              <m:endChr m:val="⌉"/>
              <m:grow/>
            </m:dPr>
            <m:e>
              <m:f>
                <m:fPr>
                  <m:type m:val="bar"/>
                </m:fPr>
                <m:num>
                  <m:r>
                    <m:t>1</m:t>
                  </m:r>
                  <m:r>
                    <m:t> </m:t>
                  </m:r>
                  <m:r>
                    <m:t>914.7</m:t>
                  </m:r>
                </m:num>
                <m:den>
                  <m:r>
                    <m:t>98</m:t>
                  </m:r>
                </m:den>
              </m:f>
            </m:e>
          </m:d>
          <m:r>
            <m:rPr>
              <m:sty m:val="p"/>
            </m:rPr>
            <m:t>=</m:t>
          </m:r>
          <m:r>
            <m:t>20</m:t>
          </m:r>
          <m:r>
            <m:rPr>
              <m:sty m:val="p"/>
            </m:rPr>
            <m:t>;</m:t>
          </m:r>
          <m:r>
            <m:t> </m:t>
          </m:r>
          <m:r>
            <m:rPr>
              <m:nor/>
              <m:sty m:val="p"/>
            </m:rPr>
            <m:t>Hinges: </m:t>
          </m:r>
          <m:d>
            <m:dPr>
              <m:begChr m:val="⌈"/>
              <m:sepChr m:val=""/>
              <m:endChr m:val="⌉"/>
              <m:grow/>
            </m:dPr>
            <m:e>
              <m:f>
                <m:fPr>
                  <m:type m:val="bar"/>
                </m:fPr>
                <m:num>
                  <m:r>
                    <m:t>1</m:t>
                  </m:r>
                  <m:r>
                    <m:t> </m:t>
                  </m:r>
                  <m:r>
                    <m:t>914.7</m:t>
                  </m:r>
                </m:num>
                <m:den>
                  <m:r>
                    <m:t>585</m:t>
                  </m:r>
                </m:den>
              </m:f>
            </m:e>
          </m:d>
          <m:r>
            <m:rPr>
              <m:sty m:val="p"/>
            </m:rPr>
            <m:t>=</m:t>
          </m:r>
          <m:r>
            <m:t>4</m:t>
          </m:r>
        </m:oMath>
      </m:oMathPara>
    </w:p>
    <w:p>
      <w:pPr>
        <w:pStyle w:val="FirstParagraph"/>
      </w:pPr>
      <w:r>
        <w:rPr>
          <w:b/>
          <w:bCs/>
        </w:rPr>
        <w:t xml:space="preserve">Table 6.6: Aluminium sheet requirement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Measure</w:t>
            </w:r>
          </w:p>
        </w:tc>
        <w:tc>
          <w:tcPr/>
          <w:p>
            <w:pPr>
              <w:pStyle w:val="Compact"/>
            </w:pPr>
            <w:r>
              <w:t xml:space="preserve">Heads</w:t>
            </w:r>
          </w:p>
        </w:tc>
        <w:tc>
          <w:tcPr/>
          <w:p>
            <w:pPr>
              <w:pStyle w:val="Compact"/>
            </w:pPr>
            <w:r>
              <w:t xml:space="preserve">Hinges</w:t>
            </w:r>
          </w:p>
        </w:tc>
        <w:tc>
          <w:tcPr/>
          <w:p>
            <w:pPr>
              <w:pStyle w:val="Compact"/>
            </w:pPr>
            <w:r>
              <w:t xml:space="preserve">Unit</w:t>
            </w:r>
          </w:p>
        </w:tc>
        <w:tc>
          <w:tcPr/>
          <w:p>
            <w:pPr>
              <w:pStyle w:val="Compact"/>
            </w:pPr>
            <w:r>
              <w:t xml:space="preserve">Basis / Source</w:t>
            </w:r>
          </w:p>
        </w:tc>
      </w:tr>
      <w:tr>
        <w:tc>
          <w:tcPr/>
          <w:p>
            <w:pPr>
              <w:pStyle w:val="Compact"/>
            </w:pPr>
            <w:r>
              <w:t xml:space="preserve">Blank size</w:t>
            </w:r>
          </w:p>
        </w:tc>
        <w:tc>
          <w:tcPr/>
          <w:p>
            <w:pPr>
              <w:pStyle w:val="Compact"/>
            </w:pPr>
            <w:r>
              <w:t xml:space="preserve">0.17 × 0.14</w:t>
            </w:r>
          </w:p>
        </w:tc>
        <w:tc>
          <w:tcPr/>
          <w:p>
            <w:pPr>
              <w:pStyle w:val="Compact"/>
            </w:pPr>
            <w:r>
              <w:t xml:space="preserve">0.08 × 0.05</w:t>
            </w:r>
          </w:p>
        </w:tc>
        <w:tc>
          <w:tcPr/>
          <w:p>
            <w:pPr>
              <w:pStyle w:val="Compact"/>
            </w:pPr>
            <w:r>
              <w:t xml:space="preserve">m</w:t>
            </w:r>
          </w:p>
        </w:tc>
        <w:tc>
          <w:tcPr/>
          <w:p>
            <w:pPr>
              <w:pStyle w:val="Compact"/>
            </w:pPr>
            <w:r>
              <w:t xml:space="preserve">Forming-allowance assumptions (die design)</w:t>
            </w:r>
          </w:p>
        </w:tc>
      </w:tr>
      <w:tr>
        <w:tc>
          <w:tcPr/>
          <w:p>
            <w:pPr>
              <w:pStyle w:val="Compact"/>
            </w:pPr>
            <w:r>
              <w:t xml:space="preserve">Gross parts per day</w:t>
            </w:r>
          </w:p>
        </w:tc>
        <w:tc>
          <w:tcPr/>
          <w:p>
            <w:pPr>
              <w:pStyle w:val="Compact"/>
            </w:pPr>
            <w:r>
              <w:t xml:space="preserve">1 915</w:t>
            </w:r>
          </w:p>
        </w:tc>
        <w:tc>
          <w:tcPr/>
          <w:p>
            <w:pPr>
              <w:pStyle w:val="Compact"/>
            </w:pPr>
            <w:r>
              <w:t xml:space="preserve">1 915</w:t>
            </w:r>
          </w:p>
        </w:tc>
        <w:tc>
          <w:tcPr/>
          <w:p>
            <w:pPr>
              <w:pStyle w:val="Compact"/>
            </w:pPr>
            <w:r>
              <w:t xml:space="preserve">parts/day</w:t>
            </w:r>
          </w:p>
        </w:tc>
        <w:tc>
          <w:tcPr/>
          <w:p>
            <w:pPr>
              <w:pStyle w:val="Compact"/>
            </w:pPr>
            <w:r>
              <w:t xml:space="preserve">Table 6.2 (5 % stamping scrap)</w:t>
            </w:r>
          </w:p>
        </w:tc>
      </w:tr>
      <w:tr>
        <w:tc>
          <w:tcPr/>
          <w:p>
            <w:pPr>
              <w:pStyle w:val="Compact"/>
            </w:pPr>
            <w:r>
              <w:t xml:space="preserve">Parts nested per sheet</w:t>
            </w:r>
          </w:p>
        </w:tc>
        <w:tc>
          <w:tcPr/>
          <w:p>
            <w:pPr>
              <w:pStyle w:val="Compact"/>
            </w:pPr>
            <w:r>
              <w:t xml:space="preserve">98</w:t>
            </w:r>
          </w:p>
        </w:tc>
        <w:tc>
          <w:tcPr/>
          <w:p>
            <w:pPr>
              <w:pStyle w:val="Compact"/>
            </w:pPr>
            <w:r>
              <w:t xml:space="preserve">585</w:t>
            </w:r>
          </w:p>
        </w:tc>
        <w:tc>
          <w:tcPr/>
          <w:p>
            <w:pPr>
              <w:pStyle w:val="Compact"/>
            </w:pPr>
            <w:r>
              <w:t xml:space="preserve">parts</w:t>
            </w:r>
          </w:p>
        </w:tc>
        <w:tc>
          <w:tcPr/>
          <w:p>
            <w:pPr>
              <w:pStyle w:val="Compact"/>
            </w:pPr>
            <w:r>
              <w:t xml:space="preserve">Equation 6.6 (75 % nesting)</w:t>
            </w:r>
          </w:p>
        </w:tc>
      </w:tr>
      <w:tr>
        <w:tc>
          <w:tcPr/>
          <w:p>
            <w:pPr>
              <w:pStyle w:val="Compact"/>
            </w:pPr>
            <w:r>
              <w:t xml:space="preserve">Sheets per day</w:t>
            </w:r>
          </w:p>
        </w:tc>
        <w:tc>
          <w:tcPr/>
          <w:p>
            <w:pPr>
              <w:pStyle w:val="Compact"/>
            </w:pPr>
            <w:r>
              <w:t xml:space="preserve">20</w:t>
            </w:r>
          </w:p>
        </w:tc>
        <w:tc>
          <w:tcPr/>
          <w:p>
            <w:pPr>
              <w:pStyle w:val="Compact"/>
            </w:pPr>
            <w:r>
              <w:t xml:space="preserve">4</w:t>
            </w:r>
          </w:p>
        </w:tc>
        <w:tc>
          <w:tcPr/>
          <w:p>
            <w:pPr>
              <w:pStyle w:val="Compact"/>
            </w:pPr>
            <w:r>
              <w:t xml:space="preserve">sheets/day</w:t>
            </w:r>
          </w:p>
        </w:tc>
        <w:tc>
          <w:tcPr/>
          <w:p>
            <w:pPr>
              <w:pStyle w:val="Compact"/>
            </w:pPr>
            <w:r>
              <w:t xml:space="preserve">Equation 6.7</w:t>
            </w:r>
          </w:p>
        </w:tc>
      </w:tr>
      <w:tr>
        <w:tc>
          <w:tcPr/>
          <w:p>
            <w:pPr>
              <w:pStyle w:val="Compact"/>
            </w:pPr>
            <w:r>
              <w:t xml:space="preserve">Total sheets per day</w:t>
            </w:r>
          </w:p>
        </w:tc>
        <w:tc>
          <w:tcPr/>
          <w:p>
            <w:pPr>
              <w:pStyle w:val="Compact"/>
            </w:pPr>
            <w:r>
              <w:t xml:space="preserve">24</w:t>
            </w:r>
          </w:p>
        </w:tc>
        <w:tc>
          <w:tcPr/>
          <w:p>
            <w:pPr>
              <w:pStyle w:val="Compact"/>
            </w:pPr>
          </w:p>
        </w:tc>
        <w:tc>
          <w:tcPr/>
          <w:p>
            <w:pPr>
              <w:pStyle w:val="Compact"/>
            </w:pPr>
            <w:r>
              <w:t xml:space="preserve">sheets/day</w:t>
            </w:r>
          </w:p>
        </w:tc>
        <w:tc>
          <w:tcPr/>
          <w:p>
            <w:pPr>
              <w:pStyle w:val="Compact"/>
            </w:pPr>
            <w:r>
              <w:t xml:space="preserve">Heads + hinges</w:t>
            </w:r>
          </w:p>
        </w:tc>
      </w:tr>
      <w:tr>
        <w:tc>
          <w:tcPr/>
          <w:p>
            <w:pPr>
              <w:pStyle w:val="Compact"/>
            </w:pPr>
            <w:r>
              <w:t xml:space="preserve">Sheets for 2-week cover</w:t>
            </w:r>
          </w:p>
        </w:tc>
        <w:tc>
          <w:tcPr/>
          <w:p>
            <w:pPr>
              <w:pStyle w:val="Compact"/>
            </w:pPr>
            <w:r>
              <w:t xml:space="preserve">240</w:t>
            </w:r>
          </w:p>
        </w:tc>
        <w:tc>
          <w:tcPr/>
          <w:p>
            <w:pPr>
              <w:pStyle w:val="Compact"/>
            </w:pPr>
          </w:p>
        </w:tc>
        <w:tc>
          <w:tcPr/>
          <w:p>
            <w:pPr>
              <w:pStyle w:val="Compact"/>
            </w:pPr>
            <w:r>
              <w:t xml:space="preserve">sheets</w:t>
            </w:r>
          </w:p>
        </w:tc>
        <w:tc>
          <w:tcPr/>
          <w:p>
            <w:pPr>
              <w:pStyle w:val="Compact"/>
            </w:pPr>
            <w:r>
              <w:t xml:space="preserve">24 × 10 working days</w:t>
            </w:r>
          </w:p>
        </w:tc>
      </w:tr>
    </w:tbl>
    <w:bookmarkEnd w:id="14"/>
    <w:bookmarkStart w:id="15" w:name="two-week-raw-material-stockholding"/>
    <w:p>
      <w:pPr>
        <w:pStyle w:val="Heading3"/>
      </w:pPr>
      <w:r>
        <w:t xml:space="preserve">Two-week raw-material stockholding</w:t>
      </w:r>
    </w:p>
    <w:p>
      <w:pPr>
        <w:pStyle w:val="FirstParagraph"/>
      </w:pPr>
      <w:r>
        <w:rPr>
          <w:b/>
          <w:bCs/>
        </w:rPr>
        <w:t xml:space="preserve">Equation 6.8: Two-week raw-material stock</w:t>
      </w:r>
    </w:p>
    <w:p>
      <w:pPr>
        <w:pStyle w:val="BodyText"/>
      </w:pPr>
      <m:oMathPara>
        <m:oMathParaPr>
          <m:jc m:val="center"/>
        </m:oMathParaPr>
        <m:oMath>
          <m:r>
            <m:rPr>
              <m:nor/>
              <m:sty m:val="p"/>
            </m:rPr>
            <m:t>Stock</m:t>
          </m:r>
          <m:r>
            <m:rPr>
              <m:sty m:val="p"/>
            </m:rPr>
            <m:t>=</m:t>
          </m:r>
          <m:r>
            <m:rPr>
              <m:nor/>
              <m:sty m:val="p"/>
            </m:rPr>
            <m:t>Daily requirement</m:t>
          </m:r>
          <m:r>
            <m:rPr>
              <m:sty m:val="p"/>
            </m:rPr>
            <m:t>×</m:t>
          </m:r>
          <m:r>
            <m:t>10</m:t>
          </m:r>
          <m:r>
            <m:t> </m:t>
          </m:r>
          <m:r>
            <m:rPr>
              <m:nor/>
              <m:sty m:val="p"/>
            </m:rPr>
            <m:t>working days</m:t>
          </m:r>
        </m:oMath>
      </m:oMathPara>
    </w:p>
    <w:p>
      <w:pPr>
        <w:pStyle w:val="FirstParagraph"/>
      </w:pPr>
      <w:r>
        <w:rPr>
          <w:b/>
          <w:bCs/>
        </w:rPr>
        <w:t xml:space="preserve">Table 6.7: Two-week raw-material requirement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Raw material</w:t>
            </w:r>
          </w:p>
        </w:tc>
        <w:tc>
          <w:tcPr/>
          <w:p>
            <w:pPr>
              <w:pStyle w:val="Compact"/>
            </w:pPr>
            <w:r>
              <w:t xml:space="preserve">Daily requirement</w:t>
            </w:r>
          </w:p>
        </w:tc>
        <w:tc>
          <w:tcPr/>
          <w:p>
            <w:pPr>
              <w:pStyle w:val="Compact"/>
            </w:pPr>
            <w:r>
              <w:t xml:space="preserve">2-week stock</w:t>
            </w:r>
          </w:p>
        </w:tc>
        <w:tc>
          <w:tcPr/>
          <w:p>
            <w:pPr>
              <w:pStyle w:val="Compact"/>
            </w:pPr>
            <w:r>
              <w:t xml:space="preserve">Unit</w:t>
            </w:r>
          </w:p>
        </w:tc>
        <w:tc>
          <w:tcPr/>
          <w:p>
            <w:pPr>
              <w:pStyle w:val="Compact"/>
            </w:pPr>
            <w:r>
              <w:t xml:space="preserve">Basis / Source</w:t>
            </w:r>
          </w:p>
        </w:tc>
      </w:tr>
      <w:tr>
        <w:tc>
          <w:tcPr/>
          <w:p>
            <w:pPr>
              <w:pStyle w:val="Compact"/>
            </w:pPr>
            <w:r>
              <w:t xml:space="preserve">Aluminium tube (6 m, Ø31.70 × 3.18 mm)</w:t>
            </w:r>
          </w:p>
        </w:tc>
        <w:tc>
          <w:tcPr/>
          <w:p>
            <w:pPr>
              <w:pStyle w:val="Compact"/>
            </w:pPr>
            <w:r>
              <w:t xml:space="preserve">99</w:t>
            </w:r>
          </w:p>
        </w:tc>
        <w:tc>
          <w:tcPr/>
          <w:p>
            <w:pPr>
              <w:pStyle w:val="Compact"/>
            </w:pPr>
            <w:r>
              <w:t xml:space="preserve">990</w:t>
            </w:r>
          </w:p>
        </w:tc>
        <w:tc>
          <w:tcPr/>
          <w:p>
            <w:pPr>
              <w:pStyle w:val="Compact"/>
            </w:pPr>
            <w:r>
              <w:t xml:space="preserve">tubes</w:t>
            </w:r>
          </w:p>
        </w:tc>
        <w:tc>
          <w:tcPr/>
          <w:p>
            <w:pPr>
              <w:pStyle w:val="Compact"/>
            </w:pPr>
            <w:r>
              <w:t xml:space="preserve">Equation 6.8; Table 6.5</w:t>
            </w:r>
          </w:p>
        </w:tc>
      </w:tr>
      <w:tr>
        <w:tc>
          <w:tcPr/>
          <w:p>
            <w:pPr>
              <w:pStyle w:val="Compact"/>
            </w:pPr>
            <w:r>
              <w:t xml:space="preserve">Aluminium sheet (2 500 × 1 250 × 2.5 mm)</w:t>
            </w:r>
          </w:p>
        </w:tc>
        <w:tc>
          <w:tcPr/>
          <w:p>
            <w:pPr>
              <w:pStyle w:val="Compact"/>
            </w:pPr>
            <w:r>
              <w:t xml:space="preserve">24</w:t>
            </w:r>
          </w:p>
        </w:tc>
        <w:tc>
          <w:tcPr/>
          <w:p>
            <w:pPr>
              <w:pStyle w:val="Compact"/>
            </w:pPr>
            <w:r>
              <w:t xml:space="preserve">240</w:t>
            </w:r>
          </w:p>
        </w:tc>
        <w:tc>
          <w:tcPr/>
          <w:p>
            <w:pPr>
              <w:pStyle w:val="Compact"/>
            </w:pPr>
            <w:r>
              <w:t xml:space="preserve">sheets</w:t>
            </w:r>
          </w:p>
        </w:tc>
        <w:tc>
          <w:tcPr/>
          <w:p>
            <w:pPr>
              <w:pStyle w:val="Compact"/>
            </w:pPr>
            <w:r>
              <w:t xml:space="preserve">Equation 6.8; Table 6.6</w:t>
            </w:r>
          </w:p>
        </w:tc>
      </w:tr>
      <w:tr>
        <w:tc>
          <w:tcPr/>
          <w:p>
            <w:pPr>
              <w:pStyle w:val="Compact"/>
            </w:pPr>
            <w:r>
              <w:t xml:space="preserve">Packaging bags</w:t>
            </w:r>
          </w:p>
        </w:tc>
        <w:tc>
          <w:tcPr/>
          <w:p>
            <w:pPr>
              <w:pStyle w:val="Compact"/>
            </w:pPr>
            <w:r>
              <w:t xml:space="preserve">1 819</w:t>
            </w:r>
          </w:p>
        </w:tc>
        <w:tc>
          <w:tcPr/>
          <w:p>
            <w:pPr>
              <w:pStyle w:val="Compact"/>
            </w:pPr>
            <w:r>
              <w:t xml:space="preserve">18 190</w:t>
            </w:r>
          </w:p>
        </w:tc>
        <w:tc>
          <w:tcPr/>
          <w:p>
            <w:pPr>
              <w:pStyle w:val="Compact"/>
            </w:pPr>
            <w:r>
              <w:t xml:space="preserve">bags</w:t>
            </w:r>
          </w:p>
        </w:tc>
        <w:tc>
          <w:tcPr/>
          <w:p>
            <w:pPr>
              <w:pStyle w:val="Compact"/>
            </w:pPr>
            <w:r>
              <w:t xml:space="preserve">1 per shovel; 2-week cover applied to bought-out items (assumption; purchasing policy to confirm)</w:t>
            </w:r>
          </w:p>
        </w:tc>
      </w:tr>
      <w:tr>
        <w:tc>
          <w:tcPr/>
          <w:p>
            <w:pPr>
              <w:pStyle w:val="Compact"/>
            </w:pPr>
            <w:r>
              <w:t xml:space="preserve">Rivets</w:t>
            </w:r>
          </w:p>
        </w:tc>
        <w:tc>
          <w:tcPr/>
          <w:p>
            <w:pPr>
              <w:pStyle w:val="Compact"/>
            </w:pPr>
            <w:r>
              <w:t xml:space="preserve">3 638</w:t>
            </w:r>
          </w:p>
        </w:tc>
        <w:tc>
          <w:tcPr/>
          <w:p>
            <w:pPr>
              <w:pStyle w:val="Compact"/>
            </w:pPr>
            <w:r>
              <w:t xml:space="preserve">36 380</w:t>
            </w:r>
          </w:p>
        </w:tc>
        <w:tc>
          <w:tcPr/>
          <w:p>
            <w:pPr>
              <w:pStyle w:val="Compact"/>
            </w:pPr>
            <w:r>
              <w:t xml:space="preserve">rivets</w:t>
            </w:r>
          </w:p>
        </w:tc>
        <w:tc>
          <w:tcPr/>
          <w:p>
            <w:pPr>
              <w:pStyle w:val="Compact"/>
            </w:pPr>
            <w:r>
              <w:t xml:space="preserve">2 per shovel (assumed) [VERIFY count]</w:t>
            </w:r>
          </w:p>
        </w:tc>
      </w:tr>
    </w:tbl>
    <w:p>
      <w:pPr>
        <w:pStyle w:val="BodyText"/>
      </w:pPr>
      <w:r>
        <w:rPr>
          <w:i/>
          <w:iCs/>
        </w:rPr>
        <w:t xml:space="preserve">The workbook expresses total raw-material inventory as 18 190 shovel-equivalents; Table 6.7 expresses the same cover in purchasable units, which is the form required for storage and receiving design.</w:t>
      </w:r>
    </w:p>
    <w:bookmarkEnd w:id="15"/>
    <w:bookmarkStart w:id="16" w:name="key-findings-and-layout-implications-1"/>
    <w:p>
      <w:pPr>
        <w:pStyle w:val="Heading3"/>
      </w:pPr>
      <w:r>
        <w:t xml:space="preserve">Key Findings and Layout Implications</w:t>
      </w:r>
    </w:p>
    <w:p>
      <w:pPr>
        <w:pStyle w:val="FirstParagraph"/>
      </w:pPr>
      <w:r>
        <w:t xml:space="preserve">The two-week stockholding translates into physically dissimilar storage problems, which is why §6.6 treats them separately: 990 six-metre tubes require horizontal cantilever racking with long-side access for a forklift or side-loader, whereas 240 sheets stack compactly on pallets or in a sheet rack beside the stamping presses; bags and rivets are small-volume items suited to shelf storage at the packaging and riveting workstations respectively. Both metal stores should sit adjacent to receiving and feed directly into their respective process streams — tubes to the cutting saw, sheets to the presses — preserving the split flow established in §6.1 and avoiding cross-traffic at the head of the line. The daily replenishment burden is modest (99 tubes and 24 sheets per day, equivalent to roughly two to three consolidated deliveries per week if suppliers deliver in multi-day lots; cadence per supplier agreement), so receiving capacity is governed by unit-load handling and finished-goods dispatch rather than raw-material volume. Two assumptions materially affect these quantities and are carried as verification items: the 2.5 mm kerf (a narrower blade raises tube yield back towards 40 sections), and the 75 % nesting efficiency, which drives the sheet count almost linearly and must be confirmed against the progressive-die layout selected in §6.3.5–6.3.6. Neither changes the order of magnitude of the storage area, but both must be settled before racking is finalised in §6.6.</w:t>
      </w:r>
    </w:p>
    <w:p>
      <w:pPr>
        <w:pStyle w:val="BodyText"/>
      </w:pPr>
      <w:r>
        <w:rPr>
          <w:b/>
          <w:bCs/>
        </w:rPr>
        <w:t xml:space="preserve">Figure 6.3: Split-flow diagram for tube and sheet processing — the two streams run in parallel, the sheet parts converge at riveting, and the streams converge only at final assembly. (Author’s own.)</w:t>
      </w:r>
    </w:p>
    <w:bookmarkEnd w:id="16"/>
    <w:bookmarkEnd w:id="17"/>
    <w:bookmarkStart w:id="47" w:name="manufacturing-processes-and-workstations"/>
    <w:p>
      <w:pPr>
        <w:pStyle w:val="Heading2"/>
      </w:pPr>
      <w:r>
        <w:t xml:space="preserve">6.3 Manufacturing Processes and Workstations</w:t>
      </w:r>
    </w:p>
    <w:p>
      <w:pPr>
        <w:pStyle w:val="FirstParagraph"/>
      </w:pPr>
      <w:r>
        <w:t xml:space="preserve">This section specifies each manufacturing process, the equipment type selected for it, and the workstation concept that the layout must accommodate. Machine and operator counts are stated per process and derived formally in §6.4; the workbook allocates 6 m² per standard workstation including operator space, an assumption tested against actual equipment footprints as each process is detailed. Equipment named below is a</w:t>
      </w:r>
      <w:r>
        <w:t xml:space="preserve"> </w:t>
      </w:r>
      <w:r>
        <w:rPr>
          <w:b/>
          <w:bCs/>
        </w:rPr>
        <w:t xml:space="preserve">market example used for sizing, workstation design and illustration only</w:t>
      </w:r>
      <w:r>
        <w:t xml:space="preserve"> </w:t>
      </w:r>
      <w:r>
        <w:t xml:space="preserve">— final selection requires supplier quotations, confirmed throughput, verified dimensions, safety clearances and cost confirmation. Subsections 6.3.1–6.3.4 cover the tube stream; 6.3.5 onwards cover the sheet stream, finishing and assembly.</w:t>
      </w:r>
    </w:p>
    <w:bookmarkStart w:id="22" w:name="tube-cutting"/>
    <w:p>
      <w:pPr>
        <w:pStyle w:val="Heading3"/>
      </w:pPr>
      <w:r>
        <w:t xml:space="preserve">6.3.1 Tube Cutting</w:t>
      </w:r>
    </w:p>
    <w:p>
      <w:pPr>
        <w:pStyle w:val="FirstParagraph"/>
      </w:pPr>
      <w:r>
        <w:rPr>
          <w:b/>
          <w:bCs/>
        </w:rPr>
        <w:t xml:space="preserve">Process description.</w:t>
      </w:r>
      <w:r>
        <w:t xml:space="preserve"> </w:t>
      </w:r>
      <w:r>
        <w:t xml:space="preserve">Six-metre aluminium stock tubes are cut into 150 mm handle sections at 15 s per cut. This is the head of the tube stream and one of only two scrap-generating operations (5 % allowance), so the saw must deliver the gross rate of 3 830 tube sections/day (Equation 6.3).</w:t>
      </w:r>
    </w:p>
    <w:p>
      <w:pPr>
        <w:pStyle w:val="BodyText"/>
      </w:pPr>
      <w:r>
        <w:rPr>
          <w:b/>
          <w:bCs/>
        </w:rPr>
        <w:t xml:space="preserve">Machine selection and justification.</w:t>
      </w:r>
      <w:r>
        <w:t xml:space="preserve"> </w:t>
      </w:r>
      <w:r>
        <w:t xml:space="preserve">A fully automatic non-ferrous circular saw with powered bar feed is selected because the cut is short, highly repetitive (≈ 3 830 cycles/day) and dimensionally simple, which favours automatic feeding and cut-to-length control over manual sawing; automatic feeding also removes the operator from the blade area. Machines of this class accept full 6 m bars, position the stock by servo feed and cut to programmed length. A representative example is the ProfiFeed A420 fully automatic aluminium saw (bar feeding, cut-to-length, servo positioning, CE-guarded) (ProfiFeed Technologies, n.d.). Bundle cutting (several tubes per stroke) is available on machines of this class and is the principal lever for relieving this station’s near-full utilisation; the base plan conservatively assumes one tube per cut.</w:t>
      </w:r>
    </w:p>
    <w:p>
      <w:pPr>
        <w:pStyle w:val="BodyText"/>
      </w:pPr>
      <w:r>
        <w:rPr>
          <w:b/>
          <w:bCs/>
        </w:rPr>
        <w:t xml:space="preserve">Machine specifications (Table 6.8).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Basis / Source</w:t>
            </w:r>
          </w:p>
        </w:tc>
      </w:tr>
      <w:tr>
        <w:tc>
          <w:tcPr/>
          <w:p>
            <w:pPr>
              <w:pStyle w:val="Compact"/>
            </w:pPr>
            <w:r>
              <w:t xml:space="preserve">Equipment type</w:t>
            </w:r>
          </w:p>
        </w:tc>
        <w:tc>
          <w:tcPr/>
          <w:p>
            <w:pPr>
              <w:pStyle w:val="Compact"/>
            </w:pPr>
            <w:r>
              <w:t xml:space="preserve">Automatic non-ferrous circular saw with bar feed</w:t>
            </w:r>
          </w:p>
        </w:tc>
        <w:tc>
          <w:tcPr/>
          <w:p>
            <w:pPr>
              <w:pStyle w:val="Compact"/>
            </w:pPr>
            <w:r>
              <w:t xml:space="preserve">Process requirement; market example: ProfiFeed A420</w:t>
            </w:r>
          </w:p>
        </w:tc>
      </w:tr>
      <w:tr>
        <w:tc>
          <w:tcPr/>
          <w:p>
            <w:pPr>
              <w:pStyle w:val="Compact"/>
            </w:pPr>
            <w:r>
              <w:t xml:space="preserve">Cycle time</w:t>
            </w:r>
          </w:p>
        </w:tc>
        <w:tc>
          <w:tcPr/>
          <w:p>
            <w:pPr>
              <w:pStyle w:val="Compact"/>
            </w:pPr>
            <w:r>
              <w:t xml:space="preserve">15 s/cut</w:t>
            </w:r>
          </w:p>
        </w:tc>
        <w:tc>
          <w:tcPr/>
          <w:p>
            <w:pPr>
              <w:pStyle w:val="Compact"/>
            </w:pPr>
            <w:r>
              <w:t xml:space="preserve">Brief</w:t>
            </w:r>
          </w:p>
        </w:tc>
      </w:tr>
      <w:tr>
        <w:tc>
          <w:tcPr/>
          <w:p>
            <w:pPr>
              <w:pStyle w:val="Compact"/>
            </w:pPr>
            <w:r>
              <w:t xml:space="preserve">Daily throughput required</w:t>
            </w:r>
          </w:p>
        </w:tc>
        <w:tc>
          <w:tcPr/>
          <w:p>
            <w:pPr>
              <w:pStyle w:val="Compact"/>
            </w:pPr>
            <w:r>
              <w:t xml:space="preserve">3 830 tube sections/day</w:t>
            </w:r>
          </w:p>
        </w:tc>
        <w:tc>
          <w:tcPr/>
          <w:p>
            <w:pPr>
              <w:pStyle w:val="Compact"/>
            </w:pPr>
            <w:r>
              <w:t xml:space="preserve">Equation 6.3</w:t>
            </w:r>
          </w:p>
        </w:tc>
      </w:tr>
      <w:tr>
        <w:tc>
          <w:tcPr/>
          <w:p>
            <w:pPr>
              <w:pStyle w:val="Compact"/>
            </w:pPr>
            <w:r>
              <w:t xml:space="preserve">Machines required</w:t>
            </w:r>
          </w:p>
        </w:tc>
        <w:tc>
          <w:tcPr/>
          <w:p>
            <w:pPr>
              <w:pStyle w:val="Compact"/>
            </w:pPr>
            <w:r>
              <w:t xml:space="preserve">2 (utilisation 99.7 %)</w:t>
            </w:r>
          </w:p>
        </w:tc>
        <w:tc>
          <w:tcPr/>
          <w:p>
            <w:pPr>
              <w:pStyle w:val="Compact"/>
            </w:pPr>
            <w:r>
              <w:t xml:space="preserve">§6.4</w:t>
            </w:r>
          </w:p>
        </w:tc>
      </w:tr>
      <w:tr>
        <w:tc>
          <w:tcPr/>
          <w:p>
            <w:pPr>
              <w:pStyle w:val="Compact"/>
            </w:pPr>
            <w:r>
              <w:t xml:space="preserve">Operators</w:t>
            </w:r>
          </w:p>
        </w:tc>
        <w:tc>
          <w:tcPr/>
          <w:p>
            <w:pPr>
              <w:pStyle w:val="Compact"/>
            </w:pPr>
            <w:r>
              <w:t xml:space="preserve">2 (1 per machine)</w:t>
            </w:r>
          </w:p>
        </w:tc>
        <w:tc>
          <w:tcPr/>
          <w:p>
            <w:pPr>
              <w:pStyle w:val="Compact"/>
            </w:pPr>
            <w:r>
              <w:t xml:space="preserve">Workbook (1:1 baseline)</w:t>
            </w:r>
          </w:p>
        </w:tc>
      </w:tr>
      <w:tr>
        <w:tc>
          <w:tcPr/>
          <w:p>
            <w:pPr>
              <w:pStyle w:val="Compact"/>
            </w:pPr>
            <w:r>
              <w:t xml:space="preserve">Dimensions / power</w:t>
            </w:r>
          </w:p>
        </w:tc>
        <w:tc>
          <w:tcPr/>
          <w:p>
            <w:pPr>
              <w:pStyle w:val="Compact"/>
            </w:pPr>
            <w:r>
              <w:t xml:space="preserve">Per supplier datasheet (quotation)</w:t>
            </w:r>
          </w:p>
        </w:tc>
        <w:tc>
          <w:tcPr/>
          <w:p>
            <w:pPr>
              <w:pStyle w:val="Compact"/>
            </w:pPr>
            <w:r>
              <w:t xml:space="preserve">Not published on product page</w:t>
            </w:r>
          </w:p>
        </w:tc>
      </w:tr>
      <w:tr>
        <w:tc>
          <w:tcPr/>
          <w:p>
            <w:pPr>
              <w:pStyle w:val="Compact"/>
            </w:pPr>
            <w:r>
              <w:t xml:space="preserve">Infeed length</w:t>
            </w:r>
          </w:p>
        </w:tc>
        <w:tc>
          <w:tcPr/>
          <w:p>
            <w:pPr>
              <w:pStyle w:val="Compact"/>
            </w:pPr>
            <w:r>
              <w:t xml:space="preserve">≥ 6 m bar magazine</w:t>
            </w:r>
          </w:p>
        </w:tc>
        <w:tc>
          <w:tcPr/>
          <w:p>
            <w:pPr>
              <w:pStyle w:val="Compact"/>
            </w:pPr>
            <w:r>
              <w:t xml:space="preserve">Stock length (implication for footprint)</w:t>
            </w:r>
          </w:p>
        </w:tc>
      </w:tr>
    </w:tbl>
    <w:p>
      <w:pPr>
        <w:pStyle w:val="BodyText"/>
      </w:pPr>
      <w:r>
        <w:rPr>
          <w:b/>
          <w:bCs/>
        </w:rPr>
        <w:t xml:space="preserve">Workstation concept.</w:t>
      </w:r>
      <w:r>
        <w:t xml:space="preserve"> </w:t>
      </w:r>
      <w:r>
        <w:t xml:space="preserve">The operator loads 6 m tubes from the adjacent cantilever rack onto the bar magazine, monitors the automatic cycle, and clears cut sections into WIP bins; scrap offcuts and the 5 % rejects drop to a scrap bin at the outfeed. The 6 m²/workstation allowance in the workbook materially understates this station: with a 6 m infeed magazine plus saw body and operator aisle, the realistic footprint is an 8–10 m strip per saw. This is flagged as a correction to the space model in §6.8 [VERIFY against selected machine].</w:t>
      </w:r>
    </w:p>
    <w:p>
      <w:pPr>
        <w:pStyle w:val="BodyText"/>
      </w:pPr>
      <w:r>
        <w:drawing>
          <wp:inline>
            <wp:extent cx="5399999" cy="3387272"/>
            <wp:effectExtent b="0" l="0" r="0" t="0"/>
            <wp:docPr descr="" title="" id="19" name="Picture"/>
            <a:graphic>
              <a:graphicData uri="http://schemas.openxmlformats.org/drawingml/2006/picture">
                <pic:pic>
                  <pic:nvPicPr>
                    <pic:cNvPr descr="C01_tube_cutting.svg" id="20" name="Picture"/>
                    <pic:cNvPicPr>
                      <a:picLocks noChangeArrowheads="1"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399999" cy="3387272"/>
                    </a:xfrm>
                    <a:prstGeom prst="rect">
                      <a:avLst/>
                    </a:prstGeom>
                    <a:noFill/>
                    <a:ln w="9525">
                      <a:noFill/>
                      <a:headEnd/>
                      <a:tailEnd/>
                    </a:ln>
                  </pic:spPr>
                </pic:pic>
              </a:graphicData>
            </a:graphic>
          </wp:inline>
        </w:drawing>
      </w:r>
    </w:p>
    <w:p>
      <w:pPr>
        <w:pStyle w:val="BodyText"/>
      </w:pPr>
      <w:r>
        <w:rPr>
          <w:b/>
          <w:bCs/>
        </w:rPr>
        <w:t xml:space="preserve">Figure 6.4: Conceptual tube-cutting workstation layout — cantilever-rack feed, bar magazine, automatic saw, operator aisle, WIP section bins and scrap bin. (Author’s own; machine proportions adapted from ProfiFeed Technologies, n.d.)</w:t>
      </w:r>
    </w:p>
    <w:p>
      <w:pPr>
        <w:pStyle w:val="BodyText"/>
      </w:pPr>
      <w:r>
        <w:rPr>
          <w:b/>
          <w:bCs/>
        </w:rPr>
        <w:t xml:space="preserve">Material handling.</w:t>
      </w:r>
      <w:r>
        <w:t xml:space="preserve"> </w:t>
      </w:r>
      <w:r>
        <w:t xml:space="preserve">Tubes arrive by forklift or side-loader from the raw-tube store in rack-length bundles; cut sections leave in wheeled WIP bins or tube carts to the threading and narrowing stations; the scrap bin is exchanged daily on the waste route.</w:t>
      </w:r>
    </w:p>
    <w:p>
      <w:pPr>
        <w:pStyle w:val="BodyText"/>
      </w:pPr>
      <w:r>
        <w:rPr>
          <w:b/>
          <w:bCs/>
        </w:rPr>
        <w:t xml:space="preserve">Layout implications.</w:t>
      </w:r>
      <w:r>
        <w:t xml:space="preserve"> </w:t>
      </w:r>
      <w:r>
        <w:t xml:space="preserve">This station anchors the tube stream: it must sit directly against the raw-tube store with straight-line, long-load access (wide aisle, no tight turns for 6 m stock), generates scrap requiring a waste route, and feeds two downstream stations in parallel. Its long infeed dictates the orientation of the entire tube line along one building edge.</w:t>
      </w:r>
    </w:p>
    <w:p>
      <w:pPr>
        <w:pStyle w:val="BodyText"/>
      </w:pPr>
      <w:r>
        <w:rPr>
          <w:i/>
          <w:iCs/>
        </w:rPr>
        <w:t xml:space="preserve">Detailed layout drawing and costed specification: Appendix C, Figure C.1 / Table C.1.</w:t>
      </w:r>
    </w:p>
    <w:bookmarkEnd w:id="22"/>
    <w:bookmarkStart w:id="23" w:name="internal-threading"/>
    <w:p>
      <w:pPr>
        <w:pStyle w:val="Heading3"/>
      </w:pPr>
      <w:r>
        <w:t xml:space="preserve">6.3.2 Internal Threading</w:t>
      </w:r>
    </w:p>
    <w:p>
      <w:pPr>
        <w:pStyle w:val="FirstParagraph"/>
      </w:pPr>
      <w:r>
        <w:rPr>
          <w:b/>
          <w:bCs/>
        </w:rPr>
        <w:t xml:space="preserve">Process description.</w:t>
      </w:r>
      <w:r>
        <w:t xml:space="preserve"> </w:t>
      </w:r>
      <w:r>
        <w:t xml:space="preserve">The middle handle section receives an internal thread (20 s per pipe) so that the externally threaded back handle can screw into it, forming the folding shovel’s two-piece handle. Input is the gross flow of cut sections allocated to middle handles, 1 915 pipes/day.</w:t>
      </w:r>
    </w:p>
    <w:p>
      <w:pPr>
        <w:pStyle w:val="BodyText"/>
      </w:pPr>
      <w:r>
        <w:rPr>
          <w:b/>
          <w:bCs/>
        </w:rPr>
        <w:t xml:space="preserve">Machine selection and justification.</w:t>
      </w:r>
      <w:r>
        <w:t xml:space="preserve"> </w:t>
      </w:r>
      <w:r>
        <w:t xml:space="preserve">A bench-mounted tapping machine with a torque-limited tapping head is selected: thread cutting in soft aluminium at this size is a low-force, short-cycle operation that does not justify CNC turning capacity, and an articulated or column tapping machine with a clutch-protected tap holder gives repeatable depth and protects taps at high daily volumes. A representative example is the Roscamat Tiger electric tapping machine, whose interchangeable speed modules cover threads up to M30 in aluminium with torque-limited quick-change tap holders (Cotswold Machinery Sales, n.d.). A dedicated fixture to clamp the Ø31.70 mm pipe is required; the thread specification follows the product design.</w:t>
      </w:r>
    </w:p>
    <w:p>
      <w:pPr>
        <w:pStyle w:val="BodyText"/>
      </w:pPr>
      <w:r>
        <w:rPr>
          <w:b/>
          <w:bCs/>
        </w:rPr>
        <w:t xml:space="preserve">Machine specifications (Table 6.9).</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Basis / Source</w:t>
            </w:r>
          </w:p>
        </w:tc>
      </w:tr>
      <w:tr>
        <w:tc>
          <w:tcPr/>
          <w:p>
            <w:pPr>
              <w:pStyle w:val="Compact"/>
            </w:pPr>
            <w:r>
              <w:t xml:space="preserve">Equipment type</w:t>
            </w:r>
          </w:p>
        </w:tc>
        <w:tc>
          <w:tcPr/>
          <w:p>
            <w:pPr>
              <w:pStyle w:val="Compact"/>
            </w:pPr>
            <w:r>
              <w:t xml:space="preserve">Electric tapping machine, torque-limited head</w:t>
            </w:r>
          </w:p>
        </w:tc>
        <w:tc>
          <w:tcPr/>
          <w:p>
            <w:pPr>
              <w:pStyle w:val="Compact"/>
            </w:pPr>
            <w:r>
              <w:t xml:space="preserve">Market example: Roscamat Tiger</w:t>
            </w:r>
          </w:p>
        </w:tc>
      </w:tr>
      <w:tr>
        <w:tc>
          <w:tcPr/>
          <w:p>
            <w:pPr>
              <w:pStyle w:val="Compact"/>
            </w:pPr>
            <w:r>
              <w:t xml:space="preserve">Thread capacity (aluminium)</w:t>
            </w:r>
          </w:p>
        </w:tc>
        <w:tc>
          <w:tcPr/>
          <w:p>
            <w:pPr>
              <w:pStyle w:val="Compact"/>
            </w:pPr>
            <w:r>
              <w:t xml:space="preserve">Up to M30</w:t>
            </w:r>
          </w:p>
        </w:tc>
        <w:tc>
          <w:tcPr/>
          <w:p>
            <w:pPr>
              <w:pStyle w:val="Compact"/>
            </w:pPr>
            <w:r>
              <w:t xml:space="preserve">Supplier specification table</w:t>
            </w:r>
          </w:p>
        </w:tc>
      </w:tr>
      <w:tr>
        <w:tc>
          <w:tcPr/>
          <w:p>
            <w:pPr>
              <w:pStyle w:val="Compact"/>
            </w:pPr>
            <w:r>
              <w:t xml:space="preserve">Working envelope</w:t>
            </w:r>
          </w:p>
        </w:tc>
        <w:tc>
          <w:tcPr/>
          <w:p>
            <w:pPr>
              <w:pStyle w:val="Compact"/>
            </w:pPr>
            <w:r>
              <w:t xml:space="preserve">1 020 mm radius</w:t>
            </w:r>
          </w:p>
        </w:tc>
        <w:tc>
          <w:tcPr/>
          <w:p>
            <w:pPr>
              <w:pStyle w:val="Compact"/>
            </w:pPr>
            <w:r>
              <w:t xml:space="preserve">Supplier specification table</w:t>
            </w:r>
          </w:p>
        </w:tc>
      </w:tr>
      <w:tr>
        <w:tc>
          <w:tcPr/>
          <w:p>
            <w:pPr>
              <w:pStyle w:val="Compact"/>
            </w:pPr>
            <w:r>
              <w:t xml:space="preserve">Cycle time</w:t>
            </w:r>
          </w:p>
        </w:tc>
        <w:tc>
          <w:tcPr/>
          <w:p>
            <w:pPr>
              <w:pStyle w:val="Compact"/>
            </w:pPr>
            <w:r>
              <w:t xml:space="preserve">20 s/pipe</w:t>
            </w:r>
          </w:p>
        </w:tc>
        <w:tc>
          <w:tcPr/>
          <w:p>
            <w:pPr>
              <w:pStyle w:val="Compact"/>
            </w:pPr>
            <w:r>
              <w:t xml:space="preserve">Brief</w:t>
            </w:r>
          </w:p>
        </w:tc>
      </w:tr>
      <w:tr>
        <w:tc>
          <w:tcPr/>
          <w:p>
            <w:pPr>
              <w:pStyle w:val="Compact"/>
            </w:pPr>
            <w:r>
              <w:t xml:space="preserve">Daily throughput required</w:t>
            </w:r>
          </w:p>
        </w:tc>
        <w:tc>
          <w:tcPr/>
          <w:p>
            <w:pPr>
              <w:pStyle w:val="Compact"/>
            </w:pPr>
            <w:r>
              <w:t xml:space="preserve">1 915 pipes/day</w:t>
            </w:r>
          </w:p>
        </w:tc>
        <w:tc>
          <w:tcPr/>
          <w:p>
            <w:pPr>
              <w:pStyle w:val="Compact"/>
            </w:pPr>
            <w:r>
              <w:t xml:space="preserve">Table 6.2 (middle handles, gross)</w:t>
            </w:r>
          </w:p>
        </w:tc>
      </w:tr>
      <w:tr>
        <w:tc>
          <w:tcPr/>
          <w:p>
            <w:pPr>
              <w:pStyle w:val="Compact"/>
            </w:pPr>
            <w:r>
              <w:t xml:space="preserve">Machines required</w:t>
            </w:r>
          </w:p>
        </w:tc>
        <w:tc>
          <w:tcPr/>
          <w:p>
            <w:pPr>
              <w:pStyle w:val="Compact"/>
            </w:pPr>
            <w:r>
              <w:t xml:space="preserve">2 (utilisation 66.5 %)</w:t>
            </w:r>
          </w:p>
        </w:tc>
        <w:tc>
          <w:tcPr/>
          <w:p>
            <w:pPr>
              <w:pStyle w:val="Compact"/>
            </w:pPr>
            <w:r>
              <w:t xml:space="preserve">§6.4</w:t>
            </w:r>
          </w:p>
        </w:tc>
      </w:tr>
      <w:tr>
        <w:tc>
          <w:tcPr/>
          <w:p>
            <w:pPr>
              <w:pStyle w:val="Compact"/>
            </w:pPr>
            <w:r>
              <w:t xml:space="preserve">Operators</w:t>
            </w:r>
          </w:p>
        </w:tc>
        <w:tc>
          <w:tcPr/>
          <w:p>
            <w:pPr>
              <w:pStyle w:val="Compact"/>
            </w:pPr>
            <w:r>
              <w:t xml:space="preserve">2</w:t>
            </w:r>
          </w:p>
        </w:tc>
        <w:tc>
          <w:tcPr/>
          <w:p>
            <w:pPr>
              <w:pStyle w:val="Compact"/>
            </w:pPr>
            <w:r>
              <w:t xml:space="preserve">Workbook (1:1)</w:t>
            </w:r>
          </w:p>
        </w:tc>
      </w:tr>
      <w:tr>
        <w:tc>
          <w:tcPr/>
          <w:p>
            <w:pPr>
              <w:pStyle w:val="Compact"/>
            </w:pPr>
            <w:r>
              <w:t xml:space="preserve">Power</w:t>
            </w:r>
          </w:p>
        </w:tc>
        <w:tc>
          <w:tcPr/>
          <w:p>
            <w:pPr>
              <w:pStyle w:val="Compact"/>
            </w:pPr>
            <w:r>
              <w:t xml:space="preserve">220 V single phase</w:t>
            </w:r>
          </w:p>
        </w:tc>
        <w:tc>
          <w:tcPr/>
          <w:p>
            <w:pPr>
              <w:pStyle w:val="Compact"/>
            </w:pPr>
            <w:r>
              <w:t xml:space="preserve">Supplier specification table</w:t>
            </w:r>
          </w:p>
        </w:tc>
      </w:tr>
    </w:tbl>
    <w:p>
      <w:pPr>
        <w:pStyle w:val="BodyText"/>
      </w:pPr>
      <w:r>
        <w:rPr>
          <w:b/>
          <w:bCs/>
        </w:rPr>
        <w:t xml:space="preserve">Workstation concept.</w:t>
      </w:r>
      <w:r>
        <w:t xml:space="preserve"> </w:t>
      </w:r>
      <w:r>
        <w:t xml:space="preserve">The operator clamps a pipe in the fixture, taps under power, and unloads to the WIP bin — a classic bench cell within the standard 6 m² allowance. WIP buffers sit before (cut sections) and after (threaded pipes); the 66.5 % utilisation provides slack that absorbs upstream saw interruptions.</w:t>
      </w:r>
    </w:p>
    <w:p>
      <w:pPr>
        <w:pStyle w:val="BodyText"/>
      </w:pPr>
      <w:r>
        <w:rPr>
          <w:b/>
          <w:bCs/>
        </w:rPr>
        <w:t xml:space="preserve">Material handling.</w:t>
      </w:r>
      <w:r>
        <w:t xml:space="preserve"> </w:t>
      </w:r>
      <w:r>
        <w:t xml:space="preserve">Cut sections arrive by tube cart from the saw outfeed; threaded pipes move by cart to powder-coating staging. No scrap stream (chips only, to a swarf bin).</w:t>
      </w:r>
    </w:p>
    <w:p>
      <w:pPr>
        <w:pStyle w:val="BodyText"/>
      </w:pPr>
      <w:r>
        <w:rPr>
          <w:b/>
          <w:bCs/>
        </w:rPr>
        <w:t xml:space="preserve">Layout implications.</w:t>
      </w:r>
      <w:r>
        <w:t xml:space="preserve"> </w:t>
      </w:r>
      <w:r>
        <w:t xml:space="preserve">Position immediately downstream of tube cutting, beside end narrowing (§6.3.3) so the two parallel handle routes stay visually paired and share WIP space. Chip extraction or swarf bins are needed but no special ventilation or separation.</w:t>
      </w:r>
    </w:p>
    <w:p>
      <w:pPr>
        <w:pStyle w:val="BodyText"/>
      </w:pPr>
      <w:r>
        <w:rPr>
          <w:i/>
          <w:iCs/>
        </w:rPr>
        <w:t xml:space="preserve">Detailed layout drawing and costed specification: Appendix C, Figure C.2 / Table C.2.</w:t>
      </w:r>
    </w:p>
    <w:bookmarkEnd w:id="23"/>
    <w:bookmarkStart w:id="24" w:name="end-narrowing"/>
    <w:p>
      <w:pPr>
        <w:pStyle w:val="Heading3"/>
      </w:pPr>
      <w:r>
        <w:t xml:space="preserve">6.3.3 End Narrowing</w:t>
      </w:r>
    </w:p>
    <w:p>
      <w:pPr>
        <w:pStyle w:val="FirstParagraph"/>
      </w:pPr>
      <w:r>
        <w:rPr>
          <w:b/>
          <w:bCs/>
        </w:rPr>
        <w:t xml:space="preserve">Process description.</w:t>
      </w:r>
      <w:r>
        <w:t xml:space="preserve"> </w:t>
      </w:r>
      <w:r>
        <w:t xml:space="preserve">One end of the back handle section is narrowed (stamped/swaged) at 5 s per pipe to form the grip end that will be knurled and externally threaded. Input is 1 915 pipes/day (back handles, gross).</w:t>
      </w:r>
    </w:p>
    <w:p>
      <w:pPr>
        <w:pStyle w:val="BodyText"/>
      </w:pPr>
      <w:r>
        <w:rPr>
          <w:b/>
          <w:bCs/>
        </w:rPr>
        <w:t xml:space="preserve">Machine selection and justification.</w:t>
      </w:r>
      <w:r>
        <w:t xml:space="preserve"> </w:t>
      </w:r>
      <w:r>
        <w:t xml:space="preserve">A ram-type tube end-forming (swaging) machine is selected: end reduction by ram forming presses a die over the tube end in a single short stroke, matching the 5 s cycle and producing the stepped-down diameter without cutting. Tube end formers perform exactly this reduction/swaging operation; standard catalogue machines from one representative manufacturer cover 4–20 mm tube as standard with larger capacities (including the Ø31.70 mm DigMore tube) available on rotary and custom models (Hippo, n.d.). The machine class is confirmed; the specific model for Ø31.70 × 3.18 mm must be specified at quotation.</w:t>
      </w:r>
    </w:p>
    <w:p>
      <w:pPr>
        <w:pStyle w:val="BodyText"/>
      </w:pPr>
      <w:r>
        <w:rPr>
          <w:b/>
          <w:bCs/>
        </w:rPr>
        <w:t xml:space="preserve">Machine specifications (Table 6.10).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Basis / Source</w:t>
            </w:r>
          </w:p>
        </w:tc>
      </w:tr>
      <w:tr>
        <w:tc>
          <w:tcPr/>
          <w:p>
            <w:pPr>
              <w:pStyle w:val="Compact"/>
            </w:pPr>
            <w:r>
              <w:t xml:space="preserve">Equipment type</w:t>
            </w:r>
          </w:p>
        </w:tc>
        <w:tc>
          <w:tcPr/>
          <w:p>
            <w:pPr>
              <w:pStyle w:val="Compact"/>
            </w:pPr>
            <w:r>
              <w:t xml:space="preserve">Ram-type tube end former (reduction/swaging die)</w:t>
            </w:r>
          </w:p>
        </w:tc>
        <w:tc>
          <w:tcPr/>
          <w:p>
            <w:pPr>
              <w:pStyle w:val="Compact"/>
            </w:pPr>
            <w:r>
              <w:t xml:space="preserve">Process requirement; market reference: Hippo</w:t>
            </w:r>
          </w:p>
        </w:tc>
      </w:tr>
      <w:tr>
        <w:tc>
          <w:tcPr/>
          <w:p>
            <w:pPr>
              <w:pStyle w:val="Compact"/>
            </w:pPr>
            <w:r>
              <w:t xml:space="preserve">Cycle time</w:t>
            </w:r>
          </w:p>
        </w:tc>
        <w:tc>
          <w:tcPr/>
          <w:p>
            <w:pPr>
              <w:pStyle w:val="Compact"/>
            </w:pPr>
            <w:r>
              <w:t xml:space="preserve">5 s/pipe</w:t>
            </w:r>
          </w:p>
        </w:tc>
        <w:tc>
          <w:tcPr/>
          <w:p>
            <w:pPr>
              <w:pStyle w:val="Compact"/>
            </w:pPr>
            <w:r>
              <w:t xml:space="preserve">Brief</w:t>
            </w:r>
          </w:p>
        </w:tc>
      </w:tr>
      <w:tr>
        <w:tc>
          <w:tcPr/>
          <w:p>
            <w:pPr>
              <w:pStyle w:val="Compact"/>
            </w:pPr>
            <w:r>
              <w:t xml:space="preserve">Daily throughput required</w:t>
            </w:r>
          </w:p>
        </w:tc>
        <w:tc>
          <w:tcPr/>
          <w:p>
            <w:pPr>
              <w:pStyle w:val="Compact"/>
            </w:pPr>
            <w:r>
              <w:t xml:space="preserve">1 915 pipes/day</w:t>
            </w:r>
          </w:p>
        </w:tc>
        <w:tc>
          <w:tcPr/>
          <w:p>
            <w:pPr>
              <w:pStyle w:val="Compact"/>
            </w:pPr>
            <w:r>
              <w:t xml:space="preserve">Table 6.2 (back handles, gross)</w:t>
            </w:r>
          </w:p>
        </w:tc>
      </w:tr>
      <w:tr>
        <w:tc>
          <w:tcPr/>
          <w:p>
            <w:pPr>
              <w:pStyle w:val="Compact"/>
            </w:pPr>
            <w:r>
              <w:t xml:space="preserve">Machines required</w:t>
            </w:r>
          </w:p>
        </w:tc>
        <w:tc>
          <w:tcPr/>
          <w:p>
            <w:pPr>
              <w:pStyle w:val="Compact"/>
            </w:pPr>
            <w:r>
              <w:t xml:space="preserve">1 (utilisation 33.2 %)</w:t>
            </w:r>
          </w:p>
        </w:tc>
        <w:tc>
          <w:tcPr/>
          <w:p>
            <w:pPr>
              <w:pStyle w:val="Compact"/>
            </w:pPr>
            <w:r>
              <w:t xml:space="preserve">§6.4</w:t>
            </w:r>
          </w:p>
        </w:tc>
      </w:tr>
      <w:tr>
        <w:tc>
          <w:tcPr/>
          <w:p>
            <w:pPr>
              <w:pStyle w:val="Compact"/>
            </w:pPr>
            <w:r>
              <w:t xml:space="preserve">Operators</w:t>
            </w:r>
          </w:p>
        </w:tc>
        <w:tc>
          <w:tcPr/>
          <w:p>
            <w:pPr>
              <w:pStyle w:val="Compact"/>
            </w:pPr>
            <w:r>
              <w:t xml:space="preserve">1</w:t>
            </w:r>
          </w:p>
        </w:tc>
        <w:tc>
          <w:tcPr/>
          <w:p>
            <w:pPr>
              <w:pStyle w:val="Compact"/>
            </w:pPr>
            <w:r>
              <w:t xml:space="preserve">Workbook (1:1)</w:t>
            </w:r>
          </w:p>
        </w:tc>
      </w:tr>
      <w:tr>
        <w:tc>
          <w:tcPr/>
          <w:p>
            <w:pPr>
              <w:pStyle w:val="Compact"/>
            </w:pPr>
            <w:r>
              <w:t xml:space="preserve">Capacity for Ø31.70 × 3.18 mm</w:t>
            </w:r>
          </w:p>
        </w:tc>
        <w:tc>
          <w:tcPr/>
          <w:p>
            <w:pPr>
              <w:pStyle w:val="Compact"/>
            </w:pPr>
            <w:r>
              <w:t xml:space="preserve">Model selection at quotation</w:t>
            </w:r>
          </w:p>
        </w:tc>
        <w:tc>
          <w:tcPr/>
          <w:p>
            <w:pPr>
              <w:pStyle w:val="Compact"/>
            </w:pPr>
            <w:r>
              <w:t xml:space="preserve">Standard range 4–20 mm; larger on rotary/custom models</w:t>
            </w:r>
          </w:p>
        </w:tc>
      </w:tr>
    </w:tbl>
    <w:p>
      <w:pPr>
        <w:pStyle w:val="BodyText"/>
      </w:pPr>
      <w:r>
        <w:rPr>
          <w:b/>
          <w:bCs/>
        </w:rPr>
        <w:t xml:space="preserve">Workstation concept.</w:t>
      </w:r>
      <w:r>
        <w:t xml:space="preserve"> </w:t>
      </w:r>
      <w:r>
        <w:t xml:space="preserve">Load pipe into clamp die, single forming stroke, unload — one operator, standard 6 m² cell, WIP bins both sides. At 33 % utilisation this station has ample spare capacity and could later absorb a second forming operation if product variants are introduced.</w:t>
      </w:r>
    </w:p>
    <w:p>
      <w:pPr>
        <w:pStyle w:val="BodyText"/>
      </w:pPr>
      <w:r>
        <w:rPr>
          <w:b/>
          <w:bCs/>
        </w:rPr>
        <w:t xml:space="preserve">Material handling.</w:t>
      </w:r>
      <w:r>
        <w:t xml:space="preserve"> </w:t>
      </w:r>
      <w:r>
        <w:t xml:space="preserve">Tube cart in from cutting; cart out to knurling and external threading. No scrap stream.</w:t>
      </w:r>
    </w:p>
    <w:p>
      <w:pPr>
        <w:pStyle w:val="BodyText"/>
      </w:pPr>
      <w:r>
        <w:rPr>
          <w:b/>
          <w:bCs/>
        </w:rPr>
        <w:t xml:space="preserve">Layout implications.</w:t>
      </w:r>
      <w:r>
        <w:t xml:space="preserve"> </w:t>
      </w:r>
      <w:r>
        <w:t xml:space="preserve">Must directly precede knurling/external threading (§6.3.4) since it creates the grip geometry that station threads; a one-piece flow lane from narrowing into the knurling bank avoids double handling of the same pipe.</w:t>
      </w:r>
    </w:p>
    <w:p>
      <w:pPr>
        <w:pStyle w:val="BodyText"/>
      </w:pPr>
      <w:r>
        <w:rPr>
          <w:i/>
          <w:iCs/>
        </w:rPr>
        <w:t xml:space="preserve">Detailed layout drawing and costed specification: Appendix C, Figure C.3 / Table C.3.</w:t>
      </w:r>
    </w:p>
    <w:bookmarkEnd w:id="24"/>
    <w:bookmarkStart w:id="25" w:name="knurling-and-external-threading"/>
    <w:p>
      <w:pPr>
        <w:pStyle w:val="Heading3"/>
      </w:pPr>
      <w:r>
        <w:t xml:space="preserve">6.3.4 Knurling and External Threading</w:t>
      </w:r>
    </w:p>
    <w:p>
      <w:pPr>
        <w:pStyle w:val="FirstParagraph"/>
      </w:pPr>
      <w:r>
        <w:rPr>
          <w:b/>
          <w:bCs/>
        </w:rPr>
        <w:t xml:space="preserve">Process description.</w:t>
      </w:r>
      <w:r>
        <w:t xml:space="preserve"> </w:t>
      </w:r>
      <w:r>
        <w:t xml:space="preserve">The narrowed grip end of the back handle is knurled and externally threaded in a combined 60 s cycle. This is the longest tube-stream operation and, with sharpening, one of the two utilisation-critical stations in the facility. Input is 1 915 pipes/day.</w:t>
      </w:r>
    </w:p>
    <w:p>
      <w:pPr>
        <w:pStyle w:val="BodyText"/>
      </w:pPr>
      <w:r>
        <w:rPr>
          <w:b/>
          <w:bCs/>
        </w:rPr>
        <w:t xml:space="preserve">Machine selection and justification.</w:t>
      </w:r>
      <w:r>
        <w:t xml:space="preserve"> </w:t>
      </w:r>
      <w:r>
        <w:t xml:space="preserve">A two-die cylindrical thread- and profile-rolling machine is selected because rolling cold-forms both the knurl pattern and the external thread without cutting: it is chipless, produces work-hardened threads of higher fatigue strength than cut threads, and completes the form in a single pass — attributes suited to a thin-walled aluminium tube end where cut threads would weaken the wall. A representative example with a published specification is the Profimach PTR 42 two-roll machine (rolling capacity Ø6–42 mm, 150 kN rolling pressure, 1 500 × 1 580 × 1 140 mm, 4.0 kW main motor) (Profimach PTR series, n.d.), which spans the Ø31.70 mm DigMore tube. Thread rolling at this scale typically cycles far faster than the brief’s 60 s; the brief value is retained as the design basis, so any realised cycle improvement converts directly into spare capacity at this four-machine bank (achievable cycle to be confirmed at quotation).</w:t>
      </w:r>
    </w:p>
    <w:p>
      <w:pPr>
        <w:pStyle w:val="BodyText"/>
      </w:pPr>
      <w:r>
        <w:rPr>
          <w:b/>
          <w:bCs/>
        </w:rPr>
        <w:t xml:space="preserve">Machine specifications (Table 6.11).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Basis / Source</w:t>
            </w:r>
          </w:p>
        </w:tc>
      </w:tr>
      <w:tr>
        <w:tc>
          <w:tcPr/>
          <w:p>
            <w:pPr>
              <w:pStyle w:val="Compact"/>
            </w:pPr>
            <w:r>
              <w:t xml:space="preserve">Equipment type</w:t>
            </w:r>
          </w:p>
        </w:tc>
        <w:tc>
          <w:tcPr/>
          <w:p>
            <w:pPr>
              <w:pStyle w:val="Compact"/>
            </w:pPr>
            <w:r>
              <w:t xml:space="preserve">2-die cylindrical thread/profile rolling machine</w:t>
            </w:r>
          </w:p>
        </w:tc>
        <w:tc>
          <w:tcPr/>
          <w:p>
            <w:pPr>
              <w:pStyle w:val="Compact"/>
            </w:pPr>
            <w:r>
              <w:t xml:space="preserve">Market example: Profimach PTR 42</w:t>
            </w:r>
          </w:p>
        </w:tc>
      </w:tr>
      <w:tr>
        <w:tc>
          <w:tcPr/>
          <w:p>
            <w:pPr>
              <w:pStyle w:val="Compact"/>
            </w:pPr>
            <w:r>
              <w:t xml:space="preserve">Rolling capacity</w:t>
            </w:r>
          </w:p>
        </w:tc>
        <w:tc>
          <w:tcPr/>
          <w:p>
            <w:pPr>
              <w:pStyle w:val="Compact"/>
            </w:pPr>
            <w:r>
              <w:t xml:space="preserve">Ø6–42 mm; 150 kN</w:t>
            </w:r>
          </w:p>
        </w:tc>
        <w:tc>
          <w:tcPr/>
          <w:p>
            <w:pPr>
              <w:pStyle w:val="Compact"/>
            </w:pPr>
            <w:r>
              <w:t xml:space="preserve">Supplier specification table</w:t>
            </w:r>
          </w:p>
        </w:tc>
      </w:tr>
      <w:tr>
        <w:tc>
          <w:tcPr/>
          <w:p>
            <w:pPr>
              <w:pStyle w:val="Compact"/>
            </w:pPr>
            <w:r>
              <w:t xml:space="preserve">Dimensions (L × W × H)</w:t>
            </w:r>
          </w:p>
        </w:tc>
        <w:tc>
          <w:tcPr/>
          <w:p>
            <w:pPr>
              <w:pStyle w:val="Compact"/>
            </w:pPr>
            <w:r>
              <w:t xml:space="preserve">1 500 × 1 580 × 1 140 mm</w:t>
            </w:r>
          </w:p>
        </w:tc>
        <w:tc>
          <w:tcPr/>
          <w:p>
            <w:pPr>
              <w:pStyle w:val="Compact"/>
            </w:pPr>
            <w:r>
              <w:t xml:space="preserve">Supplier specification table</w:t>
            </w:r>
          </w:p>
        </w:tc>
      </w:tr>
      <w:tr>
        <w:tc>
          <w:tcPr/>
          <w:p>
            <w:pPr>
              <w:pStyle w:val="Compact"/>
            </w:pPr>
            <w:r>
              <w:t xml:space="preserve">Main motor</w:t>
            </w:r>
          </w:p>
        </w:tc>
        <w:tc>
          <w:tcPr/>
          <w:p>
            <w:pPr>
              <w:pStyle w:val="Compact"/>
            </w:pPr>
            <w:r>
              <w:t xml:space="preserve">4.0 kW</w:t>
            </w:r>
          </w:p>
        </w:tc>
        <w:tc>
          <w:tcPr/>
          <w:p>
            <w:pPr>
              <w:pStyle w:val="Compact"/>
            </w:pPr>
            <w:r>
              <w:t xml:space="preserve">Supplier specification table</w:t>
            </w:r>
          </w:p>
        </w:tc>
      </w:tr>
      <w:tr>
        <w:tc>
          <w:tcPr/>
          <w:p>
            <w:pPr>
              <w:pStyle w:val="Compact"/>
            </w:pPr>
            <w:r>
              <w:t xml:space="preserve">Cycle time</w:t>
            </w:r>
          </w:p>
        </w:tc>
        <w:tc>
          <w:tcPr/>
          <w:p>
            <w:pPr>
              <w:pStyle w:val="Compact"/>
            </w:pPr>
            <w:r>
              <w:t xml:space="preserve">60 s/pipe</w:t>
            </w:r>
          </w:p>
        </w:tc>
        <w:tc>
          <w:tcPr/>
          <w:p>
            <w:pPr>
              <w:pStyle w:val="Compact"/>
            </w:pPr>
            <w:r>
              <w:t xml:space="preserve">Brief (design basis)</w:t>
            </w:r>
          </w:p>
        </w:tc>
      </w:tr>
      <w:tr>
        <w:tc>
          <w:tcPr/>
          <w:p>
            <w:pPr>
              <w:pStyle w:val="Compact"/>
            </w:pPr>
            <w:r>
              <w:t xml:space="preserve">Daily throughput required</w:t>
            </w:r>
          </w:p>
        </w:tc>
        <w:tc>
          <w:tcPr/>
          <w:p>
            <w:pPr>
              <w:pStyle w:val="Compact"/>
            </w:pPr>
            <w:r>
              <w:t xml:space="preserve">1 915 pipes/day</w:t>
            </w:r>
          </w:p>
        </w:tc>
        <w:tc>
          <w:tcPr/>
          <w:p>
            <w:pPr>
              <w:pStyle w:val="Compact"/>
            </w:pPr>
            <w:r>
              <w:t xml:space="preserve">Table 6.2 (back handles, gross)</w:t>
            </w:r>
          </w:p>
        </w:tc>
      </w:tr>
      <w:tr>
        <w:tc>
          <w:tcPr/>
          <w:p>
            <w:pPr>
              <w:pStyle w:val="Compact"/>
            </w:pPr>
            <w:r>
              <w:t xml:space="preserve">Machines required</w:t>
            </w:r>
          </w:p>
        </w:tc>
        <w:tc>
          <w:tcPr/>
          <w:p>
            <w:pPr>
              <w:pStyle w:val="Compact"/>
            </w:pPr>
            <w:r>
              <w:t xml:space="preserve">4 (utilisation 99.7 %)</w:t>
            </w:r>
          </w:p>
        </w:tc>
        <w:tc>
          <w:tcPr/>
          <w:p>
            <w:pPr>
              <w:pStyle w:val="Compact"/>
            </w:pPr>
            <w:r>
              <w:t xml:space="preserve">§6.4</w:t>
            </w:r>
          </w:p>
        </w:tc>
      </w:tr>
      <w:tr>
        <w:tc>
          <w:tcPr/>
          <w:p>
            <w:pPr>
              <w:pStyle w:val="Compact"/>
            </w:pPr>
            <w:r>
              <w:t xml:space="preserve">Operators</w:t>
            </w:r>
          </w:p>
        </w:tc>
        <w:tc>
          <w:tcPr/>
          <w:p>
            <w:pPr>
              <w:pStyle w:val="Compact"/>
            </w:pPr>
            <w:r>
              <w:t xml:space="preserve">4</w:t>
            </w:r>
          </w:p>
        </w:tc>
        <w:tc>
          <w:tcPr/>
          <w:p>
            <w:pPr>
              <w:pStyle w:val="Compact"/>
            </w:pPr>
            <w:r>
              <w:t xml:space="preserve">Workbook (1:1)</w:t>
            </w:r>
          </w:p>
        </w:tc>
      </w:tr>
    </w:tbl>
    <w:p>
      <w:pPr>
        <w:pStyle w:val="BodyText"/>
      </w:pPr>
      <w:r>
        <w:rPr>
          <w:b/>
          <w:bCs/>
        </w:rPr>
        <w:t xml:space="preserve">Workstation concept.</w:t>
      </w:r>
      <w:r>
        <w:t xml:space="preserve"> </w:t>
      </w:r>
      <w:r>
        <w:t xml:space="preserve">Four identical machines arranged as a bank, each with an operator loading the narrowed pipe between the dies, cycling, and unloading to the coated-parts staging cart. The published machine footprint (≈ 2.4 m² each) sits within the 6 m² allowance once operator space and WIP bins are added, supporting the workbook’s space model for this station. WIP staging ahead of the bank is essential: at 99.7 % utilisation the bank has no recovery margin, so a buffer of narrowed pipes decouples it from upstream stoppages.</w:t>
      </w:r>
    </w:p>
    <w:p>
      <w:pPr>
        <w:pStyle w:val="BodyText"/>
      </w:pPr>
      <w:r>
        <w:rPr>
          <w:b/>
          <w:bCs/>
        </w:rPr>
        <w:t xml:space="preserve">Figure 6.4b: Tube-finishing cell concept — end-narrowing station feeding the four-machine thread-rolling bank, shared WIP buffer and carts to powder-coat staging. (Author’s own; machine proportions adapted from Profimach, n.d.)</w:t>
      </w:r>
    </w:p>
    <w:p>
      <w:pPr>
        <w:pStyle w:val="BodyText"/>
      </w:pPr>
      <w:r>
        <w:rPr>
          <w:i/>
          <w:iCs/>
        </w:rPr>
        <w:t xml:space="preserve">(Detailed layout drawing: Appendix C, Figures C.3–C.4.)</w:t>
      </w:r>
    </w:p>
    <w:p>
      <w:pPr>
        <w:pStyle w:val="BodyText"/>
      </w:pPr>
      <w:r>
        <w:rPr>
          <w:b/>
          <w:bCs/>
        </w:rPr>
        <w:t xml:space="preserve">Material handling.</w:t>
      </w:r>
      <w:r>
        <w:t xml:space="preserve"> </w:t>
      </w:r>
      <w:r>
        <w:t xml:space="preserve">Carts in from end narrowing; completed back handles join threaded middle handles on carts to powder-coating staging. Coolant/lubricant service to each machine; no scrap stream.</w:t>
      </w:r>
    </w:p>
    <w:p>
      <w:pPr>
        <w:pStyle w:val="BodyText"/>
      </w:pPr>
      <w:r>
        <w:rPr>
          <w:b/>
          <w:bCs/>
        </w:rPr>
        <w:t xml:space="preserve">Layout implications.</w:t>
      </w:r>
      <w:r>
        <w:t xml:space="preserve"> </w:t>
      </w:r>
      <w:r>
        <w:t xml:space="preserve">The four-machine bank is the largest single floor-area driver in the tube stream and, with its 99.7 % utilisation, the tube stream’s capacity constraint. It should sit at the end of the tube line with generous WIP staging on its infeed side, maintenance clearance around each machine (the bank cannot afford extended downtime), and a direct route to powder-coat staging where both handle types consolidate. Together with sharpening (§6.3.9), this station determines whether the facility meets takt; both must be placed where supervision and maintenance can reach them quickly.</w:t>
      </w:r>
    </w:p>
    <w:p>
      <w:pPr>
        <w:pStyle w:val="BodyText"/>
      </w:pPr>
      <w:r>
        <w:rPr>
          <w:i/>
          <w:iCs/>
        </w:rPr>
        <w:t xml:space="preserve">Detailed layout drawing and costed specification: Appendix C, Figure C.4 / Table C.4.</w:t>
      </w:r>
    </w:p>
    <w:bookmarkEnd w:id="25"/>
    <w:bookmarkStart w:id="26" w:name="shovel-head-stamping"/>
    <w:p>
      <w:pPr>
        <w:pStyle w:val="Heading3"/>
      </w:pPr>
      <w:r>
        <w:t xml:space="preserve">6.3.5 Shovel Head Stamping</w:t>
      </w:r>
    </w:p>
    <w:p>
      <w:pPr>
        <w:pStyle w:val="FirstParagraph"/>
      </w:pPr>
      <w:r>
        <w:rPr>
          <w:b/>
          <w:bCs/>
        </w:rPr>
        <w:t xml:space="preserve">Process description.</w:t>
      </w:r>
      <w:r>
        <w:t xml:space="preserve"> </w:t>
      </w:r>
      <w:r>
        <w:t xml:space="preserve">Shovel head blanks (0.17 × 0.14 m) are stamped from 2.5 mm aluminium sheet at 2 s per part. This is the head of the sheet stream and the second scrap-generating operation (5 % allowance), so the press must deliver 1 915 gross heads/day.</w:t>
      </w:r>
    </w:p>
    <w:p>
      <w:pPr>
        <w:pStyle w:val="BodyText"/>
      </w:pPr>
      <w:r>
        <w:rPr>
          <w:b/>
          <w:bCs/>
        </w:rPr>
        <w:t xml:space="preserve">Machine selection and justification.</w:t>
      </w:r>
      <w:r>
        <w:t xml:space="preserve"> </w:t>
      </w:r>
      <w:r>
        <w:t xml:space="preserve">A one-point gap-frame (C-frame) mechanical press with a blanking die is selected: gap-frame presses are designed for stamping small parts at high single-stroking or continuous rates from blanks or coil, and the open front gives the die access needed for sheet feeding and scrap-skeleton removal. A representative example with a published specification is the Stamtec OCP-35 gap-frame press (35 t, 70–180 strokes/min depending on configuration, bolster 780 × 340 mm, machine 930 × 1 200 × 2 100 mm) (Stamtec OCP series, n.d.). At 70+ strokes/min capability against the brief’s 2 s cycle (30 strokes/min), the press class comfortably covers the duty; required blanking tonnage for the head perimeter in 2.5 mm aluminium must be confirmed at die design.</w:t>
      </w:r>
    </w:p>
    <w:p>
      <w:pPr>
        <w:pStyle w:val="BodyText"/>
      </w:pPr>
      <w:r>
        <w:rPr>
          <w:b/>
          <w:bCs/>
        </w:rPr>
        <w:t xml:space="preserve">Machine specifications (Table 6.12).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Basis / Source</w:t>
            </w:r>
          </w:p>
        </w:tc>
      </w:tr>
      <w:tr>
        <w:tc>
          <w:tcPr/>
          <w:p>
            <w:pPr>
              <w:pStyle w:val="Compact"/>
            </w:pPr>
            <w:r>
              <w:t xml:space="preserve">Equipment type</w:t>
            </w:r>
          </w:p>
        </w:tc>
        <w:tc>
          <w:tcPr/>
          <w:p>
            <w:pPr>
              <w:pStyle w:val="Compact"/>
            </w:pPr>
            <w:r>
              <w:t xml:space="preserve">Gap-frame mechanical press + blanking die</w:t>
            </w:r>
          </w:p>
        </w:tc>
        <w:tc>
          <w:tcPr/>
          <w:p>
            <w:pPr>
              <w:pStyle w:val="Compact"/>
            </w:pPr>
            <w:r>
              <w:t xml:space="preserve">Market example: Stamtec OCP-35</w:t>
            </w:r>
          </w:p>
        </w:tc>
      </w:tr>
      <w:tr>
        <w:tc>
          <w:tcPr/>
          <w:p>
            <w:pPr>
              <w:pStyle w:val="Compact"/>
            </w:pPr>
            <w:r>
              <w:t xml:space="preserve">Capacity</w:t>
            </w:r>
          </w:p>
        </w:tc>
        <w:tc>
          <w:tcPr/>
          <w:p>
            <w:pPr>
              <w:pStyle w:val="Compact"/>
            </w:pPr>
            <w:r>
              <w:t xml:space="preserve">35 t (metric)</w:t>
            </w:r>
          </w:p>
        </w:tc>
        <w:tc>
          <w:tcPr/>
          <w:p>
            <w:pPr>
              <w:pStyle w:val="Compact"/>
            </w:pPr>
            <w:r>
              <w:t xml:space="preserve">Supplier specification table</w:t>
            </w:r>
          </w:p>
        </w:tc>
      </w:tr>
      <w:tr>
        <w:tc>
          <w:tcPr/>
          <w:p>
            <w:pPr>
              <w:pStyle w:val="Compact"/>
            </w:pPr>
            <w:r>
              <w:t xml:space="preserve">Bolster area</w:t>
            </w:r>
          </w:p>
        </w:tc>
        <w:tc>
          <w:tcPr/>
          <w:p>
            <w:pPr>
              <w:pStyle w:val="Compact"/>
            </w:pPr>
            <w:r>
              <w:t xml:space="preserve">780 × 340 mm</w:t>
            </w:r>
          </w:p>
        </w:tc>
        <w:tc>
          <w:tcPr/>
          <w:p>
            <w:pPr>
              <w:pStyle w:val="Compact"/>
            </w:pPr>
            <w:r>
              <w:t xml:space="preserve">Supplier specification table</w:t>
            </w:r>
          </w:p>
        </w:tc>
      </w:tr>
      <w:tr>
        <w:tc>
          <w:tcPr/>
          <w:p>
            <w:pPr>
              <w:pStyle w:val="Compact"/>
            </w:pPr>
            <w:r>
              <w:t xml:space="preserve">Machine dimensions (W × D × H)</w:t>
            </w:r>
          </w:p>
        </w:tc>
        <w:tc>
          <w:tcPr/>
          <w:p>
            <w:pPr>
              <w:pStyle w:val="Compact"/>
            </w:pPr>
            <w:r>
              <w:t xml:space="preserve">930 × 1 200 × 2 100 mm</w:t>
            </w:r>
          </w:p>
        </w:tc>
        <w:tc>
          <w:tcPr/>
          <w:p>
            <w:pPr>
              <w:pStyle w:val="Compact"/>
            </w:pPr>
            <w:r>
              <w:t xml:space="preserve">Supplier specification table</w:t>
            </w:r>
          </w:p>
        </w:tc>
      </w:tr>
      <w:tr>
        <w:tc>
          <w:tcPr/>
          <w:p>
            <w:pPr>
              <w:pStyle w:val="Compact"/>
            </w:pPr>
            <w:r>
              <w:t xml:space="preserve">Cycle time</w:t>
            </w:r>
          </w:p>
        </w:tc>
        <w:tc>
          <w:tcPr/>
          <w:p>
            <w:pPr>
              <w:pStyle w:val="Compact"/>
            </w:pPr>
            <w:r>
              <w:t xml:space="preserve">2 s/part</w:t>
            </w:r>
          </w:p>
        </w:tc>
        <w:tc>
          <w:tcPr/>
          <w:p>
            <w:pPr>
              <w:pStyle w:val="Compact"/>
            </w:pPr>
            <w:r>
              <w:t xml:space="preserve">Brief</w:t>
            </w:r>
          </w:p>
        </w:tc>
      </w:tr>
      <w:tr>
        <w:tc>
          <w:tcPr/>
          <w:p>
            <w:pPr>
              <w:pStyle w:val="Compact"/>
            </w:pPr>
            <w:r>
              <w:t xml:space="preserve">Daily throughput required</w:t>
            </w:r>
          </w:p>
        </w:tc>
        <w:tc>
          <w:tcPr/>
          <w:p>
            <w:pPr>
              <w:pStyle w:val="Compact"/>
            </w:pPr>
            <w:r>
              <w:t xml:space="preserve">1 915 parts/day (gross)</w:t>
            </w:r>
          </w:p>
        </w:tc>
        <w:tc>
          <w:tcPr/>
          <w:p>
            <w:pPr>
              <w:pStyle w:val="Compact"/>
            </w:pPr>
            <w:r>
              <w:t xml:space="preserve">Table 6.2</w:t>
            </w:r>
          </w:p>
        </w:tc>
      </w:tr>
      <w:tr>
        <w:tc>
          <w:tcPr/>
          <w:p>
            <w:pPr>
              <w:pStyle w:val="Compact"/>
            </w:pPr>
            <w:r>
              <w:t xml:space="preserve">Machines required</w:t>
            </w:r>
          </w:p>
        </w:tc>
        <w:tc>
          <w:tcPr/>
          <w:p>
            <w:pPr>
              <w:pStyle w:val="Compact"/>
            </w:pPr>
            <w:r>
              <w:t xml:space="preserve">1 (utilisation 13.3 %)</w:t>
            </w:r>
          </w:p>
        </w:tc>
        <w:tc>
          <w:tcPr/>
          <w:p>
            <w:pPr>
              <w:pStyle w:val="Compact"/>
            </w:pPr>
            <w:r>
              <w:t xml:space="preserve">§6.4</w:t>
            </w:r>
          </w:p>
        </w:tc>
      </w:tr>
      <w:tr>
        <w:tc>
          <w:tcPr/>
          <w:p>
            <w:pPr>
              <w:pStyle w:val="Compact"/>
            </w:pPr>
            <w:r>
              <w:t xml:space="preserve">Operators</w:t>
            </w:r>
          </w:p>
        </w:tc>
        <w:tc>
          <w:tcPr/>
          <w:p>
            <w:pPr>
              <w:pStyle w:val="Compact"/>
            </w:pPr>
            <w:r>
              <w:t xml:space="preserve">1</w:t>
            </w:r>
          </w:p>
        </w:tc>
        <w:tc>
          <w:tcPr/>
          <w:p>
            <w:pPr>
              <w:pStyle w:val="Compact"/>
            </w:pPr>
            <w:r>
              <w:t xml:space="preserve">Workbook (1:1)</w:t>
            </w:r>
          </w:p>
        </w:tc>
      </w:tr>
      <w:tr>
        <w:tc>
          <w:tcPr/>
          <w:p>
            <w:pPr>
              <w:pStyle w:val="Compact"/>
            </w:pPr>
            <w:r>
              <w:t xml:space="preserve">Tonnage for die</w:t>
            </w:r>
          </w:p>
        </w:tc>
        <w:tc>
          <w:tcPr/>
          <w:p>
            <w:pPr>
              <w:pStyle w:val="Compact"/>
            </w:pPr>
            <w:r>
              <w:t xml:space="preserve">At die design</w:t>
            </w:r>
          </w:p>
        </w:tc>
        <w:tc>
          <w:tcPr/>
          <w:p>
            <w:pPr>
              <w:pStyle w:val="Compact"/>
            </w:pPr>
            <w:r>
              <w:t xml:space="preserve">Blank perimeter × sheet thickness × shear strength</w:t>
            </w:r>
          </w:p>
        </w:tc>
      </w:tr>
    </w:tbl>
    <w:p>
      <w:pPr>
        <w:pStyle w:val="BodyText"/>
      </w:pPr>
      <w:r>
        <w:rPr>
          <w:b/>
          <w:bCs/>
        </w:rPr>
        <w:t xml:space="preserve">Workstation concept.</w:t>
      </w:r>
      <w:r>
        <w:t xml:space="preserve"> </w:t>
      </w:r>
      <w:r>
        <w:t xml:space="preserve">The operator draws a sheet from the adjacent sheet rack, feeds it through the die in indexed passes, and collects blanks into a WIP bin while the skeleton drops to the scrap bin. A full sheet weighs approximately 21 kg (3.125 m² × 2.5 mm aluminium), at the upper limit for repetitive single-person handling — a two-person lift, sheet trolley or vacuum lifter assist should be specified at detailed design. The press footprint (≈ 1.1 m²) fits the 6 m² allowance, but sheet infeed requires a clear 2.5 m approach in front of the die.</w:t>
      </w:r>
    </w:p>
    <w:p>
      <w:pPr>
        <w:pStyle w:val="BodyText"/>
      </w:pPr>
      <w:r>
        <w:rPr>
          <w:b/>
          <w:bCs/>
        </w:rPr>
        <w:t xml:space="preserve">Figure 6.5: Conceptual sheet-stamping workstation — sheet rack, infeed support, gap-frame press, blank bin, scrap-skeleton bin and operator aisle. (Author’s own; press proportions adapted from Stamtec, n.d.)</w:t>
      </w:r>
    </w:p>
    <w:p>
      <w:pPr>
        <w:pStyle w:val="BodyText"/>
      </w:pPr>
      <w:r>
        <w:rPr>
          <w:i/>
          <w:iCs/>
        </w:rPr>
        <w:t xml:space="preserve">(Detailed layout drawing: Appendix C, Figure C.5.)</w:t>
      </w:r>
    </w:p>
    <w:p>
      <w:pPr>
        <w:pStyle w:val="BodyText"/>
      </w:pPr>
      <w:r>
        <w:rPr>
          <w:b/>
          <w:bCs/>
        </w:rPr>
        <w:t xml:space="preserve">Material handling.</w:t>
      </w:r>
      <w:r>
        <w:t xml:space="preserve"> </w:t>
      </w:r>
      <w:r>
        <w:t xml:space="preserve">Sheets arrive by pallet or sheet trolley from the raw-sheet store; blanks leave in bins to head shaping; skeleton scrap follows the waste route shared with tube cutting.</w:t>
      </w:r>
    </w:p>
    <w:p>
      <w:pPr>
        <w:pStyle w:val="BodyText"/>
      </w:pPr>
      <w:r>
        <w:rPr>
          <w:b/>
          <w:bCs/>
        </w:rPr>
        <w:t xml:space="preserve">Layout implications.</w:t>
      </w:r>
      <w:r>
        <w:t xml:space="preserve"> </w:t>
      </w:r>
      <w:r>
        <w:t xml:space="preserve">Anchor of the sheet stream: place directly against the raw-sheet store with the hinge-stamping press alongside (§6.3.6), sharing sheet supply, scrap route and operator skills. Its low utilisation (13.3 %) makes it a candidate for press consolidation (see §6.3.6) — a trade-off the layout alternatives should carry as an option rather than a commitment.</w:t>
      </w:r>
    </w:p>
    <w:p>
      <w:pPr>
        <w:pStyle w:val="BodyText"/>
      </w:pPr>
      <w:r>
        <w:rPr>
          <w:i/>
          <w:iCs/>
        </w:rPr>
        <w:t xml:space="preserve">Detailed layout drawing and costed specification: Appendix C, Figure C.5 / Table C.5.</w:t>
      </w:r>
    </w:p>
    <w:bookmarkEnd w:id="26"/>
    <w:bookmarkStart w:id="27" w:name="hinge-connector-stamping"/>
    <w:p>
      <w:pPr>
        <w:pStyle w:val="Heading3"/>
      </w:pPr>
      <w:r>
        <w:t xml:space="preserve">6.3.6 Hinge Connector Stamping</w:t>
      </w:r>
    </w:p>
    <w:p>
      <w:pPr>
        <w:pStyle w:val="FirstParagraph"/>
      </w:pPr>
      <w:r>
        <w:rPr>
          <w:b/>
          <w:bCs/>
        </w:rPr>
        <w:t xml:space="preserve">Process description.</w:t>
      </w:r>
      <w:r>
        <w:t xml:space="preserve"> </w:t>
      </w:r>
      <w:r>
        <w:t xml:space="preserve">Hinge connector blanks (0.08 × 0.05 m) are stamped from the same 2.5 mm sheet at 2 s per part, also under the 5 % scrap allowance: 1 915 gross parts/day.</w:t>
      </w:r>
    </w:p>
    <w:p>
      <w:pPr>
        <w:pStyle w:val="BodyText"/>
      </w:pPr>
      <w:r>
        <w:rPr>
          <w:b/>
          <w:bCs/>
        </w:rPr>
        <w:t xml:space="preserve">Machine selection and justification.</w:t>
      </w:r>
      <w:r>
        <w:t xml:space="preserve"> </w:t>
      </w:r>
      <w:r>
        <w:t xml:space="preserve">The same press class as §6.3.5 applies — the part is smaller, so tonnage demand is lower and the OCP-35 class again covers the duty with margin (Stamtec OCP series, n.d.). The workbook assigns a dedicated press, which avoids die changeovers and keeps head and hinge flows independent. Because both stamping presses run near 13 % utilisation, a single press with a quick-die-change system could serve both parts at ≈ 27 % combined utilisation; this halves press capital and floor area but couples the two flows and introduces changeover scheduling. The dedicated-press basis is retained for the space model, and the consolidation option is carried into the layout alternatives.</w:t>
      </w:r>
    </w:p>
    <w:p>
      <w:pPr>
        <w:pStyle w:val="BodyText"/>
      </w:pPr>
      <w:r>
        <w:rPr>
          <w:b/>
          <w:bCs/>
        </w:rPr>
        <w:t xml:space="preserve">Machine specifications (Table 6.13).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Basis / Source</w:t>
            </w:r>
          </w:p>
        </w:tc>
      </w:tr>
      <w:tr>
        <w:tc>
          <w:tcPr/>
          <w:p>
            <w:pPr>
              <w:pStyle w:val="Compact"/>
            </w:pPr>
            <w:r>
              <w:t xml:space="preserve">Equipment type</w:t>
            </w:r>
          </w:p>
        </w:tc>
        <w:tc>
          <w:tcPr/>
          <w:p>
            <w:pPr>
              <w:pStyle w:val="Compact"/>
            </w:pPr>
            <w:r>
              <w:t xml:space="preserve">Gap-frame mechanical press + blanking/forming die</w:t>
            </w:r>
          </w:p>
        </w:tc>
        <w:tc>
          <w:tcPr/>
          <w:p>
            <w:pPr>
              <w:pStyle w:val="Compact"/>
            </w:pPr>
            <w:r>
              <w:t xml:space="preserve">Market example: Stamtec OCP-35 (as §6.3.5)</w:t>
            </w:r>
          </w:p>
        </w:tc>
      </w:tr>
      <w:tr>
        <w:tc>
          <w:tcPr/>
          <w:p>
            <w:pPr>
              <w:pStyle w:val="Compact"/>
            </w:pPr>
            <w:r>
              <w:t xml:space="preserve">Cycle time</w:t>
            </w:r>
          </w:p>
        </w:tc>
        <w:tc>
          <w:tcPr/>
          <w:p>
            <w:pPr>
              <w:pStyle w:val="Compact"/>
            </w:pPr>
            <w:r>
              <w:t xml:space="preserve">2 s/part</w:t>
            </w:r>
          </w:p>
        </w:tc>
        <w:tc>
          <w:tcPr/>
          <w:p>
            <w:pPr>
              <w:pStyle w:val="Compact"/>
            </w:pPr>
            <w:r>
              <w:t xml:space="preserve">Brief</w:t>
            </w:r>
          </w:p>
        </w:tc>
      </w:tr>
      <w:tr>
        <w:tc>
          <w:tcPr/>
          <w:p>
            <w:pPr>
              <w:pStyle w:val="Compact"/>
            </w:pPr>
            <w:r>
              <w:t xml:space="preserve">Daily throughput required</w:t>
            </w:r>
          </w:p>
        </w:tc>
        <w:tc>
          <w:tcPr/>
          <w:p>
            <w:pPr>
              <w:pStyle w:val="Compact"/>
            </w:pPr>
            <w:r>
              <w:t xml:space="preserve">1 915 parts/day (gross)</w:t>
            </w:r>
          </w:p>
        </w:tc>
        <w:tc>
          <w:tcPr/>
          <w:p>
            <w:pPr>
              <w:pStyle w:val="Compact"/>
            </w:pPr>
            <w:r>
              <w:t xml:space="preserve">Table 6.2</w:t>
            </w:r>
          </w:p>
        </w:tc>
      </w:tr>
      <w:tr>
        <w:tc>
          <w:tcPr/>
          <w:p>
            <w:pPr>
              <w:pStyle w:val="Compact"/>
            </w:pPr>
            <w:r>
              <w:t xml:space="preserve">Machines required</w:t>
            </w:r>
          </w:p>
        </w:tc>
        <w:tc>
          <w:tcPr/>
          <w:p>
            <w:pPr>
              <w:pStyle w:val="Compact"/>
            </w:pPr>
            <w:r>
              <w:t xml:space="preserve">1 (utilisation 13.3 %)</w:t>
            </w:r>
          </w:p>
        </w:tc>
        <w:tc>
          <w:tcPr/>
          <w:p>
            <w:pPr>
              <w:pStyle w:val="Compact"/>
            </w:pPr>
            <w:r>
              <w:t xml:space="preserve">§6.4</w:t>
            </w:r>
          </w:p>
        </w:tc>
      </w:tr>
      <w:tr>
        <w:tc>
          <w:tcPr/>
          <w:p>
            <w:pPr>
              <w:pStyle w:val="Compact"/>
            </w:pPr>
            <w:r>
              <w:t xml:space="preserve">Operators</w:t>
            </w:r>
          </w:p>
        </w:tc>
        <w:tc>
          <w:tcPr/>
          <w:p>
            <w:pPr>
              <w:pStyle w:val="Compact"/>
            </w:pPr>
            <w:r>
              <w:t xml:space="preserve">1</w:t>
            </w:r>
          </w:p>
        </w:tc>
        <w:tc>
          <w:tcPr/>
          <w:p>
            <w:pPr>
              <w:pStyle w:val="Compact"/>
            </w:pPr>
            <w:r>
              <w:t xml:space="preserve">Workbook (1:1)</w:t>
            </w:r>
          </w:p>
        </w:tc>
      </w:tr>
      <w:tr>
        <w:tc>
          <w:tcPr/>
          <w:p>
            <w:pPr>
              <w:pStyle w:val="Compact"/>
            </w:pPr>
            <w:r>
              <w:t xml:space="preserve">Consolidation option</w:t>
            </w:r>
          </w:p>
        </w:tc>
        <w:tc>
          <w:tcPr/>
          <w:p>
            <w:pPr>
              <w:pStyle w:val="Compact"/>
            </w:pPr>
            <w:r>
              <w:t xml:space="preserve">1 shared press @ ≈ 27 % util</w:t>
            </w:r>
          </w:p>
        </w:tc>
        <w:tc>
          <w:tcPr/>
          <w:p>
            <w:pPr>
              <w:pStyle w:val="Compact"/>
            </w:pPr>
            <w:r>
              <w:t xml:space="preserve">Design option for layout alternatives</w:t>
            </w:r>
          </w:p>
        </w:tc>
      </w:tr>
    </w:tbl>
    <w:p>
      <w:pPr>
        <w:pStyle w:val="BodyText"/>
      </w:pPr>
      <w:r>
        <w:rPr>
          <w:b/>
          <w:bCs/>
        </w:rPr>
        <w:t xml:space="preserve">Workstation concept.</w:t>
      </w:r>
      <w:r>
        <w:t xml:space="preserve"> </w:t>
      </w:r>
      <w:r>
        <w:t xml:space="preserve">As §6.3.5, with smaller blank bins; the two presses should face a shared sheet-staging area so one sheet delivery serves both.</w:t>
      </w:r>
    </w:p>
    <w:p>
      <w:pPr>
        <w:pStyle w:val="BodyText"/>
      </w:pPr>
      <w:r>
        <w:rPr>
          <w:b/>
          <w:bCs/>
        </w:rPr>
        <w:t xml:space="preserve">Material handling.</w:t>
      </w:r>
      <w:r>
        <w:t xml:space="preserve"> </w:t>
      </w:r>
      <w:r>
        <w:t xml:space="preserve">Shared sheet supply and scrap route with §6.3.5; hinge blanks leave in bins to hinge bending.</w:t>
      </w:r>
    </w:p>
    <w:p>
      <w:pPr>
        <w:pStyle w:val="BodyText"/>
      </w:pPr>
      <w:r>
        <w:rPr>
          <w:b/>
          <w:bCs/>
        </w:rPr>
        <w:t xml:space="preserve">Layout implications.</w:t>
      </w:r>
      <w:r>
        <w:t xml:space="preserve"> </w:t>
      </w:r>
      <w:r>
        <w:t xml:space="preserve">Pair with the head-stamping press in a single press cell: shared sheet store adjacency, shared scrap route, shared supervision. The press cell as a whole — not each press — is the sheet stream’s natural layout module.</w:t>
      </w:r>
    </w:p>
    <w:p>
      <w:pPr>
        <w:pStyle w:val="BodyText"/>
      </w:pPr>
      <w:r>
        <w:rPr>
          <w:i/>
          <w:iCs/>
        </w:rPr>
        <w:t xml:space="preserve">Detailed layout drawing and costed specification: Appendix C, Figure C.5 / Table C.5 (combined press cell).</w:t>
      </w:r>
    </w:p>
    <w:bookmarkEnd w:id="27"/>
    <w:bookmarkStart w:id="28" w:name="hinge-connector-bending"/>
    <w:p>
      <w:pPr>
        <w:pStyle w:val="Heading3"/>
      </w:pPr>
      <w:r>
        <w:t xml:space="preserve">6.3.7 Hinge Connector Bending</w:t>
      </w:r>
    </w:p>
    <w:p>
      <w:pPr>
        <w:pStyle w:val="FirstParagraph"/>
      </w:pPr>
      <w:r>
        <w:rPr>
          <w:b/>
          <w:bCs/>
        </w:rPr>
        <w:t xml:space="preserve">Process description.</w:t>
      </w:r>
      <w:r>
        <w:t xml:space="preserve"> </w:t>
      </w:r>
      <w:r>
        <w:t xml:space="preserve">Stamped hinge blanks are bent to their final bracket geometry at 5 s per part, 1 819 good parts/day (no scrap allowance at this step).</w:t>
      </w:r>
    </w:p>
    <w:p>
      <w:pPr>
        <w:pStyle w:val="BodyText"/>
      </w:pPr>
      <w:r>
        <w:rPr>
          <w:b/>
          <w:bCs/>
        </w:rPr>
        <w:t xml:space="preserve">Machine selection and justification.</w:t>
      </w:r>
      <w:r>
        <w:t xml:space="preserve"> </w:t>
      </w:r>
      <w:r>
        <w:t xml:space="preserve">A small press brake with a dedicated V-die is selected: the bend is short, repeated and identical, which suits a fixed-tooling brake; an electric servo brake offers consistent angle repeatability without hydraulic services. A representative example is the Euromac FX Bend 850 electric press brake (monobloc frame, multi-axis backgauge), available through the same distributor network as the tapping equipment (Cotswold Machinery Sales, n.d.). The product page does not publish dimensions or tonnage, so footprint and capacity are quotation items; for a part this small, a bench-scale forming press is an acceptable lower-cost alternative to be tested at quotation.</w:t>
      </w:r>
    </w:p>
    <w:p>
      <w:pPr>
        <w:pStyle w:val="BodyText"/>
      </w:pPr>
      <w:r>
        <w:rPr>
          <w:b/>
          <w:bCs/>
        </w:rPr>
        <w:t xml:space="preserve">Machine specifications (Table 6.14).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Basis / Source</w:t>
            </w:r>
          </w:p>
        </w:tc>
      </w:tr>
      <w:tr>
        <w:tc>
          <w:tcPr/>
          <w:p>
            <w:pPr>
              <w:pStyle w:val="Compact"/>
            </w:pPr>
            <w:r>
              <w:t xml:space="preserve">Equipment type</w:t>
            </w:r>
          </w:p>
        </w:tc>
        <w:tc>
          <w:tcPr/>
          <w:p>
            <w:pPr>
              <w:pStyle w:val="Compact"/>
            </w:pPr>
            <w:r>
              <w:t xml:space="preserve">Small electric press brake + fixed V-die</w:t>
            </w:r>
          </w:p>
        </w:tc>
        <w:tc>
          <w:tcPr/>
          <w:p>
            <w:pPr>
              <w:pStyle w:val="Compact"/>
            </w:pPr>
            <w:r>
              <w:t xml:space="preserve">Market example: Euromac FX Bend 850</w:t>
            </w:r>
          </w:p>
        </w:tc>
      </w:tr>
      <w:tr>
        <w:tc>
          <w:tcPr/>
          <w:p>
            <w:pPr>
              <w:pStyle w:val="Compact"/>
            </w:pPr>
            <w:r>
              <w:t xml:space="preserve">Cycle time</w:t>
            </w:r>
          </w:p>
        </w:tc>
        <w:tc>
          <w:tcPr/>
          <w:p>
            <w:pPr>
              <w:pStyle w:val="Compact"/>
            </w:pPr>
            <w:r>
              <w:t xml:space="preserve">5 s/part</w:t>
            </w:r>
          </w:p>
        </w:tc>
        <w:tc>
          <w:tcPr/>
          <w:p>
            <w:pPr>
              <w:pStyle w:val="Compact"/>
            </w:pPr>
            <w:r>
              <w:t xml:space="preserve">Brief</w:t>
            </w:r>
          </w:p>
        </w:tc>
      </w:tr>
      <w:tr>
        <w:tc>
          <w:tcPr/>
          <w:p>
            <w:pPr>
              <w:pStyle w:val="Compact"/>
            </w:pPr>
            <w:r>
              <w:t xml:space="preserve">Daily throughput required</w:t>
            </w:r>
          </w:p>
        </w:tc>
        <w:tc>
          <w:tcPr/>
          <w:p>
            <w:pPr>
              <w:pStyle w:val="Compact"/>
            </w:pPr>
            <w:r>
              <w:t xml:space="preserve">1 819 parts/day</w:t>
            </w:r>
          </w:p>
        </w:tc>
        <w:tc>
          <w:tcPr/>
          <w:p>
            <w:pPr>
              <w:pStyle w:val="Compact"/>
            </w:pPr>
            <w:r>
              <w:t xml:space="preserve">Table 6.2 (good units)</w:t>
            </w:r>
          </w:p>
        </w:tc>
      </w:tr>
      <w:tr>
        <w:tc>
          <w:tcPr/>
          <w:p>
            <w:pPr>
              <w:pStyle w:val="Compact"/>
            </w:pPr>
            <w:r>
              <w:t xml:space="preserve">Machines required</w:t>
            </w:r>
          </w:p>
        </w:tc>
        <w:tc>
          <w:tcPr/>
          <w:p>
            <w:pPr>
              <w:pStyle w:val="Compact"/>
            </w:pPr>
            <w:r>
              <w:t xml:space="preserve">1 (utilisation 31.6 %)</w:t>
            </w:r>
          </w:p>
        </w:tc>
        <w:tc>
          <w:tcPr/>
          <w:p>
            <w:pPr>
              <w:pStyle w:val="Compact"/>
            </w:pPr>
            <w:r>
              <w:t xml:space="preserve">§6.4</w:t>
            </w:r>
          </w:p>
        </w:tc>
      </w:tr>
      <w:tr>
        <w:tc>
          <w:tcPr/>
          <w:p>
            <w:pPr>
              <w:pStyle w:val="Compact"/>
            </w:pPr>
            <w:r>
              <w:t xml:space="preserve">Operators</w:t>
            </w:r>
          </w:p>
        </w:tc>
        <w:tc>
          <w:tcPr/>
          <w:p>
            <w:pPr>
              <w:pStyle w:val="Compact"/>
            </w:pPr>
            <w:r>
              <w:t xml:space="preserve">1</w:t>
            </w:r>
          </w:p>
        </w:tc>
        <w:tc>
          <w:tcPr/>
          <w:p>
            <w:pPr>
              <w:pStyle w:val="Compact"/>
            </w:pPr>
            <w:r>
              <w:t xml:space="preserve">Workbook (1:1)</w:t>
            </w:r>
          </w:p>
        </w:tc>
      </w:tr>
      <w:tr>
        <w:tc>
          <w:tcPr/>
          <w:p>
            <w:pPr>
              <w:pStyle w:val="Compact"/>
            </w:pPr>
            <w:r>
              <w:t xml:space="preserve">Dimensions / tonnage</w:t>
            </w:r>
          </w:p>
        </w:tc>
        <w:tc>
          <w:tcPr/>
          <w:p>
            <w:pPr>
              <w:pStyle w:val="Compact"/>
            </w:pPr>
            <w:r>
              <w:t xml:space="preserve">Per supplier datasheet (quotation)</w:t>
            </w:r>
          </w:p>
        </w:tc>
        <w:tc>
          <w:tcPr/>
          <w:p>
            <w:pPr>
              <w:pStyle w:val="Compact"/>
            </w:pPr>
            <w:r>
              <w:t xml:space="preserve">Not published on product page</w:t>
            </w:r>
          </w:p>
        </w:tc>
      </w:tr>
    </w:tbl>
    <w:p>
      <w:pPr>
        <w:pStyle w:val="BodyText"/>
      </w:pPr>
      <w:r>
        <w:rPr>
          <w:b/>
          <w:bCs/>
        </w:rPr>
        <w:t xml:space="preserve">Workstation concept.</w:t>
      </w:r>
      <w:r>
        <w:t xml:space="preserve"> </w:t>
      </w:r>
      <w:r>
        <w:t xml:space="preserve">Bench-style cell: blank bin at the left, brake at centre, bent-part bin at the right, within the 6 m² allowance. Guarding or a light curtain is required at the pinch point.</w:t>
      </w:r>
    </w:p>
    <w:p>
      <w:pPr>
        <w:pStyle w:val="BodyText"/>
      </w:pPr>
      <w:r>
        <w:rPr>
          <w:b/>
          <w:bCs/>
        </w:rPr>
        <w:t xml:space="preserve">Material handling.</w:t>
      </w:r>
      <w:r>
        <w:t xml:space="preserve"> </w:t>
      </w:r>
      <w:r>
        <w:t xml:space="preserve">Bins by trolley from hinge stamping; bent hinges move to riveting staging.</w:t>
      </w:r>
    </w:p>
    <w:p>
      <w:pPr>
        <w:pStyle w:val="BodyText"/>
      </w:pPr>
      <w:r>
        <w:rPr>
          <w:b/>
          <w:bCs/>
        </w:rPr>
        <w:t xml:space="preserve">Layout implications.</w:t>
      </w:r>
      <w:r>
        <w:t xml:space="preserve"> </w:t>
      </w:r>
      <w:r>
        <w:t xml:space="preserve">Sits between hinge stamping and riveting in a straight short-flow lane. Its 31.6 % utilisation provides buffer flexibility; no special services or separation required.</w:t>
      </w:r>
    </w:p>
    <w:p>
      <w:pPr>
        <w:pStyle w:val="BodyText"/>
      </w:pPr>
      <w:r>
        <w:rPr>
          <w:i/>
          <w:iCs/>
        </w:rPr>
        <w:t xml:space="preserve">Detailed layout drawing and costed specification: Appendix C, Figure C.6 / Table C.6.</w:t>
      </w:r>
    </w:p>
    <w:bookmarkEnd w:id="28"/>
    <w:bookmarkStart w:id="29" w:name="shovel-head-shaping-and-bending"/>
    <w:p>
      <w:pPr>
        <w:pStyle w:val="Heading3"/>
      </w:pPr>
      <w:r>
        <w:t xml:space="preserve">6.3.8 Shovel Head Shaping and Bending</w:t>
      </w:r>
    </w:p>
    <w:p>
      <w:pPr>
        <w:pStyle w:val="FirstParagraph"/>
      </w:pPr>
      <w:r>
        <w:rPr>
          <w:b/>
          <w:bCs/>
        </w:rPr>
        <w:t xml:space="preserve">Process description.</w:t>
      </w:r>
      <w:r>
        <w:t xml:space="preserve"> </w:t>
      </w:r>
      <w:r>
        <w:t xml:space="preserve">Flat head blanks are formed to the dished/curved shovel profile at 2 s per head, 1 819 good heads/day. Forming precedes sharpening and serrating so that edge operations act on the final geometry.</w:t>
      </w:r>
    </w:p>
    <w:p>
      <w:pPr>
        <w:pStyle w:val="BodyText"/>
      </w:pPr>
      <w:r>
        <w:rPr>
          <w:b/>
          <w:bCs/>
        </w:rPr>
        <w:t xml:space="preserve">Machine selection and justification.</w:t>
      </w:r>
      <w:r>
        <w:t xml:space="preserve"> </w:t>
      </w:r>
      <w:r>
        <w:t xml:space="preserve">A forming press with a matched punch-and-die set is selected; the operation is a single-stroke form of soft 2.5 mm aluminium, within the same gap-frame press class as §6.3.5 — using a common press platform across stamping and forming standardises spares, dies and operator training (Stamtec OCP series, n.d.). Forming tonnage for the dished profile must be confirmed at die design.</w:t>
      </w:r>
    </w:p>
    <w:p>
      <w:pPr>
        <w:pStyle w:val="BodyText"/>
      </w:pPr>
      <w:r>
        <w:rPr>
          <w:b/>
          <w:bCs/>
        </w:rPr>
        <w:t xml:space="preserve">Machine specifications (Table 6.15).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Basis / Source</w:t>
            </w:r>
          </w:p>
        </w:tc>
      </w:tr>
      <w:tr>
        <w:tc>
          <w:tcPr/>
          <w:p>
            <w:pPr>
              <w:pStyle w:val="Compact"/>
            </w:pPr>
            <w:r>
              <w:t xml:space="preserve">Equipment type</w:t>
            </w:r>
          </w:p>
        </w:tc>
        <w:tc>
          <w:tcPr/>
          <w:p>
            <w:pPr>
              <w:pStyle w:val="Compact"/>
            </w:pPr>
            <w:r>
              <w:t xml:space="preserve">Gap-frame press + forming die set</w:t>
            </w:r>
          </w:p>
        </w:tc>
        <w:tc>
          <w:tcPr/>
          <w:p>
            <w:pPr>
              <w:pStyle w:val="Compact"/>
            </w:pPr>
            <w:r>
              <w:t xml:space="preserve">Market example: Stamtec OCP class (as §6.3.5)</w:t>
            </w:r>
          </w:p>
        </w:tc>
      </w:tr>
      <w:tr>
        <w:tc>
          <w:tcPr/>
          <w:p>
            <w:pPr>
              <w:pStyle w:val="Compact"/>
            </w:pPr>
            <w:r>
              <w:t xml:space="preserve">Cycle time</w:t>
            </w:r>
          </w:p>
        </w:tc>
        <w:tc>
          <w:tcPr/>
          <w:p>
            <w:pPr>
              <w:pStyle w:val="Compact"/>
            </w:pPr>
            <w:r>
              <w:t xml:space="preserve">2 s/head</w:t>
            </w:r>
          </w:p>
        </w:tc>
        <w:tc>
          <w:tcPr/>
          <w:p>
            <w:pPr>
              <w:pStyle w:val="Compact"/>
            </w:pPr>
            <w:r>
              <w:t xml:space="preserve">Brief</w:t>
            </w:r>
          </w:p>
        </w:tc>
      </w:tr>
      <w:tr>
        <w:tc>
          <w:tcPr/>
          <w:p>
            <w:pPr>
              <w:pStyle w:val="Compact"/>
            </w:pPr>
            <w:r>
              <w:t xml:space="preserve">Daily throughput required</w:t>
            </w:r>
          </w:p>
        </w:tc>
        <w:tc>
          <w:tcPr/>
          <w:p>
            <w:pPr>
              <w:pStyle w:val="Compact"/>
            </w:pPr>
            <w:r>
              <w:t xml:space="preserve">1 819 heads/day</w:t>
            </w:r>
          </w:p>
        </w:tc>
        <w:tc>
          <w:tcPr/>
          <w:p>
            <w:pPr>
              <w:pStyle w:val="Compact"/>
            </w:pPr>
            <w:r>
              <w:t xml:space="preserve">Table 6.2 (good units)</w:t>
            </w:r>
          </w:p>
        </w:tc>
      </w:tr>
      <w:tr>
        <w:tc>
          <w:tcPr/>
          <w:p>
            <w:pPr>
              <w:pStyle w:val="Compact"/>
            </w:pPr>
            <w:r>
              <w:t xml:space="preserve">Machines required</w:t>
            </w:r>
          </w:p>
        </w:tc>
        <w:tc>
          <w:tcPr/>
          <w:p>
            <w:pPr>
              <w:pStyle w:val="Compact"/>
            </w:pPr>
            <w:r>
              <w:t xml:space="preserve">1 (utilisation 12.6 %)</w:t>
            </w:r>
          </w:p>
        </w:tc>
        <w:tc>
          <w:tcPr/>
          <w:p>
            <w:pPr>
              <w:pStyle w:val="Compact"/>
            </w:pPr>
            <w:r>
              <w:t xml:space="preserve">§6.4</w:t>
            </w:r>
          </w:p>
        </w:tc>
      </w:tr>
      <w:tr>
        <w:tc>
          <w:tcPr/>
          <w:p>
            <w:pPr>
              <w:pStyle w:val="Compact"/>
            </w:pPr>
            <w:r>
              <w:t xml:space="preserve">Operators</w:t>
            </w:r>
          </w:p>
        </w:tc>
        <w:tc>
          <w:tcPr/>
          <w:p>
            <w:pPr>
              <w:pStyle w:val="Compact"/>
            </w:pPr>
            <w:r>
              <w:t xml:space="preserve">1</w:t>
            </w:r>
          </w:p>
        </w:tc>
        <w:tc>
          <w:tcPr/>
          <w:p>
            <w:pPr>
              <w:pStyle w:val="Compact"/>
            </w:pPr>
            <w:r>
              <w:t xml:space="preserve">Workbook (1:1)</w:t>
            </w:r>
          </w:p>
        </w:tc>
      </w:tr>
      <w:tr>
        <w:tc>
          <w:tcPr/>
          <w:p>
            <w:pPr>
              <w:pStyle w:val="Compact"/>
            </w:pPr>
            <w:r>
              <w:t xml:space="preserve">Forming tonnage</w:t>
            </w:r>
          </w:p>
        </w:tc>
        <w:tc>
          <w:tcPr/>
          <w:p>
            <w:pPr>
              <w:pStyle w:val="Compact"/>
            </w:pPr>
            <w:r>
              <w:t xml:space="preserve">At die design</w:t>
            </w:r>
          </w:p>
        </w:tc>
        <w:tc>
          <w:tcPr/>
          <w:p>
            <w:pPr>
              <w:pStyle w:val="Compact"/>
            </w:pPr>
            <w:r>
              <w:t xml:space="preserve">Profile depth and material spring-back</w:t>
            </w:r>
          </w:p>
        </w:tc>
      </w:tr>
    </w:tbl>
    <w:p>
      <w:pPr>
        <w:pStyle w:val="BodyText"/>
      </w:pPr>
      <w:r>
        <w:rPr>
          <w:b/>
          <w:bCs/>
        </w:rPr>
        <w:t xml:space="preserve">Workstation concept.</w:t>
      </w:r>
      <w:r>
        <w:t xml:space="preserve"> </w:t>
      </w:r>
      <w:r>
        <w:t xml:space="preserve">Single-operator press cell as §6.3.5 but without sheet infeed — blanks arrive in bins, formed heads leave in bins. Fits the 6 m² allowance.</w:t>
      </w:r>
    </w:p>
    <w:p>
      <w:pPr>
        <w:pStyle w:val="BodyText"/>
      </w:pPr>
      <w:r>
        <w:rPr>
          <w:b/>
          <w:bCs/>
        </w:rPr>
        <w:t xml:space="preserve">Material handling.</w:t>
      </w:r>
      <w:r>
        <w:t xml:space="preserve"> </w:t>
      </w:r>
      <w:r>
        <w:t xml:space="preserve">Bins by trolley from head stamping; formed heads to the sharpening bank (§6.3.9), the sheet stream’s bottleneck, so the output buffer here should be sized to keep sharpening continuously fed.</w:t>
      </w:r>
    </w:p>
    <w:p>
      <w:pPr>
        <w:pStyle w:val="BodyText"/>
      </w:pPr>
      <w:r>
        <w:rPr>
          <w:b/>
          <w:bCs/>
        </w:rPr>
        <w:t xml:space="preserve">Layout implications.</w:t>
      </w:r>
      <w:r>
        <w:t xml:space="preserve"> </w:t>
      </w:r>
      <w:r>
        <w:t xml:space="preserve">Completes the press cell (three presses and one brake in one zone: head stamp, hinge stamp, hinge bend, head form). Combined press-cell utilisation is low (13 %, 13 %, 32 %, 13 %), so this zone is compact, flexible and a natural place to reserve part of the 10 % expansion allowance — capacity can grow here by die-set additions rather than floor-area additions. The cell’s single critical adjacency is its output side: it must feed the eight-station sharpening bank without long transport.</w:t>
      </w:r>
    </w:p>
    <w:p>
      <w:pPr>
        <w:pStyle w:val="BodyText"/>
      </w:pPr>
      <w:r>
        <w:rPr>
          <w:i/>
          <w:iCs/>
        </w:rPr>
        <w:t xml:space="preserve">Detailed layout drawing and costed specification: Appendix C, Figure C.7 / Table C.7.</w:t>
      </w:r>
    </w:p>
    <w:bookmarkEnd w:id="29"/>
    <w:bookmarkStart w:id="34" w:name="blade-sharpening"/>
    <w:p>
      <w:pPr>
        <w:pStyle w:val="Heading3"/>
      </w:pPr>
      <w:r>
        <w:t xml:space="preserve">6.3.9 Blade Sharpening</w:t>
      </w:r>
    </w:p>
    <w:p>
      <w:pPr>
        <w:pStyle w:val="FirstParagraph"/>
      </w:pPr>
      <w:r>
        <w:rPr>
          <w:b/>
          <w:bCs/>
        </w:rPr>
        <w:t xml:space="preserve">Process description.</w:t>
      </w:r>
      <w:r>
        <w:t xml:space="preserve"> </w:t>
      </w:r>
      <w:r>
        <w:t xml:space="preserve">The leading edge of each formed shovel head is ground to a cutting bevel at 120 s per shovel — the longest cycle in the facility. At 1 819 heads/day this operation requires eight parallel stations at 94.7 % utilisation, making it the facility-wide bottleneck and the single largest driver of production floor area and headcount.</w:t>
      </w:r>
    </w:p>
    <w:p>
      <w:pPr>
        <w:pStyle w:val="BodyText"/>
      </w:pPr>
      <w:r>
        <w:rPr>
          <w:b/>
          <w:bCs/>
        </w:rPr>
        <w:t xml:space="preserve">Machine selection and justification.</w:t>
      </w:r>
      <w:r>
        <w:t xml:space="preserve"> </w:t>
      </w:r>
      <w:r>
        <w:t xml:space="preserve">A pedestal abrasive belt grinder is selected: belt grinding suits manual-assisted bevel work on a curved aluminium edge because the operator presents the head to the belt at a controlled angle, the abrasive runs cooler than a solid wheel on aluminium, and belts are changed in seconds. A representative example with a published specification is the Fein GRIT GI75 (75 × 2 000 mm belt, 4 kW, 415 V, 3 000 rpm), explicitly rated for non-ferrous metals and available on an extraction base (EC Hopkins, n.d.). The extraction-base variant is the relevant one here, for the dust reasons below.</w:t>
      </w:r>
    </w:p>
    <w:p>
      <w:pPr>
        <w:pStyle w:val="BodyText"/>
      </w:pPr>
      <w:r>
        <w:rPr>
          <w:b/>
          <w:bCs/>
        </w:rPr>
        <w:t xml:space="preserve">Machine specifications (Table 6.16).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Basis / Source</w:t>
            </w:r>
          </w:p>
        </w:tc>
      </w:tr>
      <w:tr>
        <w:tc>
          <w:tcPr/>
          <w:p>
            <w:pPr>
              <w:pStyle w:val="Compact"/>
            </w:pPr>
            <w:r>
              <w:t xml:space="preserve">Equipment type</w:t>
            </w:r>
          </w:p>
        </w:tc>
        <w:tc>
          <w:tcPr/>
          <w:p>
            <w:pPr>
              <w:pStyle w:val="Compact"/>
            </w:pPr>
            <w:r>
              <w:t xml:space="preserve">Pedestal abrasive belt grinder, extraction base</w:t>
            </w:r>
          </w:p>
        </w:tc>
        <w:tc>
          <w:tcPr/>
          <w:p>
            <w:pPr>
              <w:pStyle w:val="Compact"/>
            </w:pPr>
            <w:r>
              <w:t xml:space="preserve">Market example: Fein GRIT GI75 (GIBE base)</w:t>
            </w:r>
          </w:p>
        </w:tc>
      </w:tr>
      <w:tr>
        <w:tc>
          <w:tcPr/>
          <w:p>
            <w:pPr>
              <w:pStyle w:val="Compact"/>
            </w:pPr>
            <w:r>
              <w:t xml:space="preserve">Belt / power</w:t>
            </w:r>
          </w:p>
        </w:tc>
        <w:tc>
          <w:tcPr/>
          <w:p>
            <w:pPr>
              <w:pStyle w:val="Compact"/>
            </w:pPr>
            <w:r>
              <w:t xml:space="preserve">75 × 2 000 mm; 4 kW, 415 V, 3 000 rpm</w:t>
            </w:r>
          </w:p>
        </w:tc>
        <w:tc>
          <w:tcPr/>
          <w:p>
            <w:pPr>
              <w:pStyle w:val="Compact"/>
            </w:pPr>
            <w:r>
              <w:t xml:space="preserve">Supplier specification table</w:t>
            </w:r>
          </w:p>
        </w:tc>
      </w:tr>
      <w:tr>
        <w:tc>
          <w:tcPr/>
          <w:p>
            <w:pPr>
              <w:pStyle w:val="Compact"/>
            </w:pPr>
            <w:r>
              <w:t xml:space="preserve">Cycle time</w:t>
            </w:r>
          </w:p>
        </w:tc>
        <w:tc>
          <w:tcPr/>
          <w:p>
            <w:pPr>
              <w:pStyle w:val="Compact"/>
            </w:pPr>
            <w:r>
              <w:t xml:space="preserve">120 s/shovel</w:t>
            </w:r>
          </w:p>
        </w:tc>
        <w:tc>
          <w:tcPr/>
          <w:p>
            <w:pPr>
              <w:pStyle w:val="Compact"/>
            </w:pPr>
            <w:r>
              <w:t xml:space="preserve">Brief</w:t>
            </w:r>
          </w:p>
        </w:tc>
      </w:tr>
      <w:tr>
        <w:tc>
          <w:tcPr/>
          <w:p>
            <w:pPr>
              <w:pStyle w:val="Compact"/>
            </w:pPr>
            <w:r>
              <w:t xml:space="preserve">Daily throughput required</w:t>
            </w:r>
          </w:p>
        </w:tc>
        <w:tc>
          <w:tcPr/>
          <w:p>
            <w:pPr>
              <w:pStyle w:val="Compact"/>
            </w:pPr>
            <w:r>
              <w:t xml:space="preserve">1 819 heads/day</w:t>
            </w:r>
          </w:p>
        </w:tc>
        <w:tc>
          <w:tcPr/>
          <w:p>
            <w:pPr>
              <w:pStyle w:val="Compact"/>
            </w:pPr>
            <w:r>
              <w:t xml:space="preserve">Table 6.2 (good units)</w:t>
            </w:r>
          </w:p>
        </w:tc>
      </w:tr>
      <w:tr>
        <w:tc>
          <w:tcPr/>
          <w:p>
            <w:pPr>
              <w:pStyle w:val="Compact"/>
            </w:pPr>
            <w:r>
              <w:t xml:space="preserve">Machines required</w:t>
            </w:r>
          </w:p>
        </w:tc>
        <w:tc>
          <w:tcPr/>
          <w:p>
            <w:pPr>
              <w:pStyle w:val="Compact"/>
            </w:pPr>
            <w:r>
              <w:t xml:space="preserve">8 (utilisation 94.7 %)</w:t>
            </w:r>
          </w:p>
        </w:tc>
        <w:tc>
          <w:tcPr/>
          <w:p>
            <w:pPr>
              <w:pStyle w:val="Compact"/>
            </w:pPr>
            <w:r>
              <w:t xml:space="preserve">§6.4 — facility bottleneck</w:t>
            </w:r>
          </w:p>
        </w:tc>
      </w:tr>
      <w:tr>
        <w:tc>
          <w:tcPr/>
          <w:p>
            <w:pPr>
              <w:pStyle w:val="Compact"/>
            </w:pPr>
            <w:r>
              <w:t xml:space="preserve">Operators</w:t>
            </w:r>
          </w:p>
        </w:tc>
        <w:tc>
          <w:tcPr/>
          <w:p>
            <w:pPr>
              <w:pStyle w:val="Compact"/>
            </w:pPr>
            <w:r>
              <w:t xml:space="preserve">8</w:t>
            </w:r>
          </w:p>
        </w:tc>
        <w:tc>
          <w:tcPr/>
          <w:p>
            <w:pPr>
              <w:pStyle w:val="Compact"/>
            </w:pPr>
            <w:r>
              <w:t xml:space="preserve">Workbook (1:1)</w:t>
            </w:r>
          </w:p>
        </w:tc>
      </w:tr>
      <w:tr>
        <w:tc>
          <w:tcPr/>
          <w:p>
            <w:pPr>
              <w:pStyle w:val="Compact"/>
            </w:pPr>
            <w:r>
              <w:t xml:space="preserve">Dust extraction</w:t>
            </w:r>
          </w:p>
        </w:tc>
        <w:tc>
          <w:tcPr/>
          <w:p>
            <w:pPr>
              <w:pStyle w:val="Compact"/>
            </w:pPr>
            <w:r>
              <w:t xml:space="preserve">Required (combustible aluminium dust)</w:t>
            </w:r>
          </w:p>
        </w:tc>
        <w:tc>
          <w:tcPr/>
          <w:p>
            <w:pPr>
              <w:pStyle w:val="Compact"/>
            </w:pPr>
            <w:r>
              <w:t xml:space="preserve">Facilities factor — see below [VERIFY local regulations]</w:t>
            </w:r>
          </w:p>
        </w:tc>
      </w:tr>
    </w:tbl>
    <w:p>
      <w:pPr>
        <w:pStyle w:val="BodyText"/>
      </w:pPr>
      <w:r>
        <w:rPr>
          <w:b/>
          <w:bCs/>
        </w:rPr>
        <w:t xml:space="preserve">Workstation layout.</w:t>
      </w:r>
      <w:r>
        <w:t xml:space="preserve"> </w:t>
      </w:r>
      <w:r>
        <w:t xml:space="preserve">Each station is defined as: grinder on extraction base at the rear of the cell; operator zone in front of the belt; inbound WIP bin (formed heads) at the left; outbound bin (sharpened heads) at the right; extraction ducting overhead or at the rear. The station area build-up in Equation 6.9 confirms the workbook’s 6 m² allowance:</w:t>
      </w:r>
    </w:p>
    <w:p>
      <w:pPr>
        <w:pStyle w:val="BodyText"/>
      </w:pPr>
      <w:r>
        <w:rPr>
          <w:b/>
          <w:bCs/>
        </w:rPr>
        <w:t xml:space="preserve">Equation 6.9: Workstation area build-up (sharpening station)</w:t>
      </w:r>
    </w:p>
    <w:p>
      <w:pPr>
        <w:pStyle w:val="BodyText"/>
      </w:pPr>
      <m:oMathPara>
        <m:oMathParaPr>
          <m:jc m:val="center"/>
        </m:oMathParaPr>
        <m:oMath>
          <m:sSub>
            <m:e>
              <m:r>
                <m:t>A</m:t>
              </m:r>
            </m:e>
            <m:sub>
              <m:r>
                <m:rPr>
                  <m:nor/>
                  <m:sty m:val="p"/>
                </m:rPr>
                <m:t>station</m:t>
              </m:r>
            </m:sub>
          </m:sSub>
          <m:r>
            <m:rPr>
              <m:sty m:val="p"/>
            </m:rPr>
            <m:t>=</m:t>
          </m:r>
          <m:sSub>
            <m:e>
              <m:r>
                <m:t>A</m:t>
              </m:r>
            </m:e>
            <m:sub>
              <m:r>
                <m:rPr>
                  <m:nor/>
                  <m:sty m:val="p"/>
                </m:rPr>
                <m:t>machine</m:t>
              </m:r>
            </m:sub>
          </m:sSub>
          <m:r>
            <m:rPr>
              <m:sty m:val="p"/>
            </m:rPr>
            <m:t>+</m:t>
          </m:r>
          <m:sSub>
            <m:e>
              <m:r>
                <m:t>A</m:t>
              </m:r>
            </m:e>
            <m:sub>
              <m:r>
                <m:rPr>
                  <m:nor/>
                  <m:sty m:val="p"/>
                </m:rPr>
                <m:t>operator</m:t>
              </m:r>
            </m:sub>
          </m:sSub>
          <m:r>
            <m:rPr>
              <m:sty m:val="p"/>
            </m:rPr>
            <m:t>+</m:t>
          </m:r>
          <m:sSub>
            <m:e>
              <m:r>
                <m:t>A</m:t>
              </m:r>
            </m:e>
            <m:sub>
              <m:r>
                <m:rPr>
                  <m:nor/>
                  <m:sty m:val="p"/>
                </m:rPr>
                <m:t>WIP in/out</m:t>
              </m:r>
            </m:sub>
          </m:sSub>
          <m:r>
            <m:rPr>
              <m:sty m:val="p"/>
            </m:rPr>
            <m:t>+</m:t>
          </m:r>
          <m:sSub>
            <m:e>
              <m:r>
                <m:t>A</m:t>
              </m:r>
            </m:e>
            <m:sub>
              <m:r>
                <m:rPr>
                  <m:nor/>
                  <m:sty m:val="p"/>
                </m:rPr>
                <m:t>access</m:t>
              </m:r>
            </m:sub>
          </m:sSub>
          <m:r>
            <m:rPr>
              <m:sty m:val="p"/>
            </m:rPr>
            <m:t>=</m:t>
          </m:r>
          <m:r>
            <m:t>1.0</m:t>
          </m:r>
          <m:r>
            <m:rPr>
              <m:sty m:val="p"/>
            </m:rPr>
            <m:t>+</m:t>
          </m:r>
          <m:r>
            <m:t>1.5</m:t>
          </m:r>
          <m:r>
            <m:rPr>
              <m:sty m:val="p"/>
            </m:rPr>
            <m:t>+</m:t>
          </m:r>
          <m:r>
            <m:t>2.0</m:t>
          </m:r>
          <m:r>
            <m:rPr>
              <m:sty m:val="p"/>
            </m:rPr>
            <m:t>+</m:t>
          </m:r>
          <m:r>
            <m:t>1.5</m:t>
          </m:r>
          <m:r>
            <m:rPr>
              <m:sty m:val="p"/>
            </m:rPr>
            <m:t>=</m:t>
          </m:r>
          <m:r>
            <m:t>6.0</m:t>
          </m:r>
          <m:r>
            <m:t> </m:t>
          </m:r>
          <m:sSup>
            <m:e>
              <m:r>
                <m:rPr>
                  <m:nor/>
                  <m:sty m:val="p"/>
                </m:rPr>
                <m:t>m</m:t>
              </m:r>
            </m:e>
            <m:sup>
              <m:r>
                <m:t>2</m:t>
              </m:r>
            </m:sup>
          </m:sSup>
        </m:oMath>
      </m:oMathPara>
    </w:p>
    <w:p>
      <w:pPr>
        <w:pStyle w:val="FirstParagraph"/>
      </w:pPr>
      <w:r>
        <w:rPr>
          <w:i/>
          <w:iCs/>
        </w:rPr>
        <w:t xml:space="preserve">(Component split is a design assumption within the workbook’s 6 m² allowance.)</w:t>
      </w:r>
      <w:r>
        <w:t xml:space="preserve"> </w:t>
      </w:r>
      <w:r>
        <w:t xml:space="preserve">The eight stations are arranged as two facing rows of four, sharing a central WIP lane fed from the press cell and a common extraction trunk along the rear of each row — bank area 8 × 6 = 48 m² before circulation.</w:t>
      </w:r>
    </w:p>
    <w:p>
      <w:pPr>
        <w:pStyle w:val="BodyText"/>
      </w:pPr>
      <w:r>
        <w:drawing>
          <wp:inline>
            <wp:extent cx="5399999" cy="5317467"/>
            <wp:effectExtent b="0" l="0" r="0" t="0"/>
            <wp:docPr descr="" title="" id="31" name="Picture"/>
            <a:graphic>
              <a:graphicData uri="http://schemas.openxmlformats.org/drawingml/2006/picture">
                <pic:pic>
                  <pic:nvPicPr>
                    <pic:cNvPr descr="C08_sharpening_bank.svg" id="32" name="Picture"/>
                    <pic:cNvPicPr>
                      <a:picLocks noChangeArrowheads="1" noChangeAspect="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399999" cy="5317467"/>
                    </a:xfrm>
                    <a:prstGeom prst="rect">
                      <a:avLst/>
                    </a:prstGeom>
                    <a:noFill/>
                    <a:ln w="9525">
                      <a:noFill/>
                      <a:headEnd/>
                      <a:tailEnd/>
                    </a:ln>
                  </pic:spPr>
                </pic:pic>
              </a:graphicData>
            </a:graphic>
          </wp:inline>
        </w:drawing>
      </w:r>
    </w:p>
    <w:p>
      <w:pPr>
        <w:pStyle w:val="BodyText"/>
      </w:pPr>
      <w:r>
        <w:rPr>
          <w:b/>
          <w:bCs/>
        </w:rPr>
        <w:t xml:space="preserve">Figure 6.6: Blade sharpening and serrating bank — two facing rows of four grinding stations with central WIP lane and shared extraction trunk, feeding the serrating row. (Author’s own; machine proportions adapted from EC Hopkins, n.d.)</w:t>
      </w:r>
    </w:p>
    <w:p>
      <w:pPr>
        <w:pStyle w:val="BodyText"/>
      </w:pPr>
      <w:r>
        <w:rPr>
          <w:b/>
          <w:bCs/>
        </w:rPr>
        <w:t xml:space="preserve">Material handling.</w:t>
      </w:r>
      <w:r>
        <w:t xml:space="preserve"> </w:t>
      </w:r>
      <w:r>
        <w:t xml:space="preserve">Formed heads arrive by trolley from the press cell into the central WIP lane; sharpened heads move by bin to serrating. The bank’s inbound buffer must hold at least several hours of supply, because at 94.7 % utilisation the bank cannot recover lost time within the shift.</w:t>
      </w:r>
    </w:p>
    <w:p>
      <w:pPr>
        <w:pStyle w:val="BodyText"/>
      </w:pPr>
      <w:r>
        <w:rPr>
          <w:b/>
          <w:bCs/>
        </w:rPr>
        <w:t xml:space="preserve">Waste and facilities factors.</w:t>
      </w:r>
      <w:r>
        <w:t xml:space="preserve"> </w:t>
      </w:r>
      <w:r>
        <w:t xml:space="preserve">Grinding aluminium produces fine combustible dust: each station requires connection to a dedicated extraction system with collectors appropriate to combustible metal dust (per combustible-metals good practice such as NFPA 484 — local regulatory equivalent to be confirmed [VERIFY]), and this dust stream must not be mixed with any spark-producing process. The bank is also the facility’s dominant noise source, so it should be acoustically zoned away from assembly, packaging and offices, with hearing protection mandatory inside the zone. Spent belts and collected dust form a distinct waste stream to the scrap/waste store.</w:t>
      </w:r>
    </w:p>
    <w:p>
      <w:pPr>
        <w:pStyle w:val="BodyText"/>
      </w:pPr>
      <w:r>
        <w:rPr>
          <w:b/>
          <w:bCs/>
        </w:rPr>
        <w:t xml:space="preserve">Layout implications.</w:t>
      </w:r>
      <w:r>
        <w:t xml:space="preserve"> </w:t>
      </w:r>
      <w:r>
        <w:t xml:space="preserve">As the bottleneck, the sharpening bank dictates facility output: it deserves the most generous WIP staging, the closest maintenance access, and placement where supervisors can see queue build-up at a glance. Its extraction, noise and combustible-dust requirements argue for a dedicated finishing zone shared with serrating and polishing, separated from the enclosed powder-coating area (an ignition-sensitive zone) and from final assembly. Any future cycle-time improvement here (powered jigs, preformed bevel from the forming die) releases more capacity than at any other station — a point the layout alternatives should preserve by leaving expansion space adjacent to this bank.</w:t>
      </w:r>
    </w:p>
    <w:p>
      <w:pPr>
        <w:pStyle w:val="BodyText"/>
      </w:pPr>
      <w:r>
        <w:rPr>
          <w:i/>
          <w:iCs/>
        </w:rPr>
        <w:t xml:space="preserve">Detailed layout drawing and costed specification: Appendix C, Figure C.8 / Table C.8.</w:t>
      </w:r>
    </w:p>
    <w:bookmarkEnd w:id="34"/>
    <w:bookmarkStart w:id="35" w:name="blade-serrating"/>
    <w:p>
      <w:pPr>
        <w:pStyle w:val="Heading3"/>
      </w:pPr>
      <w:r>
        <w:t xml:space="preserve">6.3.10 Blade Serrating</w:t>
      </w:r>
    </w:p>
    <w:p>
      <w:pPr>
        <w:pStyle w:val="FirstParagraph"/>
      </w:pPr>
      <w:r>
        <w:rPr>
          <w:b/>
          <w:bCs/>
        </w:rPr>
        <w:t xml:space="preserve">Process description.</w:t>
      </w:r>
      <w:r>
        <w:t xml:space="preserve"> </w:t>
      </w:r>
      <w:r>
        <w:t xml:space="preserve">A serrated section is formed along the blade edge at 60 s per shovel, immediately after sharpening: 1 819 heads/day, four parallel stations at 94.7 % utilisation — jointly bottleneck-critical with sharpening.</w:t>
      </w:r>
    </w:p>
    <w:p>
      <w:pPr>
        <w:pStyle w:val="BodyText"/>
      </w:pPr>
      <w:r>
        <w:rPr>
          <w:b/>
          <w:bCs/>
        </w:rPr>
        <w:t xml:space="preserve">Machine selection and justification.</w:t>
      </w:r>
      <w:r>
        <w:t xml:space="preserve"> </w:t>
      </w:r>
      <w:r>
        <w:t xml:space="preserve">Two equipment classes can produce the serration, and the choice is flagged as a quotation decision. The base selection is a profiled abrasive station (the same GI75 grinder class as §6.3.9 fitted with a formed contact wheel), which keeps the finishing bank homogeneous — common spares, belts, extraction and operator skills (EC Hopkins, n.d.). The alternative is mechanical notching: a hydraulic notching machine such as the Euromac VA Multi 220/6R (220 mm blade, up to 6.5 mm capacity, 50–80 strokes/min, 1 100 × 950 × 1 280 mm) far exceeds the 2.5 mm aluminium duty and would cut the serration in seconds rather than 60 s (Cotswold Machinery Sales, n.d.), but introduces a second machine class and tooling geometry to be proven on a curved edge [VERIFY]. The brief’s 60 s cycle is retained as the design basis in either case.</w:t>
      </w:r>
    </w:p>
    <w:p>
      <w:pPr>
        <w:pStyle w:val="BodyText"/>
      </w:pPr>
      <w:r>
        <w:rPr>
          <w:b/>
          <w:bCs/>
        </w:rPr>
        <w:t xml:space="preserve">Machine specifications (Table 6.17).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Basis / Source</w:t>
            </w:r>
          </w:p>
        </w:tc>
      </w:tr>
      <w:tr>
        <w:tc>
          <w:tcPr/>
          <w:p>
            <w:pPr>
              <w:pStyle w:val="Compact"/>
            </w:pPr>
            <w:r>
              <w:t xml:space="preserve">Equipment type (base)</w:t>
            </w:r>
          </w:p>
        </w:tc>
        <w:tc>
          <w:tcPr/>
          <w:p>
            <w:pPr>
              <w:pStyle w:val="Compact"/>
            </w:pPr>
            <w:r>
              <w:t xml:space="preserve">Profiled abrasive station (GI75 class)</w:t>
            </w:r>
          </w:p>
        </w:tc>
        <w:tc>
          <w:tcPr/>
          <w:p>
            <w:pPr>
              <w:pStyle w:val="Compact"/>
            </w:pPr>
            <w:r>
              <w:t xml:space="preserve">Homogeneous bank with §6.3.9</w:t>
            </w:r>
          </w:p>
        </w:tc>
      </w:tr>
      <w:tr>
        <w:tc>
          <w:tcPr/>
          <w:p>
            <w:pPr>
              <w:pStyle w:val="Compact"/>
            </w:pPr>
            <w:r>
              <w:t xml:space="preserve">Equipment type (alternative)</w:t>
            </w:r>
          </w:p>
        </w:tc>
        <w:tc>
          <w:tcPr/>
          <w:p>
            <w:pPr>
              <w:pStyle w:val="Compact"/>
            </w:pPr>
            <w:r>
              <w:t xml:space="preserve">Hydraulic notching machine</w:t>
            </w:r>
          </w:p>
        </w:tc>
        <w:tc>
          <w:tcPr/>
          <w:p>
            <w:pPr>
              <w:pStyle w:val="Compact"/>
            </w:pPr>
            <w:r>
              <w:t xml:space="preserve">Market example: Euromac VA Multi 220/6R</w:t>
            </w:r>
          </w:p>
        </w:tc>
      </w:tr>
      <w:tr>
        <w:tc>
          <w:tcPr/>
          <w:p>
            <w:pPr>
              <w:pStyle w:val="Compact"/>
            </w:pPr>
            <w:r>
              <w:t xml:space="preserve">Alternative capacity</w:t>
            </w:r>
          </w:p>
        </w:tc>
        <w:tc>
          <w:tcPr/>
          <w:p>
            <w:pPr>
              <w:pStyle w:val="Compact"/>
            </w:pPr>
            <w:r>
              <w:t xml:space="preserve">6.5 mm max thickness; 50–80 strokes/min; 1 100 × 950 × 1 280 mm</w:t>
            </w:r>
          </w:p>
        </w:tc>
        <w:tc>
          <w:tcPr/>
          <w:p>
            <w:pPr>
              <w:pStyle w:val="Compact"/>
            </w:pPr>
            <w:r>
              <w:t xml:space="preserve">Supplier specification table</w:t>
            </w:r>
          </w:p>
        </w:tc>
      </w:tr>
      <w:tr>
        <w:tc>
          <w:tcPr/>
          <w:p>
            <w:pPr>
              <w:pStyle w:val="Compact"/>
            </w:pPr>
            <w:r>
              <w:t xml:space="preserve">Cycle time</w:t>
            </w:r>
          </w:p>
        </w:tc>
        <w:tc>
          <w:tcPr/>
          <w:p>
            <w:pPr>
              <w:pStyle w:val="Compact"/>
            </w:pPr>
            <w:r>
              <w:t xml:space="preserve">60 s/shovel</w:t>
            </w:r>
          </w:p>
        </w:tc>
        <w:tc>
          <w:tcPr/>
          <w:p>
            <w:pPr>
              <w:pStyle w:val="Compact"/>
            </w:pPr>
            <w:r>
              <w:t xml:space="preserve">Brief (design basis)</w:t>
            </w:r>
          </w:p>
        </w:tc>
      </w:tr>
      <w:tr>
        <w:tc>
          <w:tcPr/>
          <w:p>
            <w:pPr>
              <w:pStyle w:val="Compact"/>
            </w:pPr>
            <w:r>
              <w:t xml:space="preserve">Daily throughput required</w:t>
            </w:r>
          </w:p>
        </w:tc>
        <w:tc>
          <w:tcPr/>
          <w:p>
            <w:pPr>
              <w:pStyle w:val="Compact"/>
            </w:pPr>
            <w:r>
              <w:t xml:space="preserve">1 819 heads/day</w:t>
            </w:r>
          </w:p>
        </w:tc>
        <w:tc>
          <w:tcPr/>
          <w:p>
            <w:pPr>
              <w:pStyle w:val="Compact"/>
            </w:pPr>
            <w:r>
              <w:t xml:space="preserve">Table 6.2 (good units)</w:t>
            </w:r>
          </w:p>
        </w:tc>
      </w:tr>
      <w:tr>
        <w:tc>
          <w:tcPr/>
          <w:p>
            <w:pPr>
              <w:pStyle w:val="Compact"/>
            </w:pPr>
            <w:r>
              <w:t xml:space="preserve">Machines required</w:t>
            </w:r>
          </w:p>
        </w:tc>
        <w:tc>
          <w:tcPr/>
          <w:p>
            <w:pPr>
              <w:pStyle w:val="Compact"/>
            </w:pPr>
            <w:r>
              <w:t xml:space="preserve">4 (utilisation 94.7 %)</w:t>
            </w:r>
          </w:p>
        </w:tc>
        <w:tc>
          <w:tcPr/>
          <w:p>
            <w:pPr>
              <w:pStyle w:val="Compact"/>
            </w:pPr>
            <w:r>
              <w:t xml:space="preserve">§6.4</w:t>
            </w:r>
          </w:p>
        </w:tc>
      </w:tr>
      <w:tr>
        <w:tc>
          <w:tcPr/>
          <w:p>
            <w:pPr>
              <w:pStyle w:val="Compact"/>
            </w:pPr>
            <w:r>
              <w:t xml:space="preserve">Operators</w:t>
            </w:r>
          </w:p>
        </w:tc>
        <w:tc>
          <w:tcPr/>
          <w:p>
            <w:pPr>
              <w:pStyle w:val="Compact"/>
            </w:pPr>
            <w:r>
              <w:t xml:space="preserve">4</w:t>
            </w:r>
          </w:p>
        </w:tc>
        <w:tc>
          <w:tcPr/>
          <w:p>
            <w:pPr>
              <w:pStyle w:val="Compact"/>
            </w:pPr>
            <w:r>
              <w:t xml:space="preserve">Workbook (1:1)</w:t>
            </w:r>
          </w:p>
        </w:tc>
      </w:tr>
    </w:tbl>
    <w:p>
      <w:pPr>
        <w:pStyle w:val="BodyText"/>
      </w:pPr>
      <w:r>
        <w:rPr>
          <w:b/>
          <w:bCs/>
        </w:rPr>
        <w:t xml:space="preserve">Workstation layout.</w:t>
      </w:r>
      <w:r>
        <w:t xml:space="preserve"> </w:t>
      </w:r>
      <w:r>
        <w:t xml:space="preserve">Identical 6 m² station definition to Equation 6.9 (machine rear, operator front, WIP bins left/right, extraction at rear). The four stations form a single row at the outbound end of the sharpening bank’s WIP lane, so sharpened heads flow directly across without trolley transport — bank area 4 × 6 = 24 m² before circulation. The serrating row appears in Figure 6.6 as the downstream row of the finishing bank.</w:t>
      </w:r>
    </w:p>
    <w:p>
      <w:pPr>
        <w:pStyle w:val="BodyText"/>
      </w:pPr>
      <w:r>
        <w:rPr>
          <w:b/>
          <w:bCs/>
        </w:rPr>
        <w:t xml:space="preserve">Material handling.</w:t>
      </w:r>
      <w:r>
        <w:t xml:space="preserve"> </w:t>
      </w:r>
      <w:r>
        <w:t xml:space="preserve">Direct bin transfer from the sharpening rows; serrated heads leave by trolley to riveting. Shared extraction and waste stream with sharpening.</w:t>
      </w:r>
    </w:p>
    <w:p>
      <w:pPr>
        <w:pStyle w:val="BodyText"/>
      </w:pPr>
      <w:r>
        <w:rPr>
          <w:b/>
          <w:bCs/>
        </w:rPr>
        <w:t xml:space="preserve">Waste and facilities factors.</w:t>
      </w:r>
      <w:r>
        <w:t xml:space="preserve"> </w:t>
      </w:r>
      <w:r>
        <w:t xml:space="preserve">Same combustible aluminium dust, extraction and noise requirements as §6.3.9 (abrasive base case); the notching alternative would instead generate small solid offcuts to the scrap stream and hydraulic-oil servicing (50 L tank on the example machine).</w:t>
      </w:r>
    </w:p>
    <w:p>
      <w:pPr>
        <w:pStyle w:val="BodyText"/>
      </w:pPr>
      <w:r>
        <w:rPr>
          <w:b/>
          <w:bCs/>
        </w:rPr>
        <w:t xml:space="preserve">Layout implications.</w:t>
      </w:r>
      <w:r>
        <w:t xml:space="preserve"> </w:t>
      </w:r>
      <w:r>
        <w:t xml:space="preserve">Serrating belongs physically inside the finishing zone, in-line between sharpening and riveting. Because sharpening and serrating share utilisation (94.7 %), operators and machines should be cross-compatible so the supervisor can rebalance the bank within a shift — a strong argument for the homogeneous-equipment base selection.</w:t>
      </w:r>
    </w:p>
    <w:p>
      <w:pPr>
        <w:pStyle w:val="BodyText"/>
      </w:pPr>
      <w:r>
        <w:rPr>
          <w:i/>
          <w:iCs/>
        </w:rPr>
        <w:t xml:space="preserve">Detailed layout drawing and costed specification: Appendix C, Figure C.9 / Table C.9.</w:t>
      </w:r>
    </w:p>
    <w:bookmarkEnd w:id="35"/>
    <w:bookmarkStart w:id="36" w:name="riveting"/>
    <w:p>
      <w:pPr>
        <w:pStyle w:val="Heading3"/>
      </w:pPr>
      <w:r>
        <w:t xml:space="preserve">6.3.11 Riveting</w:t>
      </w:r>
    </w:p>
    <w:p>
      <w:pPr>
        <w:pStyle w:val="FirstParagraph"/>
      </w:pPr>
      <w:r>
        <w:rPr>
          <w:b/>
          <w:bCs/>
        </w:rPr>
        <w:t xml:space="preserve">Process description.</w:t>
      </w:r>
      <w:r>
        <w:t xml:space="preserve"> </w:t>
      </w:r>
      <w:r>
        <w:t xml:space="preserve">The bent hinge connector is riveted to the serrated head at 5 s per shovel, creating the head subassembly that proceeds to heat treatment. This is the convergence point of the two sheet parts: 1 819 subassemblies/day, one station at 31.6 % utilisation.</w:t>
      </w:r>
    </w:p>
    <w:p>
      <w:pPr>
        <w:pStyle w:val="BodyText"/>
      </w:pPr>
      <w:r>
        <w:rPr>
          <w:b/>
          <w:bCs/>
        </w:rPr>
        <w:t xml:space="preserve">Machine selection and justification.</w:t>
      </w:r>
      <w:r>
        <w:t xml:space="preserve"> </w:t>
      </w:r>
      <w:r>
        <w:t xml:space="preserve">A pneumatic radial riveting machine is selected: radial forming cold-forms the rivet head with a rolling motion at a fraction of the force of direct pressing, which protects the thin (2.5 mm) aluminium parts from distortion at the joint — the hinge must still pivot freely after forming. A representative class example is the AGME RA series of pneumatic radial riveting machines, bench machines with two-hand safety control and published data sheets (AGME, n.d.). Model selection depends on the rivet diameter, which itself is an assumption (2 rivets/shovel, Table 6.4) [VERIFY].</w:t>
      </w:r>
    </w:p>
    <w:p>
      <w:pPr>
        <w:pStyle w:val="BodyText"/>
      </w:pPr>
      <w:r>
        <w:rPr>
          <w:b/>
          <w:bCs/>
        </w:rPr>
        <w:t xml:space="preserve">Machine specifications (Table 6.18).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Basis / Source</w:t>
            </w:r>
          </w:p>
        </w:tc>
      </w:tr>
      <w:tr>
        <w:tc>
          <w:tcPr/>
          <w:p>
            <w:pPr>
              <w:pStyle w:val="Compact"/>
            </w:pPr>
            <w:r>
              <w:t xml:space="preserve">Equipment type</w:t>
            </w:r>
          </w:p>
        </w:tc>
        <w:tc>
          <w:tcPr/>
          <w:p>
            <w:pPr>
              <w:pStyle w:val="Compact"/>
            </w:pPr>
            <w:r>
              <w:t xml:space="preserve">Pneumatic radial riveting machine, bench-mounted</w:t>
            </w:r>
          </w:p>
        </w:tc>
        <w:tc>
          <w:tcPr/>
          <w:p>
            <w:pPr>
              <w:pStyle w:val="Compact"/>
            </w:pPr>
            <w:r>
              <w:t xml:space="preserve">Market example: AGME RA series</w:t>
            </w:r>
          </w:p>
        </w:tc>
      </w:tr>
      <w:tr>
        <w:tc>
          <w:tcPr/>
          <w:p>
            <w:pPr>
              <w:pStyle w:val="Compact"/>
            </w:pPr>
            <w:r>
              <w:t xml:space="preserve">Safety</w:t>
            </w:r>
          </w:p>
        </w:tc>
        <w:tc>
          <w:tcPr/>
          <w:p>
            <w:pPr>
              <w:pStyle w:val="Compact"/>
            </w:pPr>
            <w:r>
              <w:t xml:space="preserve">Two-hand control</w:t>
            </w:r>
          </w:p>
        </w:tc>
        <w:tc>
          <w:tcPr/>
          <w:p>
            <w:pPr>
              <w:pStyle w:val="Compact"/>
            </w:pPr>
            <w:r>
              <w:t xml:space="preserve">Supplier (standard on class)</w:t>
            </w:r>
          </w:p>
        </w:tc>
      </w:tr>
      <w:tr>
        <w:tc>
          <w:tcPr/>
          <w:p>
            <w:pPr>
              <w:pStyle w:val="Compact"/>
            </w:pPr>
            <w:r>
              <w:t xml:space="preserve">Cycle time</w:t>
            </w:r>
          </w:p>
        </w:tc>
        <w:tc>
          <w:tcPr/>
          <w:p>
            <w:pPr>
              <w:pStyle w:val="Compact"/>
            </w:pPr>
            <w:r>
              <w:t xml:space="preserve">5 s/shovel</w:t>
            </w:r>
          </w:p>
        </w:tc>
        <w:tc>
          <w:tcPr/>
          <w:p>
            <w:pPr>
              <w:pStyle w:val="Compact"/>
            </w:pPr>
            <w:r>
              <w:t xml:space="preserve">Brief [VERIFY covers 2 rivets]</w:t>
            </w:r>
          </w:p>
        </w:tc>
      </w:tr>
      <w:tr>
        <w:tc>
          <w:tcPr/>
          <w:p>
            <w:pPr>
              <w:pStyle w:val="Compact"/>
            </w:pPr>
            <w:r>
              <w:t xml:space="preserve">Daily throughput required</w:t>
            </w:r>
          </w:p>
        </w:tc>
        <w:tc>
          <w:tcPr/>
          <w:p>
            <w:pPr>
              <w:pStyle w:val="Compact"/>
            </w:pPr>
            <w:r>
              <w:t xml:space="preserve">1 819 subassemblies/day</w:t>
            </w:r>
          </w:p>
        </w:tc>
        <w:tc>
          <w:tcPr/>
          <w:p>
            <w:pPr>
              <w:pStyle w:val="Compact"/>
            </w:pPr>
            <w:r>
              <w:t xml:space="preserve">Table 6.2 (good units)</w:t>
            </w:r>
          </w:p>
        </w:tc>
      </w:tr>
      <w:tr>
        <w:tc>
          <w:tcPr/>
          <w:p>
            <w:pPr>
              <w:pStyle w:val="Compact"/>
            </w:pPr>
            <w:r>
              <w:t xml:space="preserve">Machines required</w:t>
            </w:r>
          </w:p>
        </w:tc>
        <w:tc>
          <w:tcPr/>
          <w:p>
            <w:pPr>
              <w:pStyle w:val="Compact"/>
            </w:pPr>
            <w:r>
              <w:t xml:space="preserve">1 (utilisation 31.6 %)</w:t>
            </w:r>
          </w:p>
        </w:tc>
        <w:tc>
          <w:tcPr/>
          <w:p>
            <w:pPr>
              <w:pStyle w:val="Compact"/>
            </w:pPr>
            <w:r>
              <w:t xml:space="preserve">§6.4</w:t>
            </w:r>
          </w:p>
        </w:tc>
      </w:tr>
      <w:tr>
        <w:tc>
          <w:tcPr/>
          <w:p>
            <w:pPr>
              <w:pStyle w:val="Compact"/>
            </w:pPr>
            <w:r>
              <w:t xml:space="preserve">Operators</w:t>
            </w:r>
          </w:p>
        </w:tc>
        <w:tc>
          <w:tcPr/>
          <w:p>
            <w:pPr>
              <w:pStyle w:val="Compact"/>
            </w:pPr>
            <w:r>
              <w:t xml:space="preserve">1</w:t>
            </w:r>
          </w:p>
        </w:tc>
        <w:tc>
          <w:tcPr/>
          <w:p>
            <w:pPr>
              <w:pStyle w:val="Compact"/>
            </w:pPr>
            <w:r>
              <w:t xml:space="preserve">Workbook (1:1)</w:t>
            </w:r>
          </w:p>
        </w:tc>
      </w:tr>
      <w:tr>
        <w:tc>
          <w:tcPr/>
          <w:p>
            <w:pPr>
              <w:pStyle w:val="Compact"/>
            </w:pPr>
            <w:r>
              <w:t xml:space="preserve">Utilities</w:t>
            </w:r>
          </w:p>
        </w:tc>
        <w:tc>
          <w:tcPr/>
          <w:p>
            <w:pPr>
              <w:pStyle w:val="Compact"/>
            </w:pPr>
            <w:r>
              <w:t xml:space="preserve">Compressed air</w:t>
            </w:r>
          </w:p>
        </w:tc>
        <w:tc>
          <w:tcPr/>
          <w:p>
            <w:pPr>
              <w:pStyle w:val="Compact"/>
            </w:pPr>
            <w:r>
              <w:t xml:space="preserve">Pneumatic machine class</w:t>
            </w:r>
          </w:p>
        </w:tc>
      </w:tr>
      <w:tr>
        <w:tc>
          <w:tcPr/>
          <w:p>
            <w:pPr>
              <w:pStyle w:val="Compact"/>
            </w:pPr>
            <w:r>
              <w:t xml:space="preserve">Force / model</w:t>
            </w:r>
          </w:p>
        </w:tc>
        <w:tc>
          <w:tcPr/>
          <w:p>
            <w:pPr>
              <w:pStyle w:val="Compact"/>
            </w:pPr>
            <w:r>
              <w:t xml:space="preserve">Per supplier data sheet at rivet specification</w:t>
            </w:r>
          </w:p>
        </w:tc>
        <w:tc>
          <w:tcPr/>
          <w:p>
            <w:pPr>
              <w:pStyle w:val="Compact"/>
            </w:pPr>
            <w:r>
              <w:t xml:space="preserve">AGME publishes per-model data sheets</w:t>
            </w:r>
          </w:p>
        </w:tc>
      </w:tr>
    </w:tbl>
    <w:p>
      <w:pPr>
        <w:pStyle w:val="BodyText"/>
      </w:pPr>
      <w:r>
        <w:rPr>
          <w:b/>
          <w:bCs/>
        </w:rPr>
        <w:t xml:space="preserve">Workstation layout.</w:t>
      </w:r>
      <w:r>
        <w:t xml:space="preserve"> </w:t>
      </w:r>
      <w:r>
        <w:t xml:space="preserve">Bench cell within the standard 6 m² definition: riveter at centre on a bench with a locating fixture holding head and hinge in alignment; serrated-head bin and bent-hinge bin on the infeed side; rivet hopper or tray at the fixture; subassembly bin on the outfeed side; two-hand control enforcing hands-clear operation. This is the first station where two part flows must arrive in matched quantities, so both inbound buffers need visual min/max marking.</w:t>
      </w:r>
    </w:p>
    <w:p>
      <w:pPr>
        <w:pStyle w:val="BodyText"/>
      </w:pPr>
      <w:r>
        <w:rPr>
          <w:b/>
          <w:bCs/>
        </w:rPr>
        <w:t xml:space="preserve">Material handling.</w:t>
      </w:r>
      <w:r>
        <w:t xml:space="preserve"> </w:t>
      </w:r>
      <w:r>
        <w:t xml:space="preserve">Heads by trolley from serrating; hinges by trolley from bending; rivets replenished from small-parts shelf stock (Table 6.7); subassemblies by trolley to heat-treatment staging. Compressed-air drop required at the bench.</w:t>
      </w:r>
    </w:p>
    <w:p>
      <w:pPr>
        <w:pStyle w:val="BodyText"/>
      </w:pPr>
      <w:r>
        <w:rPr>
          <w:b/>
          <w:bCs/>
        </w:rPr>
        <w:t xml:space="preserve">Waste and facilities factors.</w:t>
      </w:r>
      <w:r>
        <w:t xml:space="preserve"> </w:t>
      </w:r>
      <w:r>
        <w:t xml:space="preserve">Minimal waste (occasional malformed rivets to a small scrap tin); no extraction or separation requirement. The station’s facilities demands are a compressed-air point and task lighting for the visual alignment check.</w:t>
      </w:r>
    </w:p>
    <w:p>
      <w:pPr>
        <w:pStyle w:val="BodyText"/>
      </w:pPr>
      <w:r>
        <w:rPr>
          <w:b/>
          <w:bCs/>
        </w:rPr>
        <w:t xml:space="preserve">Layout implications.</w:t>
      </w:r>
      <w:r>
        <w:t xml:space="preserve"> </w:t>
      </w:r>
      <w:r>
        <w:t xml:space="preserve">Riveting closes the sheet stream and must sit at the junction of three flows: serrated heads, bent hinges and the route onward to heat treatment. Its low utilisation makes it flexible in placement, but locating it at the boundary between the finishing zone and the heat-treatment area minimises subassembly transport. From this point onward the facility handles one converged sheet-stream item (the head subassembly), which simplifies all downstream material handling.</w:t>
      </w:r>
    </w:p>
    <w:p>
      <w:pPr>
        <w:pStyle w:val="BodyText"/>
      </w:pPr>
      <w:r>
        <w:rPr>
          <w:i/>
          <w:iCs/>
        </w:rPr>
        <w:t xml:space="preserve">Detailed layout drawing and costed specification: Appendix C, Figure C.10 / Table C.10.</w:t>
      </w:r>
    </w:p>
    <w:bookmarkEnd w:id="36"/>
    <w:bookmarkStart w:id="37" w:name="heat-treatment"/>
    <w:p>
      <w:pPr>
        <w:pStyle w:val="Heading3"/>
      </w:pPr>
      <w:r>
        <w:t xml:space="preserve">6.3.12 Heat Treatment</w:t>
      </w:r>
    </w:p>
    <w:p>
      <w:pPr>
        <w:pStyle w:val="FirstParagraph"/>
      </w:pPr>
      <w:r>
        <w:rPr>
          <w:b/>
          <w:bCs/>
        </w:rPr>
        <w:t xml:space="preserve">Process description.</w:t>
      </w:r>
      <w:r>
        <w:t xml:space="preserve"> </w:t>
      </w:r>
      <w:r>
        <w:t xml:space="preserve">Head subassemblies are heat treated by precipitation ageing to develop the strength of the aluminium head; the precise route (for example a T6-type artificial age) depends on the alloy specification and is confirmed with the heat-treatment supplier [VERIFY]. Unlike the brief-specified cycle times upstream, this duty is equipment-dependent: the workbook adopts a 6 h batch cycle within the typical 5–8 h ageing window, processing 1 819 subassemblies/day in one batch oven sized to approximately one day of production.</w:t>
      </w:r>
    </w:p>
    <w:p>
      <w:pPr>
        <w:pStyle w:val="BodyText"/>
      </w:pPr>
      <w:r>
        <w:rPr>
          <w:b/>
          <w:bCs/>
        </w:rPr>
        <w:t xml:space="preserve">Machine selection and justification.</w:t>
      </w:r>
      <w:r>
        <w:t xml:space="preserve"> </w:t>
      </w:r>
      <w:r>
        <w:t xml:space="preserve">A batch ageing oven is selected over a continuous furnace because the daily volume fits a single batch and a batch oven decouples cleanly from the unbalanced upstream and downstream flows. Ageing of aluminium is typically performed at moderate temperatures (approximately 120–205 °C) for several hours with tight uniformity, which is the defining specification of this oven class; a representative manufacturer is Wisconsin Oven, whose aluminium ageing batch ovens span more than 50 standard sizes with published example chambers in the 2.4 × 2.4 × 2.4 m range (Wisconsin Oven, n.d.). The chamber size and racking density needed to hold 1 819 subassemblies per batch must be confirmed at quotation [VERIFY].</w:t>
      </w:r>
    </w:p>
    <w:p>
      <w:pPr>
        <w:pStyle w:val="BodyText"/>
      </w:pPr>
      <w:r>
        <w:rPr>
          <w:b/>
          <w:bCs/>
        </w:rPr>
        <w:t xml:space="preserve">Machine specifications (Table 6.19).</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Basis / Source</w:t>
            </w:r>
          </w:p>
        </w:tc>
      </w:tr>
      <w:tr>
        <w:tc>
          <w:tcPr/>
          <w:p>
            <w:pPr>
              <w:pStyle w:val="Compact"/>
            </w:pPr>
            <w:r>
              <w:t xml:space="preserve">Equipment type</w:t>
            </w:r>
          </w:p>
        </w:tc>
        <w:tc>
          <w:tcPr/>
          <w:p>
            <w:pPr>
              <w:pStyle w:val="Compact"/>
            </w:pPr>
            <w:r>
              <w:t xml:space="preserve">Aluminium ageing/heat-treatment batch oven (electric or gas)</w:t>
            </w:r>
          </w:p>
        </w:tc>
        <w:tc>
          <w:tcPr/>
          <w:p>
            <w:pPr>
              <w:pStyle w:val="Compact"/>
            </w:pPr>
            <w:r>
              <w:t xml:space="preserve">Market example: Wisconsin Oven ageing oven range</w:t>
            </w:r>
          </w:p>
        </w:tc>
      </w:tr>
      <w:tr>
        <w:tc>
          <w:tcPr/>
          <w:p>
            <w:pPr>
              <w:pStyle w:val="Compact"/>
            </w:pPr>
            <w:r>
              <w:t xml:space="preserve">Ageing cycle</w:t>
            </w:r>
          </w:p>
        </w:tc>
        <w:tc>
          <w:tcPr/>
          <w:p>
            <w:pPr>
              <w:pStyle w:val="Compact"/>
            </w:pPr>
            <w:r>
              <w:t xml:space="preserve">6 h/batch (5–8 h typical window)</w:t>
            </w:r>
          </w:p>
        </w:tc>
        <w:tc>
          <w:tcPr/>
          <w:p>
            <w:pPr>
              <w:pStyle w:val="Compact"/>
            </w:pPr>
            <w:r>
              <w:t xml:space="preserve">Workbook (Equipment-dep); supplier-based</w:t>
            </w:r>
          </w:p>
        </w:tc>
      </w:tr>
      <w:tr>
        <w:tc>
          <w:tcPr/>
          <w:p>
            <w:pPr>
              <w:pStyle w:val="Compact"/>
            </w:pPr>
            <w:r>
              <w:t xml:space="preserve">Batch size required</w:t>
            </w:r>
          </w:p>
        </w:tc>
        <w:tc>
          <w:tcPr/>
          <w:p>
            <w:pPr>
              <w:pStyle w:val="Compact"/>
            </w:pPr>
            <w:r>
              <w:t xml:space="preserve">≈ 1 819 subassemblies (1 day)</w:t>
            </w:r>
          </w:p>
        </w:tc>
        <w:tc>
          <w:tcPr/>
          <w:p>
            <w:pPr>
              <w:pStyle w:val="Compact"/>
            </w:pPr>
            <w:r>
              <w:t xml:space="preserve">Workbook</w:t>
            </w:r>
          </w:p>
        </w:tc>
      </w:tr>
      <w:tr>
        <w:tc>
          <w:tcPr/>
          <w:p>
            <w:pPr>
              <w:pStyle w:val="Compact"/>
            </w:pPr>
            <w:r>
              <w:t xml:space="preserve">Ovens required</w:t>
            </w:r>
          </w:p>
        </w:tc>
        <w:tc>
          <w:tcPr/>
          <w:p>
            <w:pPr>
              <w:pStyle w:val="Compact"/>
            </w:pPr>
            <w:r>
              <w:t xml:space="preserve">1</w:t>
            </w:r>
          </w:p>
        </w:tc>
        <w:tc>
          <w:tcPr/>
          <w:p>
            <w:pPr>
              <w:pStyle w:val="Compact"/>
            </w:pPr>
            <w:r>
              <w:t xml:space="preserve">Workbook</w:t>
            </w:r>
          </w:p>
        </w:tc>
      </w:tr>
      <w:tr>
        <w:tc>
          <w:tcPr/>
          <w:p>
            <w:pPr>
              <w:pStyle w:val="Compact"/>
            </w:pPr>
            <w:r>
              <w:t xml:space="preserve">Chamber size / racking</w:t>
            </w:r>
          </w:p>
        </w:tc>
        <w:tc>
          <w:tcPr/>
          <w:p>
            <w:pPr>
              <w:pStyle w:val="Compact"/>
            </w:pPr>
            <w:r>
              <w:t xml:space="preserve">At quotation (sizing-critical)</w:t>
            </w:r>
          </w:p>
        </w:tc>
        <w:tc>
          <w:tcPr/>
          <w:p>
            <w:pPr>
              <w:pStyle w:val="Compact"/>
            </w:pPr>
            <w:r>
              <w:t xml:space="preserve">Depends on rack density</w:t>
            </w:r>
          </w:p>
        </w:tc>
      </w:tr>
      <w:tr>
        <w:tc>
          <w:tcPr/>
          <w:p>
            <w:pPr>
              <w:pStyle w:val="Compact"/>
            </w:pPr>
            <w:r>
              <w:t xml:space="preserve">Operating temperature</w:t>
            </w:r>
          </w:p>
        </w:tc>
        <w:tc>
          <w:tcPr/>
          <w:p>
            <w:pPr>
              <w:pStyle w:val="Compact"/>
            </w:pPr>
            <w:r>
              <w:t xml:space="preserve">≈ 120–205 °C, several hours</w:t>
            </w:r>
          </w:p>
        </w:tc>
        <w:tc>
          <w:tcPr/>
          <w:p>
            <w:pPr>
              <w:pStyle w:val="Compact"/>
            </w:pPr>
            <w:r>
              <w:t xml:space="preserve">Supplier process description</w:t>
            </w:r>
          </w:p>
        </w:tc>
      </w:tr>
      <w:tr>
        <w:tc>
          <w:tcPr/>
          <w:p>
            <w:pPr>
              <w:pStyle w:val="Compact"/>
            </w:pPr>
            <w:r>
              <w:t xml:space="preserve">Operators</w:t>
            </w:r>
          </w:p>
        </w:tc>
        <w:tc>
          <w:tcPr/>
          <w:p>
            <w:pPr>
              <w:pStyle w:val="Compact"/>
            </w:pPr>
            <w:r>
              <w:t xml:space="preserve">Shared (equipment-dependent &amp; QA pool of 4)</w:t>
            </w:r>
          </w:p>
        </w:tc>
        <w:tc>
          <w:tcPr/>
          <w:p>
            <w:pPr>
              <w:pStyle w:val="Compact"/>
            </w:pPr>
            <w:r>
              <w:t xml:space="preserve">Personnel sheet (allocation per staffing plan)</w:t>
            </w:r>
          </w:p>
        </w:tc>
      </w:tr>
      <w:tr>
        <w:tc>
          <w:tcPr/>
          <w:p>
            <w:pPr>
              <w:pStyle w:val="Compact"/>
            </w:pPr>
            <w:r>
              <w:t xml:space="preserve">Area allowance</w:t>
            </w:r>
          </w:p>
        </w:tc>
        <w:tc>
          <w:tcPr/>
          <w:p>
            <w:pPr>
              <w:pStyle w:val="Compact"/>
            </w:pPr>
            <w:r>
              <w:t xml:space="preserve">Within 80 m² heat-treat + sandblast zone</w:t>
            </w:r>
          </w:p>
        </w:tc>
        <w:tc>
          <w:tcPr/>
          <w:p>
            <w:pPr>
              <w:pStyle w:val="Compact"/>
            </w:pPr>
            <w:r>
              <w:t xml:space="preserve">Inputs sheet (supplier-based estimate)</w:t>
            </w:r>
          </w:p>
        </w:tc>
      </w:tr>
    </w:tbl>
    <w:p>
      <w:pPr>
        <w:pStyle w:val="BodyText"/>
      </w:pPr>
      <w:r>
        <w:rPr>
          <w:b/>
          <w:bCs/>
        </w:rPr>
        <w:t xml:space="preserve">Workstation layout.</w:t>
      </w:r>
      <w:r>
        <w:t xml:space="preserve"> </w:t>
      </w:r>
      <w:r>
        <w:t xml:space="preserve">The zone is defined as: inbound day-buffer racks (riveted subassemblies accumulating through the shift); the oven with door clearance and a load-car track in front; outbound cooling/staging racks feeding sandblasting; and a forklift-accessible aisle on the loading face. Because the batch cycle is 6 h, the working pattern is one batch per shift — loaded from yesterday’s accumulated output at shift start and unloaded for downstream processing the same day — making this the largest WIP holding point in the facility (a full day of subassemblies on each side of the oven).</w:t>
      </w:r>
    </w:p>
    <w:p>
      <w:pPr>
        <w:pStyle w:val="BodyText"/>
      </w:pPr>
      <w:r>
        <w:rPr>
          <w:b/>
          <w:bCs/>
        </w:rPr>
        <w:t xml:space="preserve">Figure 6.6b: Heat-treatment and sandblasting zone — day-buffer racks, batch oven with load car, cooling racks, enclosed blast booth with dust collection, and flow to polishing. (Author’s own.)</w:t>
      </w:r>
    </w:p>
    <w:p>
      <w:pPr>
        <w:pStyle w:val="BodyText"/>
      </w:pPr>
      <w:r>
        <w:rPr>
          <w:i/>
          <w:iCs/>
        </w:rPr>
        <w:t xml:space="preserve">(Detailed layout drawing: Appendix C, Figures C.11–C.12.)</w:t>
      </w:r>
    </w:p>
    <w:p>
      <w:pPr>
        <w:pStyle w:val="BodyText"/>
      </w:pPr>
      <w:r>
        <w:rPr>
          <w:b/>
          <w:bCs/>
        </w:rPr>
        <w:t xml:space="preserve">Material handling.</w:t>
      </w:r>
      <w:r>
        <w:t xml:space="preserve"> </w:t>
      </w:r>
      <w:r>
        <w:t xml:space="preserve">Subassemblies arrive on trolleys from riveting and are transferred to oven racks/load car; after ageing and cooling, racks roll to the blast booth. Rack handling favours a pallet truck or powered tug rather than manual carry.</w:t>
      </w:r>
    </w:p>
    <w:p>
      <w:pPr>
        <w:pStyle w:val="BodyText"/>
      </w:pPr>
      <w:r>
        <w:rPr>
          <w:b/>
          <w:bCs/>
        </w:rPr>
        <w:t xml:space="preserve">Waste and facilities factors.</w:t>
      </w:r>
      <w:r>
        <w:t xml:space="preserve"> </w:t>
      </w:r>
      <w:r>
        <w:t xml:space="preserve">No material waste stream. Facilities demands are significant: high electrical or gas supply, heat rejection into the zone (ventilation required), and thermal separation from heat-sensitive areas. The oven’s heat output argues for placement against an external wall with high-level extraction.</w:t>
      </w:r>
    </w:p>
    <w:p>
      <w:pPr>
        <w:pStyle w:val="BodyText"/>
      </w:pPr>
      <w:r>
        <w:rPr>
          <w:b/>
          <w:bCs/>
        </w:rPr>
        <w:t xml:space="preserve">Layout implications.</w:t>
      </w:r>
      <w:r>
        <w:t xml:space="preserve"> </w:t>
      </w:r>
      <w:r>
        <w:t xml:space="preserve">Heat treatment converts the line from continuous flow to batch flow and back: the layout must provide generous, clearly demarcated buffer floor on both sides of the oven. Its utilities (power/gas, ventilation) and heat make it a natural neighbour for sandblasting and powder coating along a</w:t>
      </w:r>
      <w:r>
        <w:t xml:space="preserve"> </w:t>
      </w:r>
      <w:r>
        <w:t xml:space="preserve">“hot/dirty”</w:t>
      </w:r>
      <w:r>
        <w:t xml:space="preserve"> </w:t>
      </w:r>
      <w:r>
        <w:t xml:space="preserve">services wall, away from offices, assembly and packaging. Because the single oven is a one-point failure for the whole product (every shovel head passes through it), maintenance access and a contingency plan (e.g. tolling out a batch) deserve explicit mention in the risk discussion of the Master Facility Plan.</w:t>
      </w:r>
    </w:p>
    <w:p>
      <w:pPr>
        <w:pStyle w:val="BodyText"/>
      </w:pPr>
      <w:r>
        <w:rPr>
          <w:i/>
          <w:iCs/>
        </w:rPr>
        <w:t xml:space="preserve">Detailed layout drawing and costed specification: Appendix C, Figure C.11 / Table C.11.</w:t>
      </w:r>
    </w:p>
    <w:bookmarkEnd w:id="37"/>
    <w:bookmarkStart w:id="38" w:name="sandblasting"/>
    <w:p>
      <w:pPr>
        <w:pStyle w:val="Heading3"/>
      </w:pPr>
      <w:r>
        <w:t xml:space="preserve">6.3.13 Sandblasting</w:t>
      </w:r>
    </w:p>
    <w:p>
      <w:pPr>
        <w:pStyle w:val="FirstParagraph"/>
      </w:pPr>
      <w:r>
        <w:rPr>
          <w:b/>
          <w:bCs/>
        </w:rPr>
        <w:t xml:space="preserve">Process description.</w:t>
      </w:r>
      <w:r>
        <w:t xml:space="preserve"> </w:t>
      </w:r>
      <w:r>
        <w:t xml:space="preserve">Aged head subassemblies are blasted to a uniform matt surface that keys the powder coating; the brief notes the process has negligible mass effect. Throughput required is 1 819 subassemblies/day; cycle time and booth count are equipment-dependent and remain [VERIFY] against supplier quotation.</w:t>
      </w:r>
    </w:p>
    <w:p>
      <w:pPr>
        <w:pStyle w:val="BodyText"/>
      </w:pPr>
      <w:r>
        <w:rPr>
          <w:b/>
          <w:bCs/>
        </w:rPr>
        <w:t xml:space="preserve">Machine selection and justification.</w:t>
      </w:r>
      <w:r>
        <w:t xml:space="preserve"> </w:t>
      </w:r>
      <w:r>
        <w:t xml:space="preserve">An enclosed blast booth with integral dust collection and media recovery is selected: enclosure contains both the blast media and the dust (which, for aluminium, is combustible and must be managed as in §6.3.9), and media recovery minimises consumable cost at this daily volume. A representative manufacturer is Airblast AFC, which supplies modular and containerised blast rooms with cartridge dust collectors and media-recovery floors, custom-sized to the part envelope and throughput (Airblast AFC, n.d.). For a part as small as the shovel head, a cabinet-scale booth or small modular room is the likely fit; an automated (tumble or indexing) cabinet should be tested at quotation because manual blasting of 1 819 parts/day at even 15 s/part consumes most of a shift.</w:t>
      </w:r>
    </w:p>
    <w:p>
      <w:pPr>
        <w:pStyle w:val="BodyText"/>
      </w:pPr>
      <w:r>
        <w:rPr>
          <w:b/>
          <w:bCs/>
        </w:rPr>
        <w:t xml:space="preserve">Machine specifications (Table 6.20).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Basis / Source</w:t>
            </w:r>
          </w:p>
        </w:tc>
      </w:tr>
      <w:tr>
        <w:tc>
          <w:tcPr/>
          <w:p>
            <w:pPr>
              <w:pStyle w:val="Compact"/>
            </w:pPr>
            <w:r>
              <w:t xml:space="preserve">Equipment type</w:t>
            </w:r>
          </w:p>
        </w:tc>
        <w:tc>
          <w:tcPr/>
          <w:p>
            <w:pPr>
              <w:pStyle w:val="Compact"/>
            </w:pPr>
            <w:r>
              <w:t xml:space="preserve">Enclosed blast booth/cabinet + dust collector + media recovery</w:t>
            </w:r>
          </w:p>
        </w:tc>
        <w:tc>
          <w:tcPr/>
          <w:p>
            <w:pPr>
              <w:pStyle w:val="Compact"/>
            </w:pPr>
            <w:r>
              <w:t xml:space="preserve">Market example: Airblast AFC modular range</w:t>
            </w:r>
          </w:p>
        </w:tc>
      </w:tr>
      <w:tr>
        <w:tc>
          <w:tcPr/>
          <w:p>
            <w:pPr>
              <w:pStyle w:val="Compact"/>
            </w:pPr>
            <w:r>
              <w:t xml:space="preserve">Daily throughput required</w:t>
            </w:r>
          </w:p>
        </w:tc>
        <w:tc>
          <w:tcPr/>
          <w:p>
            <w:pPr>
              <w:pStyle w:val="Compact"/>
            </w:pPr>
            <w:r>
              <w:t xml:space="preserve">1 819 subassemblies/day</w:t>
            </w:r>
          </w:p>
        </w:tc>
        <w:tc>
          <w:tcPr/>
          <w:p>
            <w:pPr>
              <w:pStyle w:val="Compact"/>
            </w:pPr>
            <w:r>
              <w:t xml:space="preserve">Workbook (Equipment-dep)</w:t>
            </w:r>
          </w:p>
        </w:tc>
      </w:tr>
      <w:tr>
        <w:tc>
          <w:tcPr/>
          <w:p>
            <w:pPr>
              <w:pStyle w:val="Compact"/>
            </w:pPr>
            <w:r>
              <w:t xml:space="preserve">Cycle / booth count</w:t>
            </w:r>
          </w:p>
        </w:tc>
        <w:tc>
          <w:tcPr/>
          <w:p>
            <w:pPr>
              <w:pStyle w:val="Compact"/>
            </w:pPr>
            <w:r>
              <w:t xml:space="preserve">[VERIFY] supplier quotation</w:t>
            </w:r>
          </w:p>
        </w:tc>
        <w:tc>
          <w:tcPr/>
          <w:p>
            <w:pPr>
              <w:pStyle w:val="Compact"/>
            </w:pPr>
            <w:r>
              <w:t xml:space="preserve">Equipment-dependent (workbook)</w:t>
            </w:r>
          </w:p>
        </w:tc>
      </w:tr>
      <w:tr>
        <w:tc>
          <w:tcPr/>
          <w:p>
            <w:pPr>
              <w:pStyle w:val="Compact"/>
            </w:pPr>
            <w:r>
              <w:t xml:space="preserve">Operators</w:t>
            </w:r>
          </w:p>
        </w:tc>
        <w:tc>
          <w:tcPr/>
          <w:p>
            <w:pPr>
              <w:pStyle w:val="Compact"/>
            </w:pPr>
            <w:r>
              <w:t xml:space="preserve">Shared (equipment-dependent &amp; QA pool)</w:t>
            </w:r>
          </w:p>
        </w:tc>
        <w:tc>
          <w:tcPr/>
          <w:p>
            <w:pPr>
              <w:pStyle w:val="Compact"/>
            </w:pPr>
            <w:r>
              <w:t xml:space="preserve">Personnel sheet</w:t>
            </w:r>
          </w:p>
        </w:tc>
      </w:tr>
      <w:tr>
        <w:tc>
          <w:tcPr/>
          <w:p>
            <w:pPr>
              <w:pStyle w:val="Compact"/>
            </w:pPr>
            <w:r>
              <w:t xml:space="preserve">Utilities</w:t>
            </w:r>
          </w:p>
        </w:tc>
        <w:tc>
          <w:tcPr/>
          <w:p>
            <w:pPr>
              <w:pStyle w:val="Compact"/>
            </w:pPr>
            <w:r>
              <w:t xml:space="preserve">Compressed air (major consumer), extraction</w:t>
            </w:r>
          </w:p>
        </w:tc>
        <w:tc>
          <w:tcPr/>
          <w:p>
            <w:pPr>
              <w:pStyle w:val="Compact"/>
            </w:pPr>
            <w:r>
              <w:t xml:space="preserve">Equipment class</w:t>
            </w:r>
          </w:p>
        </w:tc>
      </w:tr>
      <w:tr>
        <w:tc>
          <w:tcPr/>
          <w:p>
            <w:pPr>
              <w:pStyle w:val="Compact"/>
            </w:pPr>
            <w:r>
              <w:t xml:space="preserve">Area allowance</w:t>
            </w:r>
          </w:p>
        </w:tc>
        <w:tc>
          <w:tcPr/>
          <w:p>
            <w:pPr>
              <w:pStyle w:val="Compact"/>
            </w:pPr>
            <w:r>
              <w:t xml:space="preserve">Within 80 m² heat-treat + sandblast zone</w:t>
            </w:r>
          </w:p>
        </w:tc>
        <w:tc>
          <w:tcPr/>
          <w:p>
            <w:pPr>
              <w:pStyle w:val="Compact"/>
            </w:pPr>
            <w:r>
              <w:t xml:space="preserve">Inputs sheet</w:t>
            </w:r>
          </w:p>
        </w:tc>
      </w:tr>
    </w:tbl>
    <w:p>
      <w:pPr>
        <w:pStyle w:val="BodyText"/>
      </w:pPr>
      <w:r>
        <w:rPr>
          <w:b/>
          <w:bCs/>
        </w:rPr>
        <w:t xml:space="preserve">Workstation layout.</w:t>
      </w:r>
      <w:r>
        <w:t xml:space="preserve"> </w:t>
      </w:r>
      <w:r>
        <w:t xml:space="preserve">Defined as: inbound rack from oven cooling; blast enclosure with operator position (or load/unload hatch if automated); media-recovery floor or hopper beneath; dust collector against the external wall; outbound rack to polishing. The enclosure plus collector dominates the zone’s footprint — the 80 m² combined allowance is checked against quotation in §6.8.</w:t>
      </w:r>
    </w:p>
    <w:p>
      <w:pPr>
        <w:pStyle w:val="BodyText"/>
      </w:pPr>
      <w:r>
        <w:rPr>
          <w:b/>
          <w:bCs/>
        </w:rPr>
        <w:t xml:space="preserve">Material handling.</w:t>
      </w:r>
      <w:r>
        <w:t xml:space="preserve"> </w:t>
      </w:r>
      <w:r>
        <w:t xml:space="preserve">Racked subassemblies in from oven cooling; blasted parts out by trolley to polishing. Spent media and collected dust are removed as a sealed waste stream.</w:t>
      </w:r>
    </w:p>
    <w:p>
      <w:pPr>
        <w:pStyle w:val="BodyText"/>
      </w:pPr>
      <w:r>
        <w:rPr>
          <w:b/>
          <w:bCs/>
        </w:rPr>
        <w:t xml:space="preserve">Waste and facilities factors.</w:t>
      </w:r>
      <w:r>
        <w:t xml:space="preserve"> </w:t>
      </w:r>
      <w:r>
        <w:t xml:space="preserve">Two waste streams: spent blast media and collected combustible aluminium dust — both to sealed containers on the waste route, never mixed with general scrap. Major compressed-air demand sizes the facility’s compressor plant. Noise and dust make this a sealed, externally vented enclosure; operator PPE and entry control apply.</w:t>
      </w:r>
    </w:p>
    <w:p>
      <w:pPr>
        <w:pStyle w:val="BodyText"/>
      </w:pPr>
      <w:r>
        <w:rPr>
          <w:b/>
          <w:bCs/>
        </w:rPr>
        <w:t xml:space="preserve">Layout implications.</w:t>
      </w:r>
      <w:r>
        <w:t xml:space="preserve"> </w:t>
      </w:r>
      <w:r>
        <w:t xml:space="preserve">Sandblasting sits immediately downstream of the oven and shares its zone, services wall and extraction philosophy. Its compressed-air demand, with the riveter and any blow-off stations, defines the compressed-air ring main routing — a utilities consideration the Master Facility Plan must carry. Output must flow directly to polishing without re-contamination (short, clean route).</w:t>
      </w:r>
    </w:p>
    <w:p>
      <w:pPr>
        <w:pStyle w:val="BodyText"/>
      </w:pPr>
      <w:r>
        <w:rPr>
          <w:i/>
          <w:iCs/>
        </w:rPr>
        <w:t xml:space="preserve">Detailed layout drawing and costed specification: Appendix C, Figure C.12 / Table C.12.</w:t>
      </w:r>
    </w:p>
    <w:bookmarkEnd w:id="38"/>
    <w:bookmarkStart w:id="39" w:name="hand-polishing-and-deburring"/>
    <w:p>
      <w:pPr>
        <w:pStyle w:val="Heading3"/>
      </w:pPr>
      <w:r>
        <w:t xml:space="preserve">6.3.14 Hand Polishing and Deburring</w:t>
      </w:r>
    </w:p>
    <w:p>
      <w:pPr>
        <w:pStyle w:val="FirstParagraph"/>
      </w:pPr>
      <w:r>
        <w:rPr>
          <w:b/>
          <w:bCs/>
        </w:rPr>
        <w:t xml:space="preserve">Process description.</w:t>
      </w:r>
      <w:r>
        <w:t xml:space="preserve"> </w:t>
      </w:r>
      <w:r>
        <w:t xml:space="preserve">Blasted subassemblies are hand-polished and deburred at 60 s per head — removing blast residue, smoothing edges (including the sharpened bevel’s burr) and preparing the surface for powder coating: 1 819 heads/day, four benches at 94.7 % utilisation.</w:t>
      </w:r>
    </w:p>
    <w:p>
      <w:pPr>
        <w:pStyle w:val="BodyText"/>
      </w:pPr>
      <w:r>
        <w:rPr>
          <w:b/>
          <w:bCs/>
        </w:rPr>
        <w:t xml:space="preserve">Machine selection and justification.</w:t>
      </w:r>
      <w:r>
        <w:t xml:space="preserve"> </w:t>
      </w:r>
      <w:r>
        <w:t xml:space="preserve">Manual polishing benches with hand-held or bench-mounted polishing/deburring tools are specified; the operation is judgement-based edge work on a contoured part, which resists automation at this scale. Tooling (bench buffs, deburring hand tools, abrasive pads) is workshop-standard and carried as a consumable selection at detailed design rather than a machine procurement; no external machine example is required for sizing because the bench, not the tool, defines the footprint.</w:t>
      </w:r>
    </w:p>
    <w:p>
      <w:pPr>
        <w:pStyle w:val="BodyText"/>
      </w:pPr>
      <w:r>
        <w:rPr>
          <w:b/>
          <w:bCs/>
        </w:rPr>
        <w:t xml:space="preserve">Machine specifications (Table 6.21).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Basis / Source</w:t>
            </w:r>
          </w:p>
        </w:tc>
      </w:tr>
      <w:tr>
        <w:tc>
          <w:tcPr/>
          <w:p>
            <w:pPr>
              <w:pStyle w:val="Compact"/>
            </w:pPr>
            <w:r>
              <w:t xml:space="preserve">Equipment type</w:t>
            </w:r>
          </w:p>
        </w:tc>
        <w:tc>
          <w:tcPr/>
          <w:p>
            <w:pPr>
              <w:pStyle w:val="Compact"/>
            </w:pPr>
            <w:r>
              <w:t xml:space="preserve">Manual polishing/deburring bench + hand tools</w:t>
            </w:r>
          </w:p>
        </w:tc>
        <w:tc>
          <w:tcPr/>
          <w:p>
            <w:pPr>
              <w:pStyle w:val="Compact"/>
            </w:pPr>
            <w:r>
              <w:t xml:space="preserve">Workbook (hand polish per brief)</w:t>
            </w:r>
          </w:p>
        </w:tc>
      </w:tr>
      <w:tr>
        <w:tc>
          <w:tcPr/>
          <w:p>
            <w:pPr>
              <w:pStyle w:val="Compact"/>
            </w:pPr>
            <w:r>
              <w:t xml:space="preserve">Cycle time</w:t>
            </w:r>
          </w:p>
        </w:tc>
        <w:tc>
          <w:tcPr/>
          <w:p>
            <w:pPr>
              <w:pStyle w:val="Compact"/>
            </w:pPr>
            <w:r>
              <w:t xml:space="preserve">60 s/head</w:t>
            </w:r>
          </w:p>
        </w:tc>
        <w:tc>
          <w:tcPr/>
          <w:p>
            <w:pPr>
              <w:pStyle w:val="Compact"/>
            </w:pPr>
            <w:r>
              <w:t xml:space="preserve">Brief</w:t>
            </w:r>
          </w:p>
        </w:tc>
      </w:tr>
      <w:tr>
        <w:tc>
          <w:tcPr/>
          <w:p>
            <w:pPr>
              <w:pStyle w:val="Compact"/>
            </w:pPr>
            <w:r>
              <w:t xml:space="preserve">Daily throughput required</w:t>
            </w:r>
          </w:p>
        </w:tc>
        <w:tc>
          <w:tcPr/>
          <w:p>
            <w:pPr>
              <w:pStyle w:val="Compact"/>
            </w:pPr>
            <w:r>
              <w:t xml:space="preserve">1 819 heads/day</w:t>
            </w:r>
          </w:p>
        </w:tc>
        <w:tc>
          <w:tcPr/>
          <w:p>
            <w:pPr>
              <w:pStyle w:val="Compact"/>
            </w:pPr>
            <w:r>
              <w:t xml:space="preserve">Workbook</w:t>
            </w:r>
          </w:p>
        </w:tc>
      </w:tr>
      <w:tr>
        <w:tc>
          <w:tcPr/>
          <w:p>
            <w:pPr>
              <w:pStyle w:val="Compact"/>
            </w:pPr>
            <w:r>
              <w:t xml:space="preserve">Stations required</w:t>
            </w:r>
          </w:p>
        </w:tc>
        <w:tc>
          <w:tcPr/>
          <w:p>
            <w:pPr>
              <w:pStyle w:val="Compact"/>
            </w:pPr>
            <w:r>
              <w:t xml:space="preserve">4 (utilisation 94.7 %)</w:t>
            </w:r>
          </w:p>
        </w:tc>
        <w:tc>
          <w:tcPr/>
          <w:p>
            <w:pPr>
              <w:pStyle w:val="Compact"/>
            </w:pPr>
            <w:r>
              <w:t xml:space="preserve">§6.4</w:t>
            </w:r>
          </w:p>
        </w:tc>
      </w:tr>
      <w:tr>
        <w:tc>
          <w:tcPr/>
          <w:p>
            <w:pPr>
              <w:pStyle w:val="Compact"/>
            </w:pPr>
            <w:r>
              <w:t xml:space="preserve">Operators</w:t>
            </w:r>
          </w:p>
        </w:tc>
        <w:tc>
          <w:tcPr/>
          <w:p>
            <w:pPr>
              <w:pStyle w:val="Compact"/>
            </w:pPr>
            <w:r>
              <w:t xml:space="preserve">4</w:t>
            </w:r>
          </w:p>
        </w:tc>
        <w:tc>
          <w:tcPr/>
          <w:p>
            <w:pPr>
              <w:pStyle w:val="Compact"/>
            </w:pPr>
            <w:r>
              <w:t xml:space="preserve">Workbook (1:1)</w:t>
            </w:r>
          </w:p>
        </w:tc>
      </w:tr>
      <w:tr>
        <w:tc>
          <w:tcPr/>
          <w:p>
            <w:pPr>
              <w:pStyle w:val="Compact"/>
            </w:pPr>
            <w:r>
              <w:t xml:space="preserve">Extraction</w:t>
            </w:r>
          </w:p>
        </w:tc>
        <w:tc>
          <w:tcPr/>
          <w:p>
            <w:pPr>
              <w:pStyle w:val="Compact"/>
            </w:pPr>
            <w:r>
              <w:t xml:space="preserve">Bench-level extraction advisable (fine Al dust)</w:t>
            </w:r>
          </w:p>
        </w:tc>
        <w:tc>
          <w:tcPr/>
          <w:p>
            <w:pPr>
              <w:pStyle w:val="Compact"/>
            </w:pPr>
            <w:r>
              <w:t xml:space="preserve">Facilities factor [VERIFY]</w:t>
            </w:r>
          </w:p>
        </w:tc>
      </w:tr>
    </w:tbl>
    <w:p>
      <w:pPr>
        <w:pStyle w:val="BodyText"/>
      </w:pPr>
      <w:r>
        <w:rPr>
          <w:b/>
          <w:bCs/>
        </w:rPr>
        <w:t xml:space="preserve">Workstation layout.</w:t>
      </w:r>
      <w:r>
        <w:t xml:space="preserve"> </w:t>
      </w:r>
      <w:r>
        <w:t xml:space="preserve">Standard 6 m² bench cell per Equation 6.9: bench with fixture and task lighting, operator seat/stand position, inbound and outbound bins, bench-level extraction take-off. The four benches form a row between sandblasting and the powder-coat staging area, oriented so supervisors can see queue depth — at 94.7 % utilisation this row is bottleneck-critical alongside sharpening and serrating.</w:t>
      </w:r>
    </w:p>
    <w:p>
      <w:pPr>
        <w:pStyle w:val="BodyText"/>
      </w:pPr>
      <w:r>
        <w:rPr>
          <w:b/>
          <w:bCs/>
        </w:rPr>
        <w:t xml:space="preserve">Material handling.</w:t>
      </w:r>
      <w:r>
        <w:t xml:space="preserve"> </w:t>
      </w:r>
      <w:r>
        <w:t xml:space="preserve">Trolleys in from sandblasting; polished subassemblies out to powder-coat staging, where they consolidate with the two handle types into the three-items-per-shovel coating flow.</w:t>
      </w:r>
    </w:p>
    <w:p>
      <w:pPr>
        <w:pStyle w:val="BodyText"/>
      </w:pPr>
      <w:r>
        <w:rPr>
          <w:b/>
          <w:bCs/>
        </w:rPr>
        <w:t xml:space="preserve">Waste and facilities factors.</w:t>
      </w:r>
      <w:r>
        <w:t xml:space="preserve"> </w:t>
      </w:r>
      <w:r>
        <w:t xml:space="preserve">Fine aluminium dust and spent consumables (pads, buffs) — low volume but the dust joins the combustible-dust handling regime; bench extraction connected to the finishing-zone system. Good task lighting is a defining requirement since this step is also a de facto surface-quality check before coating.</w:t>
      </w:r>
    </w:p>
    <w:p>
      <w:pPr>
        <w:pStyle w:val="BodyText"/>
      </w:pPr>
      <w:r>
        <w:rPr>
          <w:b/>
          <w:bCs/>
        </w:rPr>
        <w:t xml:space="preserve">Layout implications.</w:t>
      </w:r>
      <w:r>
        <w:t xml:space="preserve"> </w:t>
      </w:r>
      <w:r>
        <w:t xml:space="preserve">Polishing is the last open-air process before the enclosed coating area, so it anchors the boundary between the finishing zone and powder-coat staging. Its 94.7 % utilisation reinforces the case for a continuous finishing zone (sharpen → serrate → polish) with shared extraction, cross-trained operators and shared WIP discipline.</w:t>
      </w:r>
    </w:p>
    <w:p>
      <w:pPr>
        <w:pStyle w:val="BodyText"/>
      </w:pPr>
      <w:r>
        <w:rPr>
          <w:i/>
          <w:iCs/>
        </w:rPr>
        <w:t xml:space="preserve">Detailed layout drawing and costed specification: Appendix C, Figure C.13 / Table C.13.</w:t>
      </w:r>
    </w:p>
    <w:bookmarkEnd w:id="39"/>
    <w:bookmarkStart w:id="44" w:name="powder-coating"/>
    <w:p>
      <w:pPr>
        <w:pStyle w:val="Heading3"/>
      </w:pPr>
      <w:r>
        <w:t xml:space="preserve">6.3.15 Powder Coating</w:t>
      </w:r>
    </w:p>
    <w:p>
      <w:pPr>
        <w:pStyle w:val="FirstParagraph"/>
      </w:pPr>
      <w:r>
        <w:rPr>
          <w:b/>
          <w:bCs/>
        </w:rPr>
        <w:t xml:space="preserve">Process description.</w:t>
      </w:r>
      <w:r>
        <w:t xml:space="preserve"> </w:t>
      </w:r>
      <w:r>
        <w:t xml:space="preserve">Both handle sections and the head subassembly are powder coated — three items per shovel, 5 457 items/day. The brief requires powder coating in a separate, fully enclosed area because of fumes, and notes negligible mass effect. The duty is equipment-dependent: the workbook adopts a conveyorised line at 600 parts/h.</w:t>
      </w:r>
    </w:p>
    <w:p>
      <w:pPr>
        <w:pStyle w:val="BodyText"/>
      </w:pPr>
      <w:r>
        <w:rPr>
          <w:b/>
          <w:bCs/>
        </w:rPr>
        <w:t xml:space="preserve">Machine selection and justification.</w:t>
      </w:r>
      <w:r>
        <w:t xml:space="preserve"> </w:t>
      </w:r>
      <w:r>
        <w:t xml:space="preserve">A conveyorised powder-coating line (spray booth with recovery, cure oven, overhead conveyor) is selected over batch spraying because 5 457 items/day on hooks is a continuous-flow duty, and conveyorisation gives the consistent film build and cure dwell that manual batch work cannot hold at this volume. A representative South African supplier is P.I. Marketing, which designs and installs complete conveyorised powder-coating plants — booths with recovery/cyclone systems, conveyor systems and curing ovens — as turnkey factories (P.I. Marketing, n.d.). The line count follows from the assumed rate in Equation 6.10; the 600 parts/h rate and the cure dwell are supplier parameters to confirm at quotation [VERIFY].</w:t>
      </w:r>
    </w:p>
    <w:p>
      <w:pPr>
        <w:pStyle w:val="BodyText"/>
      </w:pPr>
      <w:r>
        <w:rPr>
          <w:b/>
          <w:bCs/>
        </w:rPr>
        <w:t xml:space="preserve">Equation 6.10: Powder-coating lines required</w:t>
      </w:r>
    </w:p>
    <w:p>
      <w:pPr>
        <w:pStyle w:val="BodyText"/>
      </w:pPr>
      <m:oMathPara>
        <m:oMathParaPr>
          <m:jc m:val="center"/>
        </m:oMathParaPr>
        <m:oMath>
          <m:r>
            <m:rPr>
              <m:nor/>
              <m:sty m:val="p"/>
            </m:rPr>
            <m:t>Lines</m:t>
          </m:r>
          <m:r>
            <m:rPr>
              <m:sty m:val="p"/>
            </m:rPr>
            <m:t>=</m:t>
          </m:r>
          <m:d>
            <m:dPr>
              <m:begChr m:val="⌈"/>
              <m:sepChr m:val=""/>
              <m:endChr m:val="⌉"/>
              <m:grow/>
            </m:dPr>
            <m:e>
              <m:f>
                <m:fPr>
                  <m:type m:val="bar"/>
                </m:fPr>
                <m:num>
                  <m:r>
                    <m:rPr>
                      <m:nor/>
                      <m:sty m:val="p"/>
                    </m:rPr>
                    <m:t>Items/day</m:t>
                  </m:r>
                </m:num>
                <m:den>
                  <m:r>
                    <m:rPr>
                      <m:nor/>
                      <m:sty m:val="p"/>
                    </m:rPr>
                    <m:t>Line rate</m:t>
                  </m:r>
                  <m:r>
                    <m:rPr>
                      <m:sty m:val="p"/>
                    </m:rPr>
                    <m:t>×</m:t>
                  </m:r>
                  <m:r>
                    <m:rPr>
                      <m:nor/>
                      <m:sty m:val="p"/>
                    </m:rPr>
                    <m:t>Productive hours</m:t>
                  </m:r>
                </m:den>
              </m:f>
            </m:e>
          </m:d>
          <m:r>
            <m:rPr>
              <m:sty m:val="p"/>
            </m:rPr>
            <m:t>=</m:t>
          </m:r>
          <m:d>
            <m:dPr>
              <m:begChr m:val="⌈"/>
              <m:sepChr m:val=""/>
              <m:endChr m:val="⌉"/>
              <m:grow/>
            </m:dPr>
            <m:e>
              <m:f>
                <m:fPr>
                  <m:type m:val="bar"/>
                </m:fPr>
                <m:num>
                  <m:r>
                    <m:t>5</m:t>
                  </m:r>
                  <m:r>
                    <m:t> </m:t>
                  </m:r>
                  <m:r>
                    <m:t>457</m:t>
                  </m:r>
                </m:num>
                <m:den>
                  <m:r>
                    <m:t>600</m:t>
                  </m:r>
                  <m:r>
                    <m:rPr>
                      <m:sty m:val="p"/>
                    </m:rPr>
                    <m:t>×</m:t>
                  </m:r>
                  <m:r>
                    <m:t>8</m:t>
                  </m:r>
                </m:den>
              </m:f>
            </m:e>
          </m:d>
          <m:r>
            <m:rPr>
              <m:sty m:val="p"/>
            </m:rPr>
            <m:t>=</m:t>
          </m:r>
          <m:r>
            <m:rPr>
              <m:sty m:val="p"/>
            </m:rPr>
            <m:t>⌈</m:t>
          </m:r>
          <m:r>
            <m:t>1.14</m:t>
          </m:r>
          <m:r>
            <m:rPr>
              <m:sty m:val="p"/>
            </m:rPr>
            <m:t>⌉</m:t>
          </m:r>
          <m:r>
            <m:rPr>
              <m:sty m:val="p"/>
            </m:rPr>
            <m:t>=</m:t>
          </m:r>
          <m:r>
            <m:t>2</m:t>
          </m:r>
          <m:r>
            <m:t> </m:t>
          </m:r>
          <m:r>
            <m:rPr>
              <m:nor/>
              <m:sty m:val="p"/>
            </m:rPr>
            <m:t>lines</m:t>
          </m:r>
        </m:oMath>
      </m:oMathPara>
    </w:p>
    <w:p>
      <w:pPr>
        <w:pStyle w:val="FirstParagraph"/>
      </w:pPr>
      <w:r>
        <w:t xml:space="preserve">A single line would need approximately 9.1 h/day — exceeding the 8-hour productive shift — and since the brief designates overtime as a flexibility mechanism rather than the base plan, two lines are adopted (each at ≈ 57 % utilisation, providing colour-change and maintenance slack).</w:t>
      </w:r>
    </w:p>
    <w:p>
      <w:pPr>
        <w:pStyle w:val="BodyText"/>
      </w:pPr>
      <w:r>
        <w:rPr>
          <w:b/>
          <w:bCs/>
        </w:rPr>
        <w:t xml:space="preserve">Machine specifications (Table 6.22).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Basis / Source</w:t>
            </w:r>
          </w:p>
        </w:tc>
      </w:tr>
      <w:tr>
        <w:tc>
          <w:tcPr/>
          <w:p>
            <w:pPr>
              <w:pStyle w:val="Compact"/>
            </w:pPr>
            <w:r>
              <w:t xml:space="preserve">Equipment type</w:t>
            </w:r>
          </w:p>
        </w:tc>
        <w:tc>
          <w:tcPr/>
          <w:p>
            <w:pPr>
              <w:pStyle w:val="Compact"/>
            </w:pPr>
            <w:r>
              <w:t xml:space="preserve">Conveyorised powder line: booth + recovery, cure oven, overhead conveyor</w:t>
            </w:r>
          </w:p>
        </w:tc>
        <w:tc>
          <w:tcPr/>
          <w:p>
            <w:pPr>
              <w:pStyle w:val="Compact"/>
            </w:pPr>
            <w:r>
              <w:t xml:space="preserve">Market example: P.I. Marketing (SA, turnkey plants)</w:t>
            </w:r>
          </w:p>
        </w:tc>
      </w:tr>
      <w:tr>
        <w:tc>
          <w:tcPr/>
          <w:p>
            <w:pPr>
              <w:pStyle w:val="Compact"/>
            </w:pPr>
            <w:r>
              <w:t xml:space="preserve">Coated items per day</w:t>
            </w:r>
          </w:p>
        </w:tc>
        <w:tc>
          <w:tcPr/>
          <w:p>
            <w:pPr>
              <w:pStyle w:val="Compact"/>
            </w:pPr>
            <w:r>
              <w:t xml:space="preserve">5 457 (3 per shovel)</w:t>
            </w:r>
          </w:p>
        </w:tc>
        <w:tc>
          <w:tcPr/>
          <w:p>
            <w:pPr>
              <w:pStyle w:val="Compact"/>
            </w:pPr>
            <w:r>
              <w:t xml:space="preserve">Workbook (Equipment-dep)</w:t>
            </w:r>
          </w:p>
        </w:tc>
      </w:tr>
      <w:tr>
        <w:tc>
          <w:tcPr/>
          <w:p>
            <w:pPr>
              <w:pStyle w:val="Compact"/>
            </w:pPr>
            <w:r>
              <w:t xml:space="preserve">Assumed line rate</w:t>
            </w:r>
          </w:p>
        </w:tc>
        <w:tc>
          <w:tcPr/>
          <w:p>
            <w:pPr>
              <w:pStyle w:val="Compact"/>
            </w:pPr>
            <w:r>
              <w:t xml:space="preserve">600 parts/h [VERIFY]</w:t>
            </w:r>
          </w:p>
        </w:tc>
        <w:tc>
          <w:tcPr/>
          <w:p>
            <w:pPr>
              <w:pStyle w:val="Compact"/>
            </w:pPr>
            <w:r>
              <w:t xml:space="preserve">Workbook (supplier-based)</w:t>
            </w:r>
          </w:p>
        </w:tc>
      </w:tr>
      <w:tr>
        <w:tc>
          <w:tcPr/>
          <w:p>
            <w:pPr>
              <w:pStyle w:val="Compact"/>
            </w:pPr>
            <w:r>
              <w:t xml:space="preserve">Lines required</w:t>
            </w:r>
          </w:p>
        </w:tc>
        <w:tc>
          <w:tcPr/>
          <w:p>
            <w:pPr>
              <w:pStyle w:val="Compact"/>
            </w:pPr>
            <w:r>
              <w:t xml:space="preserve">2</w:t>
            </w:r>
          </w:p>
        </w:tc>
        <w:tc>
          <w:tcPr/>
          <w:p>
            <w:pPr>
              <w:pStyle w:val="Compact"/>
            </w:pPr>
            <w:r>
              <w:t xml:space="preserve">Equation 6.10</w:t>
            </w:r>
          </w:p>
        </w:tc>
      </w:tr>
      <w:tr>
        <w:tc>
          <w:tcPr/>
          <w:p>
            <w:pPr>
              <w:pStyle w:val="Compact"/>
            </w:pPr>
            <w:r>
              <w:t xml:space="preserve">Utilisation per line</w:t>
            </w:r>
          </w:p>
        </w:tc>
        <w:tc>
          <w:tcPr/>
          <w:p>
            <w:pPr>
              <w:pStyle w:val="Compact"/>
            </w:pPr>
            <w:r>
              <w:t xml:space="preserve">≈ 57 %</w:t>
            </w:r>
          </w:p>
        </w:tc>
        <w:tc>
          <w:tcPr/>
          <w:p>
            <w:pPr>
              <w:pStyle w:val="Compact"/>
            </w:pPr>
            <w:r>
              <w:t xml:space="preserve">9.1 h ÷ 16 line-hours</w:t>
            </w:r>
          </w:p>
        </w:tc>
      </w:tr>
      <w:tr>
        <w:tc>
          <w:tcPr/>
          <w:p>
            <w:pPr>
              <w:pStyle w:val="Compact"/>
            </w:pPr>
            <w:r>
              <w:t xml:space="preserve">Cure dwell</w:t>
            </w:r>
          </w:p>
        </w:tc>
        <w:tc>
          <w:tcPr/>
          <w:p>
            <w:pPr>
              <w:pStyle w:val="Compact"/>
            </w:pPr>
            <w:r>
              <w:t xml:space="preserve">Per supplier (minutes-scale oven dwell)</w:t>
            </w:r>
          </w:p>
        </w:tc>
        <w:tc>
          <w:tcPr/>
          <w:p>
            <w:pPr>
              <w:pStyle w:val="Compact"/>
            </w:pPr>
            <w:r>
              <w:t xml:space="preserve">Workbook note</w:t>
            </w:r>
          </w:p>
        </w:tc>
      </w:tr>
      <w:tr>
        <w:tc>
          <w:tcPr/>
          <w:p>
            <w:pPr>
              <w:pStyle w:val="Compact"/>
            </w:pPr>
            <w:r>
              <w:t xml:space="preserve">Operators</w:t>
            </w:r>
          </w:p>
        </w:tc>
        <w:tc>
          <w:tcPr/>
          <w:p>
            <w:pPr>
              <w:pStyle w:val="Compact"/>
            </w:pPr>
            <w:r>
              <w:t xml:space="preserve">Shared (equipment-dependent &amp; QA pool)</w:t>
            </w:r>
          </w:p>
        </w:tc>
        <w:tc>
          <w:tcPr/>
          <w:p>
            <w:pPr>
              <w:pStyle w:val="Compact"/>
            </w:pPr>
            <w:r>
              <w:t xml:space="preserve">Personnel sheet</w:t>
            </w:r>
          </w:p>
        </w:tc>
      </w:tr>
      <w:tr>
        <w:tc>
          <w:tcPr/>
          <w:p>
            <w:pPr>
              <w:pStyle w:val="Compact"/>
            </w:pPr>
            <w:r>
              <w:t xml:space="preserve">Area</w:t>
            </w:r>
          </w:p>
        </w:tc>
        <w:tc>
          <w:tcPr/>
          <w:p>
            <w:pPr>
              <w:pStyle w:val="Compact"/>
            </w:pPr>
            <w:r>
              <w:t xml:space="preserve">120 m², fully enclosed</w:t>
            </w:r>
          </w:p>
        </w:tc>
        <w:tc>
          <w:tcPr/>
          <w:p>
            <w:pPr>
              <w:pStyle w:val="Compact"/>
            </w:pPr>
            <w:r>
              <w:t xml:space="preserve">Inputs sheet (supplier-based estimate); brief requires enclosure</w:t>
            </w:r>
          </w:p>
        </w:tc>
      </w:tr>
    </w:tbl>
    <w:p>
      <w:pPr>
        <w:pStyle w:val="BodyText"/>
      </w:pPr>
      <w:r>
        <w:rPr>
          <w:b/>
          <w:bCs/>
        </w:rPr>
        <w:t xml:space="preserve">Workstation layout.</w:t>
      </w:r>
      <w:r>
        <w:t xml:space="preserve"> </w:t>
      </w:r>
      <w:r>
        <w:t xml:space="preserve">The enclosed 120 m² area is defined as: hanging/loading station at the entry (parts hung on conveyor hooks — handles and subassemblies on separate hook patterns); spray booth(s) with powder recovery beneath; cure oven section; cooling leg; and unloading station at the exit feeding final assembly staging. Conveyor entry and exit pass through the enclosure wall with minimal openings; make-up air and filtered extraction maintain the enclosure under slight negative pressure so fumes cannot migrate to the open factory [VERIFY ventilation design].</w:t>
      </w:r>
    </w:p>
    <w:p>
      <w:pPr>
        <w:pStyle w:val="BodyText"/>
      </w:pPr>
      <w:r>
        <w:drawing>
          <wp:inline>
            <wp:extent cx="5399999" cy="3799738"/>
            <wp:effectExtent b="0" l="0" r="0" t="0"/>
            <wp:docPr descr="" title="" id="41" name="Picture"/>
            <a:graphic>
              <a:graphicData uri="http://schemas.openxmlformats.org/drawingml/2006/picture">
                <pic:pic>
                  <pic:nvPicPr>
                    <pic:cNvPr descr="C14_powder_coating.svg" id="42" name="Picture"/>
                    <pic:cNvPicPr>
                      <a:picLocks noChangeArrowheads="1" noChangeAspect="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5399999" cy="3799738"/>
                    </a:xfrm>
                    <a:prstGeom prst="rect">
                      <a:avLst/>
                    </a:prstGeom>
                    <a:noFill/>
                    <a:ln w="9525">
                      <a:noFill/>
                      <a:headEnd/>
                      <a:tailEnd/>
                    </a:ln>
                  </pic:spPr>
                </pic:pic>
              </a:graphicData>
            </a:graphic>
          </wp:inline>
        </w:drawing>
      </w:r>
    </w:p>
    <w:p>
      <w:pPr>
        <w:pStyle w:val="BodyText"/>
      </w:pPr>
      <w:r>
        <w:rPr>
          <w:b/>
          <w:bCs/>
        </w:rPr>
        <w:t xml:space="preserve">Figure 6.7: Fully enclosed powder-coating area — conveyor loop (load → booth → cure oven → cool → unload), powder recovery, filtered extraction and make-up air, fire separation and personnel airlocks. (Author’s own; line arrangement adapted from P.I. Marketing, n.d.)</w:t>
      </w:r>
    </w:p>
    <w:p>
      <w:pPr>
        <w:pStyle w:val="BodyText"/>
      </w:pPr>
      <w:r>
        <w:rPr>
          <w:b/>
          <w:bCs/>
        </w:rPr>
        <w:t xml:space="preserve">Material handling.</w:t>
      </w:r>
      <w:r>
        <w:t xml:space="preserve"> </w:t>
      </w:r>
      <w:r>
        <w:t xml:space="preserve">Trolleys deliver polished subassemblies and threaded/knurled handles to the hanging station; coated parts leave on trolleys to final assembly. Inside the enclosure all movement is by the overhead conveyor — the facility’s only fixed material-handling system, which once installed locks the geometry of this area (a strong reason to finalise the line layout before the building design freezes).</w:t>
      </w:r>
    </w:p>
    <w:p>
      <w:pPr>
        <w:pStyle w:val="BodyText"/>
      </w:pPr>
      <w:r>
        <w:rPr>
          <w:b/>
          <w:bCs/>
        </w:rPr>
        <w:t xml:space="preserve">Waste and facilities factors.</w:t>
      </w:r>
      <w:r>
        <w:t xml:space="preserve"> </w:t>
      </w:r>
      <w:r>
        <w:t xml:space="preserve">Overspray powder is largely reclaimed by the recovery system; spent filters and unreclaimable powder form a controlled waste stream. The enclosure is the facility’s principal fire/ignition-control zone: organic powder in air is combustible, so electrical equipment inside must be suitably rated, the area must be separated from the combustible-aluminium-dust extraction of the finishing zone, and fire detection/suppression is required [VERIFY fire-engineering design]. The cure ovens add a second major heat and energy load alongside heat treatment.</w:t>
      </w:r>
    </w:p>
    <w:p>
      <w:pPr>
        <w:pStyle w:val="BodyText"/>
      </w:pPr>
      <w:r>
        <w:rPr>
          <w:b/>
          <w:bCs/>
        </w:rPr>
        <w:t xml:space="preserve">Layout implications.</w:t>
      </w:r>
      <w:r>
        <w:t xml:space="preserve"> </w:t>
      </w:r>
      <w:r>
        <w:t xml:space="preserve">Powder coating is the facility’s strictest separation requirement and one of its largest single areas (120 m²). It should sit against the services wall adjacent to (but fire-separated from) heat treatment and sandblasting, with the conveyor’s load end facing the finishing zone and tube line, and its unload end facing final assembly — making it the geometric hinge between fabrication and assembly in every layout alternative. The two-line decision also future-proofs the 10 % demand growth implied by the expansion allowance, since the second line’s spare capacity (≈ 43 %) absorbs growth without further coating investment.</w:t>
      </w:r>
    </w:p>
    <w:p>
      <w:pPr>
        <w:pStyle w:val="BodyText"/>
      </w:pPr>
      <w:r>
        <w:rPr>
          <w:i/>
          <w:iCs/>
        </w:rPr>
        <w:t xml:space="preserve">Detailed layout drawing and costed specification: Appendix C, Figure C.14 / Table C.14.</w:t>
      </w:r>
    </w:p>
    <w:bookmarkEnd w:id="44"/>
    <w:bookmarkStart w:id="45" w:name="final-assembly"/>
    <w:p>
      <w:pPr>
        <w:pStyle w:val="Heading3"/>
      </w:pPr>
      <w:r>
        <w:t xml:space="preserve">6.3.16 Final Assembly</w:t>
      </w:r>
    </w:p>
    <w:p>
      <w:pPr>
        <w:pStyle w:val="FirstParagraph"/>
      </w:pPr>
      <w:r>
        <w:rPr>
          <w:b/>
          <w:bCs/>
        </w:rPr>
        <w:t xml:space="preserve">Process description.</w:t>
      </w:r>
      <w:r>
        <w:t xml:space="preserve"> </w:t>
      </w:r>
      <w:r>
        <w:t xml:space="preserve">The two streams converge here for the first and only time: the coated back handle is screwed into the coated middle handle via the knurled external/internal thread pair, the handle assembly is joined to the coated head subassembly at the hinge, and the folding action is functionally checked. The brief assigns 30 s per shovel: 1 819 shovels/day on two benches at 94.7 % utilisation. The exact handle-to-hinge attachment detail follows the product design.</w:t>
      </w:r>
    </w:p>
    <w:p>
      <w:pPr>
        <w:pStyle w:val="BodyText"/>
      </w:pPr>
      <w:r>
        <w:rPr>
          <w:b/>
          <w:bCs/>
        </w:rPr>
        <w:t xml:space="preserve">Machine selection and justification.</w:t>
      </w:r>
      <w:r>
        <w:t xml:space="preserve"> </w:t>
      </w:r>
      <w:r>
        <w:t xml:space="preserve">Manual assembly benches are specified — the joints are hand-threaded and hand-fitted, the functional fold check is judgement-based, and the 30 s cycle requires dexterity rather than force. No machine procurement is involved; bench fixtures (a cradle holding the head subassembly during handle fitting) are toolroom items.</w:t>
      </w:r>
    </w:p>
    <w:p>
      <w:pPr>
        <w:pStyle w:val="BodyText"/>
      </w:pPr>
      <w:r>
        <w:rPr>
          <w:b/>
          <w:bCs/>
        </w:rPr>
        <w:t xml:space="preserve">Workstation specifications (Table 6.23).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Basis / Source</w:t>
            </w:r>
          </w:p>
        </w:tc>
      </w:tr>
      <w:tr>
        <w:tc>
          <w:tcPr/>
          <w:p>
            <w:pPr>
              <w:pStyle w:val="Compact"/>
            </w:pPr>
            <w:r>
              <w:t xml:space="preserve">Equipment type</w:t>
            </w:r>
          </w:p>
        </w:tc>
        <w:tc>
          <w:tcPr/>
          <w:p>
            <w:pPr>
              <w:pStyle w:val="Compact"/>
            </w:pPr>
            <w:r>
              <w:t xml:space="preserve">Manual assembly bench + holding fixture</w:t>
            </w:r>
          </w:p>
        </w:tc>
        <w:tc>
          <w:tcPr/>
          <w:p>
            <w:pPr>
              <w:pStyle w:val="Compact"/>
            </w:pPr>
            <w:r>
              <w:t xml:space="preserve">Workbook (manual per brief)</w:t>
            </w:r>
          </w:p>
        </w:tc>
      </w:tr>
      <w:tr>
        <w:tc>
          <w:tcPr/>
          <w:p>
            <w:pPr>
              <w:pStyle w:val="Compact"/>
            </w:pPr>
            <w:r>
              <w:t xml:space="preserve">Cycle time</w:t>
            </w:r>
          </w:p>
        </w:tc>
        <w:tc>
          <w:tcPr/>
          <w:p>
            <w:pPr>
              <w:pStyle w:val="Compact"/>
            </w:pPr>
            <w:r>
              <w:t xml:space="preserve">30 s/shovel</w:t>
            </w:r>
          </w:p>
        </w:tc>
        <w:tc>
          <w:tcPr/>
          <w:p>
            <w:pPr>
              <w:pStyle w:val="Compact"/>
            </w:pPr>
            <w:r>
              <w:t xml:space="preserve">Brief</w:t>
            </w:r>
          </w:p>
        </w:tc>
      </w:tr>
      <w:tr>
        <w:tc>
          <w:tcPr/>
          <w:p>
            <w:pPr>
              <w:pStyle w:val="Compact"/>
            </w:pPr>
            <w:r>
              <w:t xml:space="preserve">Daily throughput required</w:t>
            </w:r>
          </w:p>
        </w:tc>
        <w:tc>
          <w:tcPr/>
          <w:p>
            <w:pPr>
              <w:pStyle w:val="Compact"/>
            </w:pPr>
            <w:r>
              <w:t xml:space="preserve">1 819 shovels/day</w:t>
            </w:r>
          </w:p>
        </w:tc>
        <w:tc>
          <w:tcPr/>
          <w:p>
            <w:pPr>
              <w:pStyle w:val="Compact"/>
            </w:pPr>
            <w:r>
              <w:t xml:space="preserve">Table 6.2 (good units)</w:t>
            </w:r>
          </w:p>
        </w:tc>
      </w:tr>
      <w:tr>
        <w:tc>
          <w:tcPr/>
          <w:p>
            <w:pPr>
              <w:pStyle w:val="Compact"/>
            </w:pPr>
            <w:r>
              <w:t xml:space="preserve">Stations required</w:t>
            </w:r>
          </w:p>
        </w:tc>
        <w:tc>
          <w:tcPr/>
          <w:p>
            <w:pPr>
              <w:pStyle w:val="Compact"/>
            </w:pPr>
            <w:r>
              <w:t xml:space="preserve">2 (utilisation 94.7 %)</w:t>
            </w:r>
          </w:p>
        </w:tc>
        <w:tc>
          <w:tcPr/>
          <w:p>
            <w:pPr>
              <w:pStyle w:val="Compact"/>
            </w:pPr>
            <w:r>
              <w:t xml:space="preserve">§6.4</w:t>
            </w:r>
          </w:p>
        </w:tc>
      </w:tr>
      <w:tr>
        <w:tc>
          <w:tcPr/>
          <w:p>
            <w:pPr>
              <w:pStyle w:val="Compact"/>
            </w:pPr>
            <w:r>
              <w:t xml:space="preserve">Operators</w:t>
            </w:r>
          </w:p>
        </w:tc>
        <w:tc>
          <w:tcPr/>
          <w:p>
            <w:pPr>
              <w:pStyle w:val="Compact"/>
            </w:pPr>
            <w:r>
              <w:t xml:space="preserve">2</w:t>
            </w:r>
          </w:p>
        </w:tc>
        <w:tc>
          <w:tcPr/>
          <w:p>
            <w:pPr>
              <w:pStyle w:val="Compact"/>
            </w:pPr>
            <w:r>
              <w:t xml:space="preserve">Workbook (1:1)</w:t>
            </w:r>
          </w:p>
        </w:tc>
      </w:tr>
      <w:tr>
        <w:tc>
          <w:tcPr/>
          <w:p>
            <w:pPr>
              <w:pStyle w:val="Compact"/>
            </w:pPr>
            <w:r>
              <w:t xml:space="preserve">Inbound flows</w:t>
            </w:r>
          </w:p>
        </w:tc>
        <w:tc>
          <w:tcPr/>
          <w:p>
            <w:pPr>
              <w:pStyle w:val="Compact"/>
            </w:pPr>
            <w:r>
              <w:t xml:space="preserve">3 matched part flows (back handle, middle handle, head subassembly)</w:t>
            </w:r>
          </w:p>
        </w:tc>
        <w:tc>
          <w:tcPr/>
          <w:p>
            <w:pPr>
              <w:pStyle w:val="Compact"/>
            </w:pPr>
            <w:r>
              <w:t xml:space="preserve">Product structure</w:t>
            </w:r>
          </w:p>
        </w:tc>
      </w:tr>
    </w:tbl>
    <w:p>
      <w:pPr>
        <w:pStyle w:val="BodyText"/>
      </w:pPr>
      <w:r>
        <w:rPr>
          <w:b/>
          <w:bCs/>
        </w:rPr>
        <w:t xml:space="preserve">Workstation layout.</w:t>
      </w:r>
      <w:r>
        <w:t xml:space="preserve"> </w:t>
      </w:r>
      <w:r>
        <w:t xml:space="preserve">Standard 6 m² bench cell per Equation 6.9, with one defining difference: three inbound bins (one per coated part type) must be presented within reach, each with visual min/max levels, because a shortage of any one part stops the station. Outbound, completed shovels go to a single bin feeding packaging. The two benches sit side by side sharing an inbound staging rack replenished from the powder-coat unload station.</w:t>
      </w:r>
    </w:p>
    <w:p>
      <w:pPr>
        <w:pStyle w:val="BodyText"/>
      </w:pPr>
      <w:r>
        <w:rPr>
          <w:b/>
          <w:bCs/>
        </w:rPr>
        <w:t xml:space="preserve">Material handling.</w:t>
      </w:r>
      <w:r>
        <w:t xml:space="preserve"> </w:t>
      </w:r>
      <w:r>
        <w:t xml:space="preserve">Trolley deliveries of the three coated part types from the coating area’s unload station; completed shovels pass by bin directly to the adjacent packaging benches — the shortest material-handling link in the facility, deliberately so.</w:t>
      </w:r>
    </w:p>
    <w:p>
      <w:pPr>
        <w:pStyle w:val="BodyText"/>
      </w:pPr>
      <w:r>
        <w:rPr>
          <w:b/>
          <w:bCs/>
        </w:rPr>
        <w:t xml:space="preserve">Waste and facilities factors.</w:t>
      </w:r>
      <w:r>
        <w:t xml:space="preserve"> </w:t>
      </w:r>
      <w:r>
        <w:t xml:space="preserve">Negligible waste (occasional reject to a quarantine bin for rework assessment). Requirements are good task lighting and ergonomic bench height; no extraction, utilities or separation. As a clean, quiet zone it must be protected from finishing-zone dust and noise.</w:t>
      </w:r>
    </w:p>
    <w:p>
      <w:pPr>
        <w:pStyle w:val="BodyText"/>
      </w:pPr>
      <w:r>
        <w:rPr>
          <w:b/>
          <w:bCs/>
        </w:rPr>
        <w:t xml:space="preserve">Layout implications.</w:t>
      </w:r>
      <w:r>
        <w:t xml:space="preserve"> </w:t>
      </w:r>
      <w:r>
        <w:t xml:space="preserve">Assembly fixes the convergence geometry of the whole facility: every layout alternative must bring the coating area’s unload end and the packaging line to either side of these two benches. Operating at 94.7 % utilisation, assembly is as bottleneck-critical as sharpening but far cheaper to expand (a third bench costs only 6 m² and one operator) — worth noting when the alternatives allocate expansion space.</w:t>
      </w:r>
    </w:p>
    <w:p>
      <w:pPr>
        <w:pStyle w:val="BodyText"/>
      </w:pPr>
      <w:r>
        <w:rPr>
          <w:i/>
          <w:iCs/>
        </w:rPr>
        <w:t xml:space="preserve">Detailed layout drawing and costed specification: Appendix C, Figure C.15 / Table C.15.</w:t>
      </w:r>
    </w:p>
    <w:bookmarkEnd w:id="45"/>
    <w:bookmarkStart w:id="46" w:name="packaging-and-final-visual-check"/>
    <w:p>
      <w:pPr>
        <w:pStyle w:val="Heading3"/>
      </w:pPr>
      <w:r>
        <w:t xml:space="preserve">6.3.17 Packaging and Final Visual Check</w:t>
      </w:r>
    </w:p>
    <w:p>
      <w:pPr>
        <w:pStyle w:val="FirstParagraph"/>
      </w:pPr>
      <w:r>
        <w:rPr>
          <w:b/>
          <w:bCs/>
        </w:rPr>
        <w:t xml:space="preserve">Process description.</w:t>
      </w:r>
      <w:r>
        <w:t xml:space="preserve"> </w:t>
      </w:r>
      <w:r>
        <w:t xml:space="preserve">Each assembled shovel receives a final visual inspection and is packed by hand into its bought-out bag, then boxed (10 per box) and palletised (40 boxes per pallet). Packaging deliberately doubles as the quality gate — the brief specifies manual packing as the final visual check. The workbook assumes 30 s per shovel because the brief leaves the cycle workstation-dependent [VERIFY once the bench design is fixed]: 1 819 shovels/day, 182 boxes/day, 5 pallets/day, on two benches at 94.7 % utilisation.</w:t>
      </w:r>
    </w:p>
    <w:p>
      <w:pPr>
        <w:pStyle w:val="BodyText"/>
      </w:pPr>
      <w:r>
        <w:rPr>
          <w:b/>
          <w:bCs/>
        </w:rPr>
        <w:t xml:space="preserve">Machine selection and justification.</w:t>
      </w:r>
      <w:r>
        <w:t xml:space="preserve"> </w:t>
      </w:r>
      <w:r>
        <w:t xml:space="preserve">Manual packing benches are specified per the brief. A bench-top carton sealer (tape machine) is an optional aid for the 182 boxes/day; it does not change station count and is carried as an optional consumable-class purchase, not a machine selection.</w:t>
      </w:r>
    </w:p>
    <w:p>
      <w:pPr>
        <w:pStyle w:val="BodyText"/>
      </w:pPr>
      <w:r>
        <w:rPr>
          <w:b/>
          <w:bCs/>
        </w:rPr>
        <w:t xml:space="preserve">Workstation specifications (Table 6.24).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Basis / Source</w:t>
            </w:r>
          </w:p>
        </w:tc>
      </w:tr>
      <w:tr>
        <w:tc>
          <w:tcPr/>
          <w:p>
            <w:pPr>
              <w:pStyle w:val="Compact"/>
            </w:pPr>
            <w:r>
              <w:t xml:space="preserve">Equipment type</w:t>
            </w:r>
          </w:p>
        </w:tc>
        <w:tc>
          <w:tcPr/>
          <w:p>
            <w:pPr>
              <w:pStyle w:val="Compact"/>
            </w:pPr>
            <w:r>
              <w:t xml:space="preserve">Manual packing bench (+ optional bench carton sealer)</w:t>
            </w:r>
          </w:p>
        </w:tc>
        <w:tc>
          <w:tcPr/>
          <w:p>
            <w:pPr>
              <w:pStyle w:val="Compact"/>
            </w:pPr>
            <w:r>
              <w:t xml:space="preserve">Brief (manual + visual check)</w:t>
            </w:r>
          </w:p>
        </w:tc>
      </w:tr>
      <w:tr>
        <w:tc>
          <w:tcPr/>
          <w:p>
            <w:pPr>
              <w:pStyle w:val="Compact"/>
            </w:pPr>
            <w:r>
              <w:t xml:space="preserve">Cycle time</w:t>
            </w:r>
          </w:p>
        </w:tc>
        <w:tc>
          <w:tcPr/>
          <w:p>
            <w:pPr>
              <w:pStyle w:val="Compact"/>
            </w:pPr>
            <w:r>
              <w:t xml:space="preserve">30 s/shovel</w:t>
            </w:r>
          </w:p>
        </w:tc>
        <w:tc>
          <w:tcPr/>
          <w:p>
            <w:pPr>
              <w:pStyle w:val="Compact"/>
            </w:pPr>
            <w:r>
              <w:t xml:space="preserve">Workbook assumption [VERIFY] — brief: workstation-dependent</w:t>
            </w:r>
          </w:p>
        </w:tc>
      </w:tr>
      <w:tr>
        <w:tc>
          <w:tcPr/>
          <w:p>
            <w:pPr>
              <w:pStyle w:val="Compact"/>
            </w:pPr>
            <w:r>
              <w:t xml:space="preserve">Daily throughput required</w:t>
            </w:r>
          </w:p>
        </w:tc>
        <w:tc>
          <w:tcPr/>
          <w:p>
            <w:pPr>
              <w:pStyle w:val="Compact"/>
            </w:pPr>
            <w:r>
              <w:t xml:space="preserve">1 819 shovels/day</w:t>
            </w:r>
          </w:p>
        </w:tc>
        <w:tc>
          <w:tcPr/>
          <w:p>
            <w:pPr>
              <w:pStyle w:val="Compact"/>
            </w:pPr>
            <w:r>
              <w:t xml:space="preserve">Table 6.2</w:t>
            </w:r>
          </w:p>
        </w:tc>
      </w:tr>
      <w:tr>
        <w:tc>
          <w:tcPr/>
          <w:p>
            <w:pPr>
              <w:pStyle w:val="Compact"/>
            </w:pPr>
            <w:r>
              <w:t xml:space="preserve">Unit loads produced</w:t>
            </w:r>
          </w:p>
        </w:tc>
        <w:tc>
          <w:tcPr/>
          <w:p>
            <w:pPr>
              <w:pStyle w:val="Compact"/>
            </w:pPr>
            <w:r>
              <w:t xml:space="preserve">182 boxes/day; 5 pallets/day</w:t>
            </w:r>
          </w:p>
        </w:tc>
        <w:tc>
          <w:tcPr/>
          <w:p>
            <w:pPr>
              <w:pStyle w:val="Compact"/>
            </w:pPr>
            <w:r>
              <w:t xml:space="preserve">Table 6.3</w:t>
            </w:r>
          </w:p>
        </w:tc>
      </w:tr>
      <w:tr>
        <w:tc>
          <w:tcPr/>
          <w:p>
            <w:pPr>
              <w:pStyle w:val="Compact"/>
            </w:pPr>
            <w:r>
              <w:t xml:space="preserve">Stations required</w:t>
            </w:r>
          </w:p>
        </w:tc>
        <w:tc>
          <w:tcPr/>
          <w:p>
            <w:pPr>
              <w:pStyle w:val="Compact"/>
            </w:pPr>
            <w:r>
              <w:t xml:space="preserve">2 (utilisation 94.7 %)</w:t>
            </w:r>
          </w:p>
        </w:tc>
        <w:tc>
          <w:tcPr/>
          <w:p>
            <w:pPr>
              <w:pStyle w:val="Compact"/>
            </w:pPr>
            <w:r>
              <w:t xml:space="preserve">§6.4</w:t>
            </w:r>
          </w:p>
        </w:tc>
      </w:tr>
      <w:tr>
        <w:tc>
          <w:tcPr/>
          <w:p>
            <w:pPr>
              <w:pStyle w:val="Compact"/>
            </w:pPr>
            <w:r>
              <w:t xml:space="preserve">Operators</w:t>
            </w:r>
          </w:p>
        </w:tc>
        <w:tc>
          <w:tcPr/>
          <w:p>
            <w:pPr>
              <w:pStyle w:val="Compact"/>
            </w:pPr>
            <w:r>
              <w:t xml:space="preserve">2</w:t>
            </w:r>
          </w:p>
        </w:tc>
        <w:tc>
          <w:tcPr/>
          <w:p>
            <w:pPr>
              <w:pStyle w:val="Compact"/>
            </w:pPr>
            <w:r>
              <w:t xml:space="preserve">Workbook (1:1)</w:t>
            </w:r>
          </w:p>
        </w:tc>
      </w:tr>
      <w:tr>
        <w:tc>
          <w:tcPr/>
          <w:p>
            <w:pPr>
              <w:pStyle w:val="Compact"/>
            </w:pPr>
            <w:r>
              <w:t xml:space="preserve">Consumables at station</w:t>
            </w:r>
          </w:p>
        </w:tc>
        <w:tc>
          <w:tcPr/>
          <w:p>
            <w:pPr>
              <w:pStyle w:val="Compact"/>
            </w:pPr>
            <w:r>
              <w:t xml:space="preserve">Bags (1 819/day), boxes (182/day), tape</w:t>
            </w:r>
          </w:p>
        </w:tc>
        <w:tc>
          <w:tcPr/>
          <w:p>
            <w:pPr>
              <w:pStyle w:val="Compact"/>
            </w:pPr>
            <w:r>
              <w:t xml:space="preserve">Tables 6.3, 6.7</w:t>
            </w:r>
          </w:p>
        </w:tc>
      </w:tr>
    </w:tbl>
    <w:p>
      <w:pPr>
        <w:pStyle w:val="BodyText"/>
      </w:pPr>
      <w:r>
        <w:rPr>
          <w:b/>
          <w:bCs/>
        </w:rPr>
        <w:t xml:space="preserve">Workstation layout.</w:t>
      </w:r>
      <w:r>
        <w:t xml:space="preserve"> </w:t>
      </w:r>
      <w:r>
        <w:t xml:space="preserve">Each bench is defined as: inspection-and-bagging position with task lighting and a reject quarantine bin; bag and box consumable shelving behind the operator (replenished from the bought-out stock of Table 6.7); a box-build surface; and a shared pallet-build position beside the benches. The pallet-build position extends this cell beyond the standard 6 m² definition — two benches plus two pallet positions and consumable shelving realistically need 16–20 m², a correction flagged for the space model in §6.8 [VERIFY].</w:t>
      </w:r>
    </w:p>
    <w:p>
      <w:pPr>
        <w:pStyle w:val="BodyText"/>
      </w:pPr>
      <w:r>
        <w:rPr>
          <w:b/>
          <w:bCs/>
        </w:rPr>
        <w:t xml:space="preserve">Figure 6.7b: Assembly and packaging cell — two assembly benches with three-part inbound staging, two packing benches with consumable shelving, reject quarantine bin, pallet-build positions and pallet route to finished goods. (Author’s own.)</w:t>
      </w:r>
    </w:p>
    <w:p>
      <w:pPr>
        <w:pStyle w:val="BodyText"/>
      </w:pPr>
      <w:r>
        <w:rPr>
          <w:i/>
          <w:iCs/>
        </w:rPr>
        <w:t xml:space="preserve">(Detailed layout drawing: Appendix C, Figures C.15–C.16.)</w:t>
      </w:r>
    </w:p>
    <w:p>
      <w:pPr>
        <w:pStyle w:val="BodyText"/>
      </w:pPr>
      <w:r>
        <w:rPr>
          <w:b/>
          <w:bCs/>
        </w:rPr>
        <w:t xml:space="preserve">Material handling.</w:t>
      </w:r>
      <w:r>
        <w:t xml:space="preserve"> </w:t>
      </w:r>
      <w:r>
        <w:t xml:space="preserve">Shovels arrive by bin from assembly; full boxes are stacked to pallets at the build position; completed pallets (about five per day) move by pallet jack to finished-goods racking. The five-pallets-per-day rate means a single pallet jack and one material handler serve this interface comfortably.</w:t>
      </w:r>
    </w:p>
    <w:p>
      <w:pPr>
        <w:pStyle w:val="BodyText"/>
      </w:pPr>
      <w:r>
        <w:rPr>
          <w:b/>
          <w:bCs/>
        </w:rPr>
        <w:t xml:space="preserve">Waste and facilities factors.</w:t>
      </w:r>
      <w:r>
        <w:t xml:space="preserve"> </w:t>
      </w:r>
      <w:r>
        <w:t xml:space="preserve">Waste is packaging offcuts and rejected units: rejects route to a quarantine bin for disposition (rework or scrap), keeping the final-check function auditable. Defining facilities requirement is inspection-grade lighting; the zone must stay clean and dust-free, reinforcing its separation from the finishing zone.</w:t>
      </w:r>
    </w:p>
    <w:p>
      <w:pPr>
        <w:pStyle w:val="BodyText"/>
      </w:pPr>
      <w:r>
        <w:rPr>
          <w:b/>
          <w:bCs/>
        </w:rPr>
        <w:t xml:space="preserve">Layout implications.</w:t>
      </w:r>
      <w:r>
        <w:t xml:space="preserve"> </w:t>
      </w:r>
      <w:r>
        <w:t xml:space="preserve">Packaging closes the production flow and anchors the clean end of the building: it must sit between final assembly and finished-goods storage, with a direct pallet route to the racking and onward to dispatch. Because the visual check happens here, quality records and supervision naturally co-locate at this cell, placing the QA presence (from the equipment-dependent and QA operator pool) at the same end of the building. The packaging consumables (18 190 bags per two weeks) also justify shelf storage within the cell rather than in the main raw-material store — small volume, high access frequency.</w:t>
      </w:r>
    </w:p>
    <w:p>
      <w:pPr>
        <w:pStyle w:val="BodyText"/>
      </w:pPr>
      <w:r>
        <w:rPr>
          <w:i/>
          <w:iCs/>
        </w:rPr>
        <w:t xml:space="preserve">Detailed layout drawing and costed specification: Appendix C, Figure C.16 / Table C.16.</w:t>
      </w:r>
    </w:p>
    <w:bookmarkEnd w:id="46"/>
    <w:bookmarkEnd w:id="47"/>
    <w:bookmarkStart w:id="53" w:name="manufacturing-time-and-capacity"/>
    <w:p>
      <w:pPr>
        <w:pStyle w:val="Heading2"/>
      </w:pPr>
      <w:r>
        <w:t xml:space="preserve">6.4 Manufacturing Time and Capacity</w:t>
      </w:r>
    </w:p>
    <w:p>
      <w:pPr>
        <w:pStyle w:val="FirstParagraph"/>
      </w:pPr>
      <w:r>
        <w:t xml:space="preserve">This section consolidates the per-process requirements of §6.3 into the machine and operator counts that size the production floor. Every brief-specified process is tested against the 480 effective minutes per day established in §6.1: the daily gross quantity multiplied by the cycle time gives the machine-minutes each process demands, and Equation 6.11 converts that demand into whole machines. Equipment-dependent processes (heat treatment, sandblasting, powder coating) are sized separately per §6.3.12–6.3.15 and summarised at the end of this section.</w:t>
      </w:r>
    </w:p>
    <w:p>
      <w:pPr>
        <w:pStyle w:val="BodyText"/>
      </w:pPr>
      <w:r>
        <w:rPr>
          <w:b/>
          <w:bCs/>
        </w:rPr>
        <w:t xml:space="preserve">Equation 6.11: Machine requirement</w:t>
      </w:r>
    </w:p>
    <w:p>
      <w:pPr>
        <w:pStyle w:val="BodyText"/>
      </w:pPr>
      <m:oMathPara>
        <m:oMathParaPr>
          <m:jc m:val="center"/>
        </m:oMathParaPr>
        <m:oMath>
          <m:r>
            <m:rPr>
              <m:nor/>
              <m:sty m:val="p"/>
            </m:rPr>
            <m:t>Machines</m:t>
          </m:r>
          <m:r>
            <m:rPr>
              <m:sty m:val="p"/>
            </m:rPr>
            <m:t>=</m:t>
          </m:r>
          <m:d>
            <m:dPr>
              <m:begChr m:val="⌈"/>
              <m:sepChr m:val=""/>
              <m:endChr m:val="⌉"/>
              <m:grow/>
            </m:dPr>
            <m:e>
              <m:f>
                <m:fPr>
                  <m:type m:val="bar"/>
                </m:fPr>
                <m:num>
                  <m:r>
                    <m:rPr>
                      <m:nor/>
                      <m:sty m:val="p"/>
                    </m:rPr>
                    <m:t>Daily gross units</m:t>
                  </m:r>
                  <m:r>
                    <m:rPr>
                      <m:sty m:val="p"/>
                    </m:rPr>
                    <m:t>×</m:t>
                  </m:r>
                  <m:r>
                    <m:rPr>
                      <m:nor/>
                      <m:sty m:val="p"/>
                    </m:rPr>
                    <m:t>Cycle time</m:t>
                  </m:r>
                </m:num>
                <m:den>
                  <m:r>
                    <m:rPr>
                      <m:nor/>
                      <m:sty m:val="p"/>
                    </m:rPr>
                    <m:t>Available time per machine</m:t>
                  </m:r>
                </m:den>
              </m:f>
            </m:e>
          </m:d>
          <m:r>
            <m:t> </m:t>
          </m:r>
          <m:r>
            <m:rPr>
              <m:nor/>
              <m:sty m:val="p"/>
            </m:rPr>
            <m:t>e.g. sharpening: </m:t>
          </m:r>
          <m:d>
            <m:dPr>
              <m:begChr m:val="⌈"/>
              <m:sepChr m:val=""/>
              <m:endChr m:val="⌉"/>
              <m:grow/>
            </m:dPr>
            <m:e>
              <m:f>
                <m:fPr>
                  <m:type m:val="bar"/>
                </m:fPr>
                <m:num>
                  <m:r>
                    <m:t>1</m:t>
                  </m:r>
                  <m:r>
                    <m:t> </m:t>
                  </m:r>
                  <m:r>
                    <m:t>819</m:t>
                  </m:r>
                  <m:r>
                    <m:rPr>
                      <m:sty m:val="p"/>
                    </m:rPr>
                    <m:t>×</m:t>
                  </m:r>
                  <m:r>
                    <m:t>120</m:t>
                  </m:r>
                  <m:r>
                    <m:t> </m:t>
                  </m:r>
                  <m:r>
                    <m:rPr>
                      <m:nor/>
                      <m:sty m:val="p"/>
                    </m:rPr>
                    <m:t>s</m:t>
                  </m:r>
                </m:num>
                <m:den>
                  <m:r>
                    <m:t>480</m:t>
                  </m:r>
                  <m:r>
                    <m:rPr>
                      <m:sty m:val="p"/>
                    </m:rPr>
                    <m:t>×</m:t>
                  </m:r>
                  <m:r>
                    <m:t>60</m:t>
                  </m:r>
                  <m:r>
                    <m:t> </m:t>
                  </m:r>
                  <m:r>
                    <m:rPr>
                      <m:nor/>
                      <m:sty m:val="p"/>
                    </m:rPr>
                    <m:t>s</m:t>
                  </m:r>
                </m:den>
              </m:f>
            </m:e>
          </m:d>
          <m:r>
            <m:rPr>
              <m:sty m:val="p"/>
            </m:rPr>
            <m:t>=</m:t>
          </m:r>
          <m:r>
            <m:rPr>
              <m:sty m:val="p"/>
            </m:rPr>
            <m:t>⌈</m:t>
          </m:r>
          <m:r>
            <m:t>7.58</m:t>
          </m:r>
          <m:r>
            <m:rPr>
              <m:sty m:val="p"/>
            </m:rPr>
            <m:t>⌉</m:t>
          </m:r>
          <m:r>
            <m:rPr>
              <m:sty m:val="p"/>
            </m:rPr>
            <m:t>=</m:t>
          </m:r>
          <m:r>
            <m:t>8</m:t>
          </m:r>
          <m:r>
            <m:t> </m:t>
          </m:r>
          <m:r>
            <m:rPr>
              <m:nor/>
              <m:sty m:val="p"/>
            </m:rPr>
            <m:t>machines</m:t>
          </m:r>
        </m:oMath>
      </m:oMathPara>
    </w:p>
    <w:p>
      <w:pPr>
        <w:pStyle w:val="FirstParagraph"/>
      </w:pPr>
      <w:r>
        <w:rPr>
          <w:b/>
          <w:bCs/>
        </w:rPr>
        <w:t xml:space="preserve">Equation 6.12: Machine utilisation</w:t>
      </w:r>
    </w:p>
    <w:p>
      <w:pPr>
        <w:pStyle w:val="BodyText"/>
      </w:pPr>
      <m:oMathPara>
        <m:oMathParaPr>
          <m:jc m:val="center"/>
        </m:oMathParaPr>
        <m:oMath>
          <m:r>
            <m:rPr>
              <m:nor/>
              <m:sty m:val="p"/>
            </m:rPr>
            <m:t>Utilisation</m:t>
          </m:r>
          <m:r>
            <m:rPr>
              <m:sty m:val="p"/>
            </m:rPr>
            <m:t>=</m:t>
          </m:r>
          <m:f>
            <m:fPr>
              <m:type m:val="bar"/>
            </m:fPr>
            <m:num>
              <m:r>
                <m:rPr>
                  <m:nor/>
                  <m:sty m:val="p"/>
                </m:rPr>
                <m:t>Required time (min/day)</m:t>
              </m:r>
            </m:num>
            <m:den>
              <m:r>
                <m:rPr>
                  <m:nor/>
                  <m:sty m:val="p"/>
                </m:rPr>
                <m:t>Machines</m:t>
              </m:r>
              <m:r>
                <m:rPr>
                  <m:sty m:val="p"/>
                </m:rPr>
                <m:t>×</m:t>
              </m:r>
              <m:r>
                <m:t>480</m:t>
              </m:r>
              <m:r>
                <m:t> </m:t>
              </m:r>
              <m:r>
                <m:rPr>
                  <m:nor/>
                  <m:sty m:val="p"/>
                </m:rPr>
                <m:t>min</m:t>
              </m:r>
            </m:den>
          </m:f>
          <m:r>
            <m:t> </m:t>
          </m:r>
          <m:r>
            <m:rPr>
              <m:nor/>
              <m:sty m:val="p"/>
            </m:rPr>
            <m:t>e.g. sharpening: </m:t>
          </m:r>
          <m:f>
            <m:fPr>
              <m:type m:val="bar"/>
            </m:fPr>
            <m:num>
              <m:r>
                <m:t>3</m:t>
              </m:r>
              <m:r>
                <m:t> </m:t>
              </m:r>
              <m:r>
                <m:t>638</m:t>
              </m:r>
            </m:num>
            <m:den>
              <m:r>
                <m:t>8</m:t>
              </m:r>
              <m:r>
                <m:rPr>
                  <m:sty m:val="p"/>
                </m:rPr>
                <m:t>×</m:t>
              </m:r>
              <m:r>
                <m:t>480</m:t>
              </m:r>
            </m:den>
          </m:f>
          <m:r>
            <m:rPr>
              <m:sty m:val="p"/>
            </m:rPr>
            <m:t>=</m:t>
          </m:r>
          <m:r>
            <m:t>94.7</m:t>
          </m:r>
          <m:r>
            <m:t> </m:t>
          </m:r>
          <m:r>
            <m:rPr>
              <m:sty m:val="p"/>
            </m:rPr>
            <m:t>%</m:t>
          </m:r>
        </m:oMath>
      </m:oMathPara>
    </w:p>
    <w:p>
      <w:pPr>
        <w:pStyle w:val="FirstParagraph"/>
      </w:pPr>
      <w:r>
        <w:t xml:space="preserve">Operators follow the workbook’s baseline of one operator per machine. Table 6.25 is the core capacity exhibit; gross daily quantities are carried unrounded in the workbook and rounded here for display.</w:t>
      </w:r>
    </w:p>
    <w:p>
      <w:pPr>
        <w:pStyle w:val="BodyText"/>
      </w:pPr>
      <w:r>
        <w:rPr>
          <w:b/>
          <w:bCs/>
        </w:rPr>
        <w:t xml:space="preserve">Table 6.25: Per-process capacity analysis (480 min/day available per machine)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Process</w:t>
            </w:r>
          </w:p>
        </w:tc>
        <w:tc>
          <w:tcPr/>
          <w:p>
            <w:pPr>
              <w:pStyle w:val="Compact"/>
            </w:pPr>
            <w:r>
              <w:t xml:space="preserve">Gross units/day</w:t>
            </w:r>
          </w:p>
        </w:tc>
        <w:tc>
          <w:tcPr/>
          <w:p>
            <w:pPr>
              <w:pStyle w:val="Compact"/>
            </w:pPr>
            <w:r>
              <w:t xml:space="preserve">Cycle (s)</w:t>
            </w:r>
          </w:p>
        </w:tc>
        <w:tc>
          <w:tcPr/>
          <w:p>
            <w:pPr>
              <w:pStyle w:val="Compact"/>
            </w:pPr>
            <w:r>
              <w:t xml:space="preserve">Required time (min/day)</w:t>
            </w:r>
          </w:p>
        </w:tc>
        <w:tc>
          <w:tcPr/>
          <w:p>
            <w:pPr>
              <w:pStyle w:val="Compact"/>
            </w:pPr>
            <w:r>
              <w:t xml:space="preserve">Machines</w:t>
            </w:r>
          </w:p>
        </w:tc>
        <w:tc>
          <w:tcPr/>
          <w:p>
            <w:pPr>
              <w:pStyle w:val="Compact"/>
            </w:pPr>
            <w:r>
              <w:t xml:space="preserve">Utilisation</w:t>
            </w:r>
          </w:p>
        </w:tc>
        <w:tc>
          <w:tcPr/>
          <w:p>
            <w:pPr>
              <w:pStyle w:val="Compact"/>
            </w:pPr>
            <w:r>
              <w:t xml:space="preserve">Operators</w:t>
            </w:r>
          </w:p>
        </w:tc>
      </w:tr>
      <w:tr>
        <w:tc>
          <w:tcPr/>
          <w:p>
            <w:pPr>
              <w:pStyle w:val="Compact"/>
            </w:pPr>
            <w:r>
              <w:t xml:space="preserve">Tube cutting</w:t>
            </w:r>
          </w:p>
        </w:tc>
        <w:tc>
          <w:tcPr/>
          <w:p>
            <w:pPr>
              <w:pStyle w:val="Compact"/>
            </w:pPr>
            <w:r>
              <w:t xml:space="preserve">3 830 sections</w:t>
            </w:r>
          </w:p>
        </w:tc>
        <w:tc>
          <w:tcPr/>
          <w:p>
            <w:pPr>
              <w:pStyle w:val="Compact"/>
            </w:pPr>
            <w:r>
              <w:t xml:space="preserve">15</w:t>
            </w:r>
          </w:p>
        </w:tc>
        <w:tc>
          <w:tcPr/>
          <w:p>
            <w:pPr>
              <w:pStyle w:val="Compact"/>
            </w:pPr>
            <w:r>
              <w:t xml:space="preserve">957</w:t>
            </w:r>
          </w:p>
        </w:tc>
        <w:tc>
          <w:tcPr/>
          <w:p>
            <w:pPr>
              <w:pStyle w:val="Compact"/>
            </w:pPr>
            <w:r>
              <w:t xml:space="preserve">2</w:t>
            </w:r>
          </w:p>
        </w:tc>
        <w:tc>
          <w:tcPr/>
          <w:p>
            <w:pPr>
              <w:pStyle w:val="Compact"/>
            </w:pPr>
            <w:r>
              <w:t xml:space="preserve">99.7 %</w:t>
            </w:r>
          </w:p>
        </w:tc>
        <w:tc>
          <w:tcPr/>
          <w:p>
            <w:pPr>
              <w:pStyle w:val="Compact"/>
            </w:pPr>
            <w:r>
              <w:t xml:space="preserve">2</w:t>
            </w:r>
          </w:p>
        </w:tc>
      </w:tr>
      <w:tr>
        <w:tc>
          <w:tcPr/>
          <w:p>
            <w:pPr>
              <w:pStyle w:val="Compact"/>
            </w:pPr>
            <w:r>
              <w:t xml:space="preserve">Internal threading</w:t>
            </w:r>
          </w:p>
        </w:tc>
        <w:tc>
          <w:tcPr/>
          <w:p>
            <w:pPr>
              <w:pStyle w:val="Compact"/>
            </w:pPr>
            <w:r>
              <w:t xml:space="preserve">1 915 pipes</w:t>
            </w:r>
          </w:p>
        </w:tc>
        <w:tc>
          <w:tcPr/>
          <w:p>
            <w:pPr>
              <w:pStyle w:val="Compact"/>
            </w:pPr>
            <w:r>
              <w:t xml:space="preserve">20</w:t>
            </w:r>
          </w:p>
        </w:tc>
        <w:tc>
          <w:tcPr/>
          <w:p>
            <w:pPr>
              <w:pStyle w:val="Compact"/>
            </w:pPr>
            <w:r>
              <w:t xml:space="preserve">638</w:t>
            </w:r>
          </w:p>
        </w:tc>
        <w:tc>
          <w:tcPr/>
          <w:p>
            <w:pPr>
              <w:pStyle w:val="Compact"/>
            </w:pPr>
            <w:r>
              <w:t xml:space="preserve">2</w:t>
            </w:r>
          </w:p>
        </w:tc>
        <w:tc>
          <w:tcPr/>
          <w:p>
            <w:pPr>
              <w:pStyle w:val="Compact"/>
            </w:pPr>
            <w:r>
              <w:t xml:space="preserve">66.5 %</w:t>
            </w:r>
          </w:p>
        </w:tc>
        <w:tc>
          <w:tcPr/>
          <w:p>
            <w:pPr>
              <w:pStyle w:val="Compact"/>
            </w:pPr>
            <w:r>
              <w:t xml:space="preserve">2</w:t>
            </w:r>
          </w:p>
        </w:tc>
      </w:tr>
      <w:tr>
        <w:tc>
          <w:tcPr/>
          <w:p>
            <w:pPr>
              <w:pStyle w:val="Compact"/>
            </w:pPr>
            <w:r>
              <w:t xml:space="preserve">End narrowing</w:t>
            </w:r>
          </w:p>
        </w:tc>
        <w:tc>
          <w:tcPr/>
          <w:p>
            <w:pPr>
              <w:pStyle w:val="Compact"/>
            </w:pPr>
            <w:r>
              <w:t xml:space="preserve">1 915 pipes</w:t>
            </w:r>
          </w:p>
        </w:tc>
        <w:tc>
          <w:tcPr/>
          <w:p>
            <w:pPr>
              <w:pStyle w:val="Compact"/>
            </w:pPr>
            <w:r>
              <w:t xml:space="preserve">5</w:t>
            </w:r>
          </w:p>
        </w:tc>
        <w:tc>
          <w:tcPr/>
          <w:p>
            <w:pPr>
              <w:pStyle w:val="Compact"/>
            </w:pPr>
            <w:r>
              <w:t xml:space="preserve">160</w:t>
            </w:r>
          </w:p>
        </w:tc>
        <w:tc>
          <w:tcPr/>
          <w:p>
            <w:pPr>
              <w:pStyle w:val="Compact"/>
            </w:pPr>
            <w:r>
              <w:t xml:space="preserve">1</w:t>
            </w:r>
          </w:p>
        </w:tc>
        <w:tc>
          <w:tcPr/>
          <w:p>
            <w:pPr>
              <w:pStyle w:val="Compact"/>
            </w:pPr>
            <w:r>
              <w:t xml:space="preserve">33.2 %</w:t>
            </w:r>
          </w:p>
        </w:tc>
        <w:tc>
          <w:tcPr/>
          <w:p>
            <w:pPr>
              <w:pStyle w:val="Compact"/>
            </w:pPr>
            <w:r>
              <w:t xml:space="preserve">1</w:t>
            </w:r>
          </w:p>
        </w:tc>
      </w:tr>
      <w:tr>
        <w:tc>
          <w:tcPr/>
          <w:p>
            <w:pPr>
              <w:pStyle w:val="Compact"/>
            </w:pPr>
            <w:r>
              <w:t xml:space="preserve">Knurling + external threading</w:t>
            </w:r>
          </w:p>
        </w:tc>
        <w:tc>
          <w:tcPr/>
          <w:p>
            <w:pPr>
              <w:pStyle w:val="Compact"/>
            </w:pPr>
            <w:r>
              <w:t xml:space="preserve">1 915 pipes</w:t>
            </w:r>
          </w:p>
        </w:tc>
        <w:tc>
          <w:tcPr/>
          <w:p>
            <w:pPr>
              <w:pStyle w:val="Compact"/>
            </w:pPr>
            <w:r>
              <w:t xml:space="preserve">60</w:t>
            </w:r>
          </w:p>
        </w:tc>
        <w:tc>
          <w:tcPr/>
          <w:p>
            <w:pPr>
              <w:pStyle w:val="Compact"/>
            </w:pPr>
            <w:r>
              <w:t xml:space="preserve">1 915</w:t>
            </w:r>
          </w:p>
        </w:tc>
        <w:tc>
          <w:tcPr/>
          <w:p>
            <w:pPr>
              <w:pStyle w:val="Compact"/>
            </w:pPr>
            <w:r>
              <w:t xml:space="preserve">4</w:t>
            </w:r>
          </w:p>
        </w:tc>
        <w:tc>
          <w:tcPr/>
          <w:p>
            <w:pPr>
              <w:pStyle w:val="Compact"/>
            </w:pPr>
            <w:r>
              <w:t xml:space="preserve">99.7 %</w:t>
            </w:r>
          </w:p>
        </w:tc>
        <w:tc>
          <w:tcPr/>
          <w:p>
            <w:pPr>
              <w:pStyle w:val="Compact"/>
            </w:pPr>
            <w:r>
              <w:t xml:space="preserve">4</w:t>
            </w:r>
          </w:p>
        </w:tc>
      </w:tr>
      <w:tr>
        <w:tc>
          <w:tcPr/>
          <w:p>
            <w:pPr>
              <w:pStyle w:val="Compact"/>
            </w:pPr>
            <w:r>
              <w:t xml:space="preserve">Shovel head stamping</w:t>
            </w:r>
          </w:p>
        </w:tc>
        <w:tc>
          <w:tcPr/>
          <w:p>
            <w:pPr>
              <w:pStyle w:val="Compact"/>
            </w:pPr>
            <w:r>
              <w:t xml:space="preserve">1 915 parts</w:t>
            </w:r>
          </w:p>
        </w:tc>
        <w:tc>
          <w:tcPr/>
          <w:p>
            <w:pPr>
              <w:pStyle w:val="Compact"/>
            </w:pPr>
            <w:r>
              <w:t xml:space="preserve">2</w:t>
            </w:r>
          </w:p>
        </w:tc>
        <w:tc>
          <w:tcPr/>
          <w:p>
            <w:pPr>
              <w:pStyle w:val="Compact"/>
            </w:pPr>
            <w:r>
              <w:t xml:space="preserve">64</w:t>
            </w:r>
          </w:p>
        </w:tc>
        <w:tc>
          <w:tcPr/>
          <w:p>
            <w:pPr>
              <w:pStyle w:val="Compact"/>
            </w:pPr>
            <w:r>
              <w:t xml:space="preserve">1</w:t>
            </w:r>
          </w:p>
        </w:tc>
        <w:tc>
          <w:tcPr/>
          <w:p>
            <w:pPr>
              <w:pStyle w:val="Compact"/>
            </w:pPr>
            <w:r>
              <w:t xml:space="preserve">13.3 %</w:t>
            </w:r>
          </w:p>
        </w:tc>
        <w:tc>
          <w:tcPr/>
          <w:p>
            <w:pPr>
              <w:pStyle w:val="Compact"/>
            </w:pPr>
            <w:r>
              <w:t xml:space="preserve">1</w:t>
            </w:r>
          </w:p>
        </w:tc>
      </w:tr>
      <w:tr>
        <w:tc>
          <w:tcPr/>
          <w:p>
            <w:pPr>
              <w:pStyle w:val="Compact"/>
            </w:pPr>
            <w:r>
              <w:t xml:space="preserve">Hinge connector stamping</w:t>
            </w:r>
          </w:p>
        </w:tc>
        <w:tc>
          <w:tcPr/>
          <w:p>
            <w:pPr>
              <w:pStyle w:val="Compact"/>
            </w:pPr>
            <w:r>
              <w:t xml:space="preserve">1 915 parts</w:t>
            </w:r>
          </w:p>
        </w:tc>
        <w:tc>
          <w:tcPr/>
          <w:p>
            <w:pPr>
              <w:pStyle w:val="Compact"/>
            </w:pPr>
            <w:r>
              <w:t xml:space="preserve">2</w:t>
            </w:r>
          </w:p>
        </w:tc>
        <w:tc>
          <w:tcPr/>
          <w:p>
            <w:pPr>
              <w:pStyle w:val="Compact"/>
            </w:pPr>
            <w:r>
              <w:t xml:space="preserve">64</w:t>
            </w:r>
          </w:p>
        </w:tc>
        <w:tc>
          <w:tcPr/>
          <w:p>
            <w:pPr>
              <w:pStyle w:val="Compact"/>
            </w:pPr>
            <w:r>
              <w:t xml:space="preserve">1</w:t>
            </w:r>
          </w:p>
        </w:tc>
        <w:tc>
          <w:tcPr/>
          <w:p>
            <w:pPr>
              <w:pStyle w:val="Compact"/>
            </w:pPr>
            <w:r>
              <w:t xml:space="preserve">13.3 %</w:t>
            </w:r>
          </w:p>
        </w:tc>
        <w:tc>
          <w:tcPr/>
          <w:p>
            <w:pPr>
              <w:pStyle w:val="Compact"/>
            </w:pPr>
            <w:r>
              <w:t xml:space="preserve">1</w:t>
            </w:r>
          </w:p>
        </w:tc>
      </w:tr>
      <w:tr>
        <w:tc>
          <w:tcPr/>
          <w:p>
            <w:pPr>
              <w:pStyle w:val="Compact"/>
            </w:pPr>
            <w:r>
              <w:t xml:space="preserve">Hinge connector bending</w:t>
            </w:r>
          </w:p>
        </w:tc>
        <w:tc>
          <w:tcPr/>
          <w:p>
            <w:pPr>
              <w:pStyle w:val="Compact"/>
            </w:pPr>
            <w:r>
              <w:t xml:space="preserve">1 819 parts</w:t>
            </w:r>
          </w:p>
        </w:tc>
        <w:tc>
          <w:tcPr/>
          <w:p>
            <w:pPr>
              <w:pStyle w:val="Compact"/>
            </w:pPr>
            <w:r>
              <w:t xml:space="preserve">5</w:t>
            </w:r>
          </w:p>
        </w:tc>
        <w:tc>
          <w:tcPr/>
          <w:p>
            <w:pPr>
              <w:pStyle w:val="Compact"/>
            </w:pPr>
            <w:r>
              <w:t xml:space="preserve">152</w:t>
            </w:r>
          </w:p>
        </w:tc>
        <w:tc>
          <w:tcPr/>
          <w:p>
            <w:pPr>
              <w:pStyle w:val="Compact"/>
            </w:pPr>
            <w:r>
              <w:t xml:space="preserve">1</w:t>
            </w:r>
          </w:p>
        </w:tc>
        <w:tc>
          <w:tcPr/>
          <w:p>
            <w:pPr>
              <w:pStyle w:val="Compact"/>
            </w:pPr>
            <w:r>
              <w:t xml:space="preserve">31.6 %</w:t>
            </w:r>
          </w:p>
        </w:tc>
        <w:tc>
          <w:tcPr/>
          <w:p>
            <w:pPr>
              <w:pStyle w:val="Compact"/>
            </w:pPr>
            <w:r>
              <w:t xml:space="preserve">1</w:t>
            </w:r>
          </w:p>
        </w:tc>
      </w:tr>
      <w:tr>
        <w:tc>
          <w:tcPr/>
          <w:p>
            <w:pPr>
              <w:pStyle w:val="Compact"/>
            </w:pPr>
            <w:r>
              <w:t xml:space="preserve">Head shaping/bending</w:t>
            </w:r>
          </w:p>
        </w:tc>
        <w:tc>
          <w:tcPr/>
          <w:p>
            <w:pPr>
              <w:pStyle w:val="Compact"/>
            </w:pPr>
            <w:r>
              <w:t xml:space="preserve">1 819 heads</w:t>
            </w:r>
          </w:p>
        </w:tc>
        <w:tc>
          <w:tcPr/>
          <w:p>
            <w:pPr>
              <w:pStyle w:val="Compact"/>
            </w:pPr>
            <w:r>
              <w:t xml:space="preserve">2</w:t>
            </w:r>
          </w:p>
        </w:tc>
        <w:tc>
          <w:tcPr/>
          <w:p>
            <w:pPr>
              <w:pStyle w:val="Compact"/>
            </w:pPr>
            <w:r>
              <w:t xml:space="preserve">61</w:t>
            </w:r>
          </w:p>
        </w:tc>
        <w:tc>
          <w:tcPr/>
          <w:p>
            <w:pPr>
              <w:pStyle w:val="Compact"/>
            </w:pPr>
            <w:r>
              <w:t xml:space="preserve">1</w:t>
            </w:r>
          </w:p>
        </w:tc>
        <w:tc>
          <w:tcPr/>
          <w:p>
            <w:pPr>
              <w:pStyle w:val="Compact"/>
            </w:pPr>
            <w:r>
              <w:t xml:space="preserve">12.6 %</w:t>
            </w:r>
          </w:p>
        </w:tc>
        <w:tc>
          <w:tcPr/>
          <w:p>
            <w:pPr>
              <w:pStyle w:val="Compact"/>
            </w:pPr>
            <w:r>
              <w:t xml:space="preserve">1</w:t>
            </w:r>
          </w:p>
        </w:tc>
      </w:tr>
      <w:tr>
        <w:tc>
          <w:tcPr/>
          <w:p>
            <w:pPr>
              <w:pStyle w:val="Compact"/>
            </w:pPr>
            <w:r>
              <w:t xml:space="preserve">Blade sharpening</w:t>
            </w:r>
          </w:p>
        </w:tc>
        <w:tc>
          <w:tcPr/>
          <w:p>
            <w:pPr>
              <w:pStyle w:val="Compact"/>
            </w:pPr>
            <w:r>
              <w:t xml:space="preserve">1 819 heads</w:t>
            </w:r>
          </w:p>
        </w:tc>
        <w:tc>
          <w:tcPr/>
          <w:p>
            <w:pPr>
              <w:pStyle w:val="Compact"/>
            </w:pPr>
            <w:r>
              <w:t xml:space="preserve">120</w:t>
            </w:r>
          </w:p>
        </w:tc>
        <w:tc>
          <w:tcPr/>
          <w:p>
            <w:pPr>
              <w:pStyle w:val="Compact"/>
            </w:pPr>
            <w:r>
              <w:t xml:space="preserve">3 638</w:t>
            </w:r>
          </w:p>
        </w:tc>
        <w:tc>
          <w:tcPr/>
          <w:p>
            <w:pPr>
              <w:pStyle w:val="Compact"/>
            </w:pPr>
            <w:r>
              <w:t xml:space="preserve">8</w:t>
            </w:r>
          </w:p>
        </w:tc>
        <w:tc>
          <w:tcPr/>
          <w:p>
            <w:pPr>
              <w:pStyle w:val="Compact"/>
            </w:pPr>
            <w:r>
              <w:t xml:space="preserve">94.7 %</w:t>
            </w:r>
          </w:p>
        </w:tc>
        <w:tc>
          <w:tcPr/>
          <w:p>
            <w:pPr>
              <w:pStyle w:val="Compact"/>
            </w:pPr>
            <w:r>
              <w:t xml:space="preserve">8</w:t>
            </w:r>
          </w:p>
        </w:tc>
      </w:tr>
      <w:tr>
        <w:tc>
          <w:tcPr/>
          <w:p>
            <w:pPr>
              <w:pStyle w:val="Compact"/>
            </w:pPr>
            <w:r>
              <w:t xml:space="preserve">Blade serrating</w:t>
            </w:r>
          </w:p>
        </w:tc>
        <w:tc>
          <w:tcPr/>
          <w:p>
            <w:pPr>
              <w:pStyle w:val="Compact"/>
            </w:pPr>
            <w:r>
              <w:t xml:space="preserve">1 819 heads</w:t>
            </w:r>
          </w:p>
        </w:tc>
        <w:tc>
          <w:tcPr/>
          <w:p>
            <w:pPr>
              <w:pStyle w:val="Compact"/>
            </w:pPr>
            <w:r>
              <w:t xml:space="preserve">60</w:t>
            </w:r>
          </w:p>
        </w:tc>
        <w:tc>
          <w:tcPr/>
          <w:p>
            <w:pPr>
              <w:pStyle w:val="Compact"/>
            </w:pPr>
            <w:r>
              <w:t xml:space="preserve">1 819</w:t>
            </w:r>
          </w:p>
        </w:tc>
        <w:tc>
          <w:tcPr/>
          <w:p>
            <w:pPr>
              <w:pStyle w:val="Compact"/>
            </w:pPr>
            <w:r>
              <w:t xml:space="preserve">4</w:t>
            </w:r>
          </w:p>
        </w:tc>
        <w:tc>
          <w:tcPr/>
          <w:p>
            <w:pPr>
              <w:pStyle w:val="Compact"/>
            </w:pPr>
            <w:r>
              <w:t xml:space="preserve">94.7 %</w:t>
            </w:r>
          </w:p>
        </w:tc>
        <w:tc>
          <w:tcPr/>
          <w:p>
            <w:pPr>
              <w:pStyle w:val="Compact"/>
            </w:pPr>
            <w:r>
              <w:t xml:space="preserve">4</w:t>
            </w:r>
          </w:p>
        </w:tc>
      </w:tr>
      <w:tr>
        <w:tc>
          <w:tcPr/>
          <w:p>
            <w:pPr>
              <w:pStyle w:val="Compact"/>
            </w:pPr>
            <w:r>
              <w:t xml:space="preserve">Riveting</w:t>
            </w:r>
          </w:p>
        </w:tc>
        <w:tc>
          <w:tcPr/>
          <w:p>
            <w:pPr>
              <w:pStyle w:val="Compact"/>
            </w:pPr>
            <w:r>
              <w:t xml:space="preserve">1 819 shovels</w:t>
            </w:r>
          </w:p>
        </w:tc>
        <w:tc>
          <w:tcPr/>
          <w:p>
            <w:pPr>
              <w:pStyle w:val="Compact"/>
            </w:pPr>
            <w:r>
              <w:t xml:space="preserve">5</w:t>
            </w:r>
          </w:p>
        </w:tc>
        <w:tc>
          <w:tcPr/>
          <w:p>
            <w:pPr>
              <w:pStyle w:val="Compact"/>
            </w:pPr>
            <w:r>
              <w:t xml:space="preserve">152</w:t>
            </w:r>
          </w:p>
        </w:tc>
        <w:tc>
          <w:tcPr/>
          <w:p>
            <w:pPr>
              <w:pStyle w:val="Compact"/>
            </w:pPr>
            <w:r>
              <w:t xml:space="preserve">1</w:t>
            </w:r>
          </w:p>
        </w:tc>
        <w:tc>
          <w:tcPr/>
          <w:p>
            <w:pPr>
              <w:pStyle w:val="Compact"/>
            </w:pPr>
            <w:r>
              <w:t xml:space="preserve">31.6 %</w:t>
            </w:r>
          </w:p>
        </w:tc>
        <w:tc>
          <w:tcPr/>
          <w:p>
            <w:pPr>
              <w:pStyle w:val="Compact"/>
            </w:pPr>
            <w:r>
              <w:t xml:space="preserve">1</w:t>
            </w:r>
          </w:p>
        </w:tc>
      </w:tr>
      <w:tr>
        <w:tc>
          <w:tcPr/>
          <w:p>
            <w:pPr>
              <w:pStyle w:val="Compact"/>
            </w:pPr>
            <w:r>
              <w:t xml:space="preserve">Hand polishing/deburring</w:t>
            </w:r>
          </w:p>
        </w:tc>
        <w:tc>
          <w:tcPr/>
          <w:p>
            <w:pPr>
              <w:pStyle w:val="Compact"/>
            </w:pPr>
            <w:r>
              <w:t xml:space="preserve">1 819 heads</w:t>
            </w:r>
          </w:p>
        </w:tc>
        <w:tc>
          <w:tcPr/>
          <w:p>
            <w:pPr>
              <w:pStyle w:val="Compact"/>
            </w:pPr>
            <w:r>
              <w:t xml:space="preserve">60</w:t>
            </w:r>
          </w:p>
        </w:tc>
        <w:tc>
          <w:tcPr/>
          <w:p>
            <w:pPr>
              <w:pStyle w:val="Compact"/>
            </w:pPr>
            <w:r>
              <w:t xml:space="preserve">1 819</w:t>
            </w:r>
          </w:p>
        </w:tc>
        <w:tc>
          <w:tcPr/>
          <w:p>
            <w:pPr>
              <w:pStyle w:val="Compact"/>
            </w:pPr>
            <w:r>
              <w:t xml:space="preserve">4</w:t>
            </w:r>
          </w:p>
        </w:tc>
        <w:tc>
          <w:tcPr/>
          <w:p>
            <w:pPr>
              <w:pStyle w:val="Compact"/>
            </w:pPr>
            <w:r>
              <w:t xml:space="preserve">94.7 %</w:t>
            </w:r>
          </w:p>
        </w:tc>
        <w:tc>
          <w:tcPr/>
          <w:p>
            <w:pPr>
              <w:pStyle w:val="Compact"/>
            </w:pPr>
            <w:r>
              <w:t xml:space="preserve">4</w:t>
            </w:r>
          </w:p>
        </w:tc>
      </w:tr>
      <w:tr>
        <w:tc>
          <w:tcPr/>
          <w:p>
            <w:pPr>
              <w:pStyle w:val="Compact"/>
            </w:pPr>
            <w:r>
              <w:t xml:space="preserve">Final assembly</w:t>
            </w:r>
          </w:p>
        </w:tc>
        <w:tc>
          <w:tcPr/>
          <w:p>
            <w:pPr>
              <w:pStyle w:val="Compact"/>
            </w:pPr>
            <w:r>
              <w:t xml:space="preserve">1 819 shovels</w:t>
            </w:r>
          </w:p>
        </w:tc>
        <w:tc>
          <w:tcPr/>
          <w:p>
            <w:pPr>
              <w:pStyle w:val="Compact"/>
            </w:pPr>
            <w:r>
              <w:t xml:space="preserve">30</w:t>
            </w:r>
          </w:p>
        </w:tc>
        <w:tc>
          <w:tcPr/>
          <w:p>
            <w:pPr>
              <w:pStyle w:val="Compact"/>
            </w:pPr>
            <w:r>
              <w:t xml:space="preserve">910</w:t>
            </w:r>
          </w:p>
        </w:tc>
        <w:tc>
          <w:tcPr/>
          <w:p>
            <w:pPr>
              <w:pStyle w:val="Compact"/>
            </w:pPr>
            <w:r>
              <w:t xml:space="preserve">2</w:t>
            </w:r>
          </w:p>
        </w:tc>
        <w:tc>
          <w:tcPr/>
          <w:p>
            <w:pPr>
              <w:pStyle w:val="Compact"/>
            </w:pPr>
            <w:r>
              <w:t xml:space="preserve">94.7 %</w:t>
            </w:r>
          </w:p>
        </w:tc>
        <w:tc>
          <w:tcPr/>
          <w:p>
            <w:pPr>
              <w:pStyle w:val="Compact"/>
            </w:pPr>
            <w:r>
              <w:t xml:space="preserve">2</w:t>
            </w:r>
          </w:p>
        </w:tc>
      </w:tr>
      <w:tr>
        <w:tc>
          <w:tcPr/>
          <w:p>
            <w:pPr>
              <w:pStyle w:val="Compact"/>
            </w:pPr>
            <w:r>
              <w:t xml:space="preserve">Packaging + final check</w:t>
            </w:r>
          </w:p>
        </w:tc>
        <w:tc>
          <w:tcPr/>
          <w:p>
            <w:pPr>
              <w:pStyle w:val="Compact"/>
            </w:pPr>
            <w:r>
              <w:t xml:space="preserve">1 819 shovels</w:t>
            </w:r>
          </w:p>
        </w:tc>
        <w:tc>
          <w:tcPr/>
          <w:p>
            <w:pPr>
              <w:pStyle w:val="Compact"/>
            </w:pPr>
            <w:r>
              <w:t xml:space="preserve">30 [VERIFY]</w:t>
            </w:r>
          </w:p>
        </w:tc>
        <w:tc>
          <w:tcPr/>
          <w:p>
            <w:pPr>
              <w:pStyle w:val="Compact"/>
            </w:pPr>
            <w:r>
              <w:t xml:space="preserve">910</w:t>
            </w:r>
          </w:p>
        </w:tc>
        <w:tc>
          <w:tcPr/>
          <w:p>
            <w:pPr>
              <w:pStyle w:val="Compact"/>
            </w:pPr>
            <w:r>
              <w:t xml:space="preserve">2</w:t>
            </w:r>
          </w:p>
        </w:tc>
        <w:tc>
          <w:tcPr/>
          <w:p>
            <w:pPr>
              <w:pStyle w:val="Compact"/>
            </w:pPr>
            <w:r>
              <w:t xml:space="preserve">94.7 %</w:t>
            </w:r>
          </w:p>
        </w:tc>
        <w:tc>
          <w:tcPr/>
          <w:p>
            <w:pPr>
              <w:pStyle w:val="Compact"/>
            </w:pPr>
            <w:r>
              <w:t xml:space="preserve">2</w:t>
            </w:r>
          </w:p>
        </w:tc>
      </w:tr>
      <w:tr>
        <w:tc>
          <w:tcPr/>
          <w:p>
            <w:pPr>
              <w:pStyle w:val="Compact"/>
            </w:pPr>
            <w:r>
              <w:rPr>
                <w:b/>
                <w:bCs/>
              </w:rPr>
              <w:t xml:space="preserve">TOTAL (line processes)</w:t>
            </w:r>
          </w:p>
        </w:tc>
        <w:tc>
          <w:tcPr/>
          <w:p>
            <w:pPr>
              <w:pStyle w:val="Compact"/>
            </w:pPr>
          </w:p>
        </w:tc>
        <w:tc>
          <w:tcPr/>
          <w:p>
            <w:pPr>
              <w:pStyle w:val="Compact"/>
            </w:pPr>
          </w:p>
        </w:tc>
        <w:tc>
          <w:tcPr/>
          <w:p>
            <w:pPr>
              <w:pStyle w:val="Compact"/>
            </w:pPr>
          </w:p>
        </w:tc>
        <w:tc>
          <w:tcPr/>
          <w:p>
            <w:pPr>
              <w:pStyle w:val="Compact"/>
            </w:pPr>
            <w:r>
              <w:rPr>
                <w:b/>
                <w:bCs/>
              </w:rPr>
              <w:t xml:space="preserve">34</w:t>
            </w:r>
          </w:p>
        </w:tc>
        <w:tc>
          <w:tcPr/>
          <w:p>
            <w:pPr>
              <w:pStyle w:val="Compact"/>
            </w:pPr>
            <w:r>
              <w:rPr>
                <w:b/>
                <w:bCs/>
              </w:rPr>
              <w:t xml:space="preserve">avg 62.5 %</w:t>
            </w:r>
          </w:p>
        </w:tc>
        <w:tc>
          <w:tcPr/>
          <w:p>
            <w:pPr>
              <w:pStyle w:val="Compact"/>
            </w:pPr>
            <w:r>
              <w:rPr>
                <w:b/>
                <w:bCs/>
              </w:rPr>
              <w:t xml:space="preserve">34</w:t>
            </w:r>
          </w:p>
        </w:tc>
      </w:tr>
    </w:tbl>
    <w:p>
      <w:pPr>
        <w:pStyle w:val="BodyText"/>
      </w:pPr>
      <w:r>
        <w:rPr>
          <w:i/>
          <w:iCs/>
        </w:rPr>
        <w:t xml:space="preserve">Basis: Capacity sheet of the supporting workbook. Scrap-step processes (cutting, both stamping operations) and all operations upstream of scrap recovery run at gross rates (good ÷ 0.95); cycle times from the brief except packaging (workbook assumption).</w:t>
      </w:r>
    </w:p>
    <w:bookmarkStart w:id="48" w:name="bottleneck-and-balance-analysis"/>
    <w:p>
      <w:pPr>
        <w:pStyle w:val="Heading3"/>
      </w:pPr>
      <w:r>
        <w:t xml:space="preserve">Bottleneck and balance analysis</w:t>
      </w:r>
    </w:p>
    <w:p>
      <w:pPr>
        <w:pStyle w:val="FirstParagraph"/>
      </w:pPr>
      <w:r>
        <w:t xml:space="preserve">Three observations drive the layout. First, the line is severely unbalanced: utilisation spans 12.6 % to 99.7 %, with an average of 62.5 %. The press cell (12–33 %) is capacity-rich while six stations operate at or above 94.7 % — the layout must therefore provide WIP staging wherever a low-utilisation station feeds a high-utilisation bank, because the fast stations build queues that the critical stations consume steadily. Second, the workbook identifies</w:t>
      </w:r>
      <w:r>
        <w:t xml:space="preserve"> </w:t>
      </w:r>
      <w:r>
        <w:rPr>
          <w:b/>
          <w:bCs/>
        </w:rPr>
        <w:t xml:space="preserve">blade sharpening as the principal bottleneck</w:t>
      </w:r>
      <w:r>
        <w:t xml:space="preserve">: it consumes 3 638 machine-minutes per day — more than double any other process — and accounts for 8 of the 34 machines and operators. Any improvement here (automated sharpening, a bevel pre-formed in the forming die) releases more capacity than at any other station. Third, the</w:t>
      </w:r>
      <w:r>
        <w:t xml:space="preserve"> </w:t>
      </w:r>
      <w:r>
        <w:rPr>
          <w:i/>
          <w:iCs/>
        </w:rPr>
        <w:t xml:space="preserve">least headroom</w:t>
      </w:r>
      <w:r>
        <w:t xml:space="preserve"> </w:t>
      </w:r>
      <w:r>
        <w:t xml:space="preserve">sits not at sharpening but at</w:t>
      </w:r>
      <w:r>
        <w:t xml:space="preserve"> </w:t>
      </w:r>
      <w:r>
        <w:rPr>
          <w:b/>
          <w:bCs/>
        </w:rPr>
        <w:t xml:space="preserve">tube cutting and knurling/external threading, each at 99.7 %</w:t>
      </w:r>
      <w:r>
        <w:t xml:space="preserve"> </w:t>
      </w:r>
      <w:r>
        <w:t xml:space="preserve">— less than 2 minutes of slack per machine per day. These two stations cannot absorb any disruption without overtime, and both have identified mitigations that should be priced at quotation: bundle cutting at the saw (several tubes per stroke) and the faster inherent cycle of thread rolling (§6.3.4). The 94.7 % family (sharpening, serrating, polishing, assembly, packaging) shares a common cause — all are sized on good units at cycle times that are exact multiples of the takt — so a single additional unit at any of them buys 10–12 % headroom for one machine’s cost.</w:t>
      </w:r>
    </w:p>
    <w:bookmarkEnd w:id="48"/>
    <w:bookmarkStart w:id="49" w:name="availability-sensitivity"/>
    <w:p>
      <w:pPr>
        <w:pStyle w:val="Heading3"/>
      </w:pPr>
      <w:r>
        <w:t xml:space="preserve">Availability sensitivity</w:t>
      </w:r>
    </w:p>
    <w:p>
      <w:pPr>
        <w:pStyle w:val="FirstParagraph"/>
      </w:pPr>
      <w:r>
        <w:t xml:space="preserve">Table 6.25 assumes availability of 1.0 (§6.1) — every machine productive for all 480 minutes. Re-evaluating Equation 6.11 at 90 % availability (432 min/machine/day) raises the requirement at seven processes: cutting 2→3, knurling 4→5, sharpening 8→9, serrating 4→5, polishing 4→5, assembly 2→3 and packaging 2→3 — a total of</w:t>
      </w:r>
      <w:r>
        <w:t xml:space="preserve"> </w:t>
      </w:r>
      <w:r>
        <w:rPr>
          <w:b/>
          <w:bCs/>
        </w:rPr>
        <w:t xml:space="preserve">41 machines and operators (+7, ≈ 21 %)</w:t>
      </w:r>
      <w:r>
        <w:t xml:space="preserve"> </w:t>
      </w:r>
      <w:r>
        <w:t xml:space="preserve">and roughly 42 m² of additional workstation area. The base plan retains 34 machines on the brief’s overtime-as-flexibility basis, but the layout alternatives should reserve bench space at the 94.7 %+ stations so that the facility can grow into the 41-machine configuration without rework — this is a natural use of part of the 10 % expansion allowance.</w:t>
      </w:r>
    </w:p>
    <w:bookmarkEnd w:id="49"/>
    <w:bookmarkStart w:id="50" w:name="production-labour-summary"/>
    <w:p>
      <w:pPr>
        <w:pStyle w:val="Heading3"/>
      </w:pPr>
      <w:r>
        <w:t xml:space="preserve">Production labour summary</w:t>
      </w:r>
    </w:p>
    <w:p>
      <w:pPr>
        <w:pStyle w:val="FirstParagraph"/>
      </w:pPr>
      <w:r>
        <w:rPr>
          <w:b/>
          <w:bCs/>
        </w:rPr>
        <w:t xml:space="preserve">Table 6.26: Production labour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Headcount</w:t>
            </w:r>
          </w:p>
        </w:tc>
        <w:tc>
          <w:tcPr/>
          <w:p>
            <w:pPr>
              <w:pStyle w:val="Compact"/>
            </w:pPr>
            <w:r>
              <w:t xml:space="preserve">Basis / Source</w:t>
            </w:r>
          </w:p>
        </w:tc>
      </w:tr>
      <w:tr>
        <w:tc>
          <w:tcPr/>
          <w:p>
            <w:pPr>
              <w:pStyle w:val="Compact"/>
            </w:pPr>
            <w:r>
              <w:t xml:space="preserve">Line process operators (1 per machine)</w:t>
            </w:r>
          </w:p>
        </w:tc>
        <w:tc>
          <w:tcPr/>
          <w:p>
            <w:pPr>
              <w:pStyle w:val="Compact"/>
            </w:pPr>
            <w:r>
              <w:t xml:space="preserve">34</w:t>
            </w:r>
          </w:p>
        </w:tc>
        <w:tc>
          <w:tcPr/>
          <w:p>
            <w:pPr>
              <w:pStyle w:val="Compact"/>
            </w:pPr>
            <w:r>
              <w:t xml:space="preserve">Table 6.25</w:t>
            </w:r>
          </w:p>
        </w:tc>
      </w:tr>
      <w:tr>
        <w:tc>
          <w:tcPr/>
          <w:p>
            <w:pPr>
              <w:pStyle w:val="Compact"/>
            </w:pPr>
            <w:r>
              <w:t xml:space="preserve">Equipment-dependent &amp; QA operators (heat treat, sandblast, powder coat, inspection)</w:t>
            </w:r>
          </w:p>
        </w:tc>
        <w:tc>
          <w:tcPr/>
          <w:p>
            <w:pPr>
              <w:pStyle w:val="Compact"/>
            </w:pPr>
            <w:r>
              <w:t xml:space="preserve">4</w:t>
            </w:r>
          </w:p>
        </w:tc>
        <w:tc>
          <w:tcPr/>
          <w:p>
            <w:pPr>
              <w:pStyle w:val="Compact"/>
            </w:pPr>
            <w:r>
              <w:t xml:space="preserve">Personnel sheet (assumption)</w:t>
            </w:r>
          </w:p>
        </w:tc>
      </w:tr>
      <w:tr>
        <w:tc>
          <w:tcPr/>
          <w:p>
            <w:pPr>
              <w:pStyle w:val="Compact"/>
            </w:pPr>
            <w:r>
              <w:t xml:space="preserve">Material handlers / forklift operators</w:t>
            </w:r>
          </w:p>
        </w:tc>
        <w:tc>
          <w:tcPr/>
          <w:p>
            <w:pPr>
              <w:pStyle w:val="Compact"/>
            </w:pPr>
            <w:r>
              <w:t xml:space="preserve">5</w:t>
            </w:r>
          </w:p>
        </w:tc>
        <w:tc>
          <w:tcPr/>
          <w:p>
            <w:pPr>
              <w:pStyle w:val="Compact"/>
            </w:pPr>
            <w:r>
              <w:t xml:space="preserve">Personnel sheet (assumption)</w:t>
            </w:r>
          </w:p>
        </w:tc>
      </w:tr>
      <w:tr>
        <w:tc>
          <w:tcPr/>
          <w:p>
            <w:pPr>
              <w:pStyle w:val="Compact"/>
            </w:pPr>
            <w:r>
              <w:rPr>
                <w:b/>
                <w:bCs/>
              </w:rPr>
              <w:t xml:space="preserve">Production-related subtotal</w:t>
            </w:r>
          </w:p>
        </w:tc>
        <w:tc>
          <w:tcPr/>
          <w:p>
            <w:pPr>
              <w:pStyle w:val="Compact"/>
            </w:pPr>
            <w:r>
              <w:rPr>
                <w:b/>
                <w:bCs/>
              </w:rPr>
              <w:t xml:space="preserve">43</w:t>
            </w:r>
          </w:p>
        </w:tc>
        <w:tc>
          <w:tcPr/>
          <w:p>
            <w:pPr>
              <w:pStyle w:val="Compact"/>
            </w:pPr>
          </w:p>
        </w:tc>
      </w:tr>
    </w:tbl>
    <w:p>
      <w:pPr>
        <w:pStyle w:val="BodyText"/>
      </w:pPr>
      <w:r>
        <w:rPr>
          <w:i/>
          <w:iCs/>
        </w:rPr>
        <w:t xml:space="preserve">Total facility headcount (60, including management, administration, supervision and security) is presented with the supporting facilities in §6.7.</w:t>
      </w:r>
    </w:p>
    <w:bookmarkEnd w:id="50"/>
    <w:bookmarkStart w:id="51" w:name="equipment-dependent-processes-summary"/>
    <w:p>
      <w:pPr>
        <w:pStyle w:val="Heading3"/>
      </w:pPr>
      <w:r>
        <w:t xml:space="preserve">Equipment-dependent processes summary</w:t>
      </w:r>
    </w:p>
    <w:p>
      <w:pPr>
        <w:pStyle w:val="FirstParagraph"/>
      </w:pPr>
      <w:r>
        <w:rPr>
          <w:b/>
          <w:bCs/>
        </w:rPr>
        <w:t xml:space="preserve">Table 6.27: Equipment-dependent capacity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Process</w:t>
            </w:r>
          </w:p>
        </w:tc>
        <w:tc>
          <w:tcPr/>
          <w:p>
            <w:pPr>
              <w:pStyle w:val="Compact"/>
            </w:pPr>
            <w:r>
              <w:t xml:space="preserve">Daily load</w:t>
            </w:r>
          </w:p>
        </w:tc>
        <w:tc>
          <w:tcPr/>
          <w:p>
            <w:pPr>
              <w:pStyle w:val="Compact"/>
            </w:pPr>
            <w:r>
              <w:t xml:space="preserve">Sizing basis</w:t>
            </w:r>
          </w:p>
        </w:tc>
        <w:tc>
          <w:tcPr/>
          <w:p>
            <w:pPr>
              <w:pStyle w:val="Compact"/>
            </w:pPr>
            <w:r>
              <w:t xml:space="preserve">Units required</w:t>
            </w:r>
          </w:p>
        </w:tc>
        <w:tc>
          <w:tcPr/>
          <w:p>
            <w:pPr>
              <w:pStyle w:val="Compact"/>
            </w:pPr>
            <w:r>
              <w:t xml:space="preserve">Reference</w:t>
            </w:r>
          </w:p>
        </w:tc>
      </w:tr>
      <w:tr>
        <w:tc>
          <w:tcPr/>
          <w:p>
            <w:pPr>
              <w:pStyle w:val="Compact"/>
            </w:pPr>
            <w:r>
              <w:t xml:space="preserve">Heat treatment (ageing)</w:t>
            </w:r>
          </w:p>
        </w:tc>
        <w:tc>
          <w:tcPr/>
          <w:p>
            <w:pPr>
              <w:pStyle w:val="Compact"/>
            </w:pPr>
            <w:r>
              <w:t xml:space="preserve">1 819 subassemblies</w:t>
            </w:r>
          </w:p>
        </w:tc>
        <w:tc>
          <w:tcPr/>
          <w:p>
            <w:pPr>
              <w:pStyle w:val="Compact"/>
            </w:pPr>
            <w:r>
              <w:t xml:space="preserve">6 h batch; 1 batch/day</w:t>
            </w:r>
          </w:p>
        </w:tc>
        <w:tc>
          <w:tcPr/>
          <w:p>
            <w:pPr>
              <w:pStyle w:val="Compact"/>
            </w:pPr>
            <w:r>
              <w:t xml:space="preserve">1 oven</w:t>
            </w:r>
          </w:p>
        </w:tc>
        <w:tc>
          <w:tcPr/>
          <w:p>
            <w:pPr>
              <w:pStyle w:val="Compact"/>
            </w:pPr>
            <w:r>
              <w:t xml:space="preserve">§6.3.12; chamber at quotation</w:t>
            </w:r>
          </w:p>
        </w:tc>
      </w:tr>
      <w:tr>
        <w:tc>
          <w:tcPr/>
          <w:p>
            <w:pPr>
              <w:pStyle w:val="Compact"/>
            </w:pPr>
            <w:r>
              <w:t xml:space="preserve">Sandblasting</w:t>
            </w:r>
          </w:p>
        </w:tc>
        <w:tc>
          <w:tcPr/>
          <w:p>
            <w:pPr>
              <w:pStyle w:val="Compact"/>
            </w:pPr>
            <w:r>
              <w:t xml:space="preserve">1 819 subassemblies</w:t>
            </w:r>
          </w:p>
        </w:tc>
        <w:tc>
          <w:tcPr/>
          <w:p>
            <w:pPr>
              <w:pStyle w:val="Compact"/>
            </w:pPr>
            <w:r>
              <w:t xml:space="preserve">Supplier throughput</w:t>
            </w:r>
          </w:p>
        </w:tc>
        <w:tc>
          <w:tcPr/>
          <w:p>
            <w:pPr>
              <w:pStyle w:val="Compact"/>
            </w:pPr>
            <w:r>
              <w:t xml:space="preserve">[VERIFY]</w:t>
            </w:r>
          </w:p>
        </w:tc>
        <w:tc>
          <w:tcPr/>
          <w:p>
            <w:pPr>
              <w:pStyle w:val="Compact"/>
            </w:pPr>
            <w:r>
              <w:t xml:space="preserve">§6.3.13</w:t>
            </w:r>
          </w:p>
        </w:tc>
      </w:tr>
      <w:tr>
        <w:tc>
          <w:tcPr/>
          <w:p>
            <w:pPr>
              <w:pStyle w:val="Compact"/>
            </w:pPr>
            <w:r>
              <w:t xml:space="preserve">Powder coating</w:t>
            </w:r>
          </w:p>
        </w:tc>
        <w:tc>
          <w:tcPr/>
          <w:p>
            <w:pPr>
              <w:pStyle w:val="Compact"/>
            </w:pPr>
            <w:r>
              <w:t xml:space="preserve">5 457 items</w:t>
            </w:r>
          </w:p>
        </w:tc>
        <w:tc>
          <w:tcPr/>
          <w:p>
            <w:pPr>
              <w:pStyle w:val="Compact"/>
            </w:pPr>
            <w:r>
              <w:t xml:space="preserve">600 parts/h line, 8 h</w:t>
            </w:r>
          </w:p>
        </w:tc>
        <w:tc>
          <w:tcPr/>
          <w:p>
            <w:pPr>
              <w:pStyle w:val="Compact"/>
            </w:pPr>
            <w:r>
              <w:t xml:space="preserve">2 lines (Equation 6.10)</w:t>
            </w:r>
          </w:p>
        </w:tc>
        <w:tc>
          <w:tcPr/>
          <w:p>
            <w:pPr>
              <w:pStyle w:val="Compact"/>
            </w:pPr>
            <w:r>
              <w:t xml:space="preserve">§6.3.15</w:t>
            </w:r>
          </w:p>
        </w:tc>
      </w:tr>
    </w:tbl>
    <w:p>
      <w:pPr>
        <w:pStyle w:val="BodyText"/>
      </w:pPr>
      <w:r>
        <w:t xml:space="preserve">Detailed workstation layout drawings, full dimension/specification tables and the costed equipment schedule are presented in</w:t>
      </w:r>
      <w:r>
        <w:t xml:space="preserve"> </w:t>
      </w:r>
      <w:r>
        <w:rPr>
          <w:b/>
          <w:bCs/>
        </w:rPr>
        <w:t xml:space="preserve">Appendix C</w:t>
      </w:r>
      <w:r>
        <w:t xml:space="preserve"> </w:t>
      </w:r>
      <w:r>
        <w:t xml:space="preserve">(Figures C.1–C.19, Tables C.1–C.20). The five layout-critical figures below are recommended for the main report body; all others remain in the appendix.</w:t>
      </w:r>
    </w:p>
    <w:p>
      <w:pPr>
        <w:pStyle w:val="BodyText"/>
      </w:pPr>
      <w:r>
        <w:rPr>
          <w:b/>
          <w:bCs/>
        </w:rPr>
        <w:t xml:space="preserve">Recommended main-report figures (from Appendix C):</w:t>
      </w:r>
    </w:p>
    <w:p>
      <w:pPr>
        <w:pStyle w:val="Compact"/>
        <w:numPr>
          <w:ilvl w:val="0"/>
          <w:numId w:val="1001"/>
        </w:numPr>
      </w:pPr>
      <w:r>
        <w:rPr>
          <w:b/>
          <w:bCs/>
        </w:rPr>
        <w:t xml:space="preserve">Figure C.1</w:t>
      </w:r>
      <w:r>
        <w:t xml:space="preserve"> </w:t>
      </w:r>
      <w:r>
        <w:t xml:space="preserve">— Tube-cutting saw cell (anchors the tube stream; the 6 m bar-magazine infeed dictates the tube line’s building-edge orientation).</w:t>
      </w:r>
    </w:p>
    <w:p>
      <w:pPr>
        <w:pStyle w:val="Compact"/>
        <w:numPr>
          <w:ilvl w:val="0"/>
          <w:numId w:val="1001"/>
        </w:numPr>
      </w:pPr>
      <w:r>
        <w:rPr>
          <w:b/>
          <w:bCs/>
        </w:rPr>
        <w:t xml:space="preserve">Figure C.8</w:t>
      </w:r>
      <w:r>
        <w:t xml:space="preserve"> </w:t>
      </w:r>
      <w:r>
        <w:t xml:space="preserve">— Blade-sharpening bank (the facility bottleneck; dominant workstation-area driver).</w:t>
      </w:r>
    </w:p>
    <w:p>
      <w:pPr>
        <w:pStyle w:val="Compact"/>
        <w:numPr>
          <w:ilvl w:val="0"/>
          <w:numId w:val="1001"/>
        </w:numPr>
      </w:pPr>
      <w:r>
        <w:rPr>
          <w:b/>
          <w:bCs/>
        </w:rPr>
        <w:t xml:space="preserve">Figure C.14</w:t>
      </w:r>
      <w:r>
        <w:t xml:space="preserve"> </w:t>
      </w:r>
      <w:r>
        <w:t xml:space="preserve">— Enclosed powder-coating area (the 120 m² separation requirement; conveyor loop; matches allowance exactly).</w:t>
      </w:r>
    </w:p>
    <w:p>
      <w:pPr>
        <w:pStyle w:val="Compact"/>
        <w:numPr>
          <w:ilvl w:val="0"/>
          <w:numId w:val="1001"/>
        </w:numPr>
      </w:pPr>
      <w:r>
        <w:rPr>
          <w:b/>
          <w:bCs/>
        </w:rPr>
        <w:t xml:space="preserve">Figure C.18</w:t>
      </w:r>
      <w:r>
        <w:t xml:space="preserve"> </w:t>
      </w:r>
      <w:r>
        <w:t xml:space="preserve">— Raw-material storage interface (receiving-adjacent-to-storage; aisle doubling as saw feed lane).</w:t>
      </w:r>
    </w:p>
    <w:p>
      <w:pPr>
        <w:pStyle w:val="Compact"/>
        <w:numPr>
          <w:ilvl w:val="0"/>
          <w:numId w:val="1001"/>
        </w:numPr>
      </w:pPr>
      <w:r>
        <w:rPr>
          <w:b/>
          <w:bCs/>
        </w:rPr>
        <w:t xml:space="preserve">Figure C.19</w:t>
      </w:r>
      <w:r>
        <w:t xml:space="preserve"> </w:t>
      </w:r>
      <w:r>
        <w:t xml:space="preserve">— Receiving and dispatch dock interface (U-flow; five warehouse areas; truck/customer separation).</w:t>
      </w:r>
    </w:p>
    <w:p>
      <w:pPr>
        <w:pStyle w:val="FirstParagraph"/>
      </w:pPr>
      <w:r>
        <w:rPr>
          <w:b/>
          <w:bCs/>
        </w:rPr>
        <w:t xml:space="preserve">Table 6.37: Workstation layout and capital summary (detail in Appendix 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Workstation / area</w:t>
            </w:r>
          </w:p>
        </w:tc>
        <w:tc>
          <w:tcPr/>
          <w:p>
            <w:pPr>
              <w:pStyle w:val="Compact"/>
            </w:pPr>
            <w:r>
              <w:t xml:space="preserve">Layout</w:t>
            </w:r>
          </w:p>
        </w:tc>
        <w:tc>
          <w:tcPr/>
          <w:p>
            <w:pPr>
              <w:pStyle w:val="Compact"/>
            </w:pPr>
            <w:r>
              <w:t xml:space="preserve">Cell size</w:t>
            </w:r>
          </w:p>
        </w:tc>
        <w:tc>
          <w:tcPr/>
          <w:p>
            <w:pPr>
              <w:pStyle w:val="Compact"/>
            </w:pPr>
            <w:r>
              <w:t xml:space="preserve">Machines / operators</w:t>
            </w:r>
          </w:p>
        </w:tc>
        <w:tc>
          <w:tcPr/>
          <w:p>
            <w:pPr>
              <w:pStyle w:val="Compact"/>
            </w:pPr>
            <w:r>
              <w:t xml:space="preserve">Cost status</w:t>
            </w:r>
          </w:p>
        </w:tc>
      </w:tr>
      <w:tr>
        <w:tc>
          <w:tcPr/>
          <w:p>
            <w:pPr>
              <w:pStyle w:val="Compact"/>
            </w:pPr>
            <w:r>
              <w:t xml:space="preserve">Tube cutting</w:t>
            </w:r>
          </w:p>
        </w:tc>
        <w:tc>
          <w:tcPr/>
          <w:p>
            <w:pPr>
              <w:pStyle w:val="Compact"/>
            </w:pPr>
            <w:r>
              <w:t xml:space="preserve">Fig. C.1</w:t>
            </w:r>
          </w:p>
        </w:tc>
        <w:tc>
          <w:tcPr/>
          <w:p>
            <w:pPr>
              <w:pStyle w:val="Compact"/>
            </w:pPr>
            <w:r>
              <w:t xml:space="preserve">9.0 × 2.0 m ×2 (18 m² each)</w:t>
            </w:r>
          </w:p>
        </w:tc>
        <w:tc>
          <w:tcPr/>
          <w:p>
            <w:pPr>
              <w:pStyle w:val="Compact"/>
            </w:pPr>
            <w:r>
              <w:t xml:space="preserve">2 / 2</w:t>
            </w:r>
          </w:p>
        </w:tc>
        <w:tc>
          <w:tcPr/>
          <w:p>
            <w:pPr>
              <w:pStyle w:val="Compact"/>
            </w:pPr>
            <w:r>
              <w:t xml:space="preserve">Quotation</w:t>
            </w:r>
          </w:p>
        </w:tc>
      </w:tr>
      <w:tr>
        <w:tc>
          <w:tcPr/>
          <w:p>
            <w:pPr>
              <w:pStyle w:val="Compact"/>
            </w:pPr>
            <w:r>
              <w:t xml:space="preserve">Internal threading; end narrowing</w:t>
            </w:r>
          </w:p>
        </w:tc>
        <w:tc>
          <w:tcPr/>
          <w:p>
            <w:pPr>
              <w:pStyle w:val="Compact"/>
            </w:pPr>
            <w:r>
              <w:t xml:space="preserve">Figs C.2–C.3</w:t>
            </w:r>
          </w:p>
        </w:tc>
        <w:tc>
          <w:tcPr/>
          <w:p>
            <w:pPr>
              <w:pStyle w:val="Compact"/>
            </w:pPr>
            <w:r>
              <w:t xml:space="preserve">6 m² each ×3</w:t>
            </w:r>
          </w:p>
        </w:tc>
        <w:tc>
          <w:tcPr/>
          <w:p>
            <w:pPr>
              <w:pStyle w:val="Compact"/>
            </w:pPr>
            <w:r>
              <w:t xml:space="preserve">3 / 3</w:t>
            </w:r>
          </w:p>
        </w:tc>
        <w:tc>
          <w:tcPr/>
          <w:p>
            <w:pPr>
              <w:pStyle w:val="Compact"/>
            </w:pPr>
            <w:r>
              <w:t xml:space="preserve">Quotation</w:t>
            </w:r>
          </w:p>
        </w:tc>
      </w:tr>
      <w:tr>
        <w:tc>
          <w:tcPr/>
          <w:p>
            <w:pPr>
              <w:pStyle w:val="Compact"/>
            </w:pPr>
            <w:r>
              <w:t xml:space="preserve">Knurling + external threading</w:t>
            </w:r>
          </w:p>
        </w:tc>
        <w:tc>
          <w:tcPr/>
          <w:p>
            <w:pPr>
              <w:pStyle w:val="Compact"/>
            </w:pPr>
            <w:r>
              <w:t xml:space="preserve">Fig. C.4</w:t>
            </w:r>
          </w:p>
        </w:tc>
        <w:tc>
          <w:tcPr/>
          <w:p>
            <w:pPr>
              <w:pStyle w:val="Compact"/>
            </w:pPr>
            <w:r>
              <w:t xml:space="preserve">28.6 m² bank</w:t>
            </w:r>
          </w:p>
        </w:tc>
        <w:tc>
          <w:tcPr/>
          <w:p>
            <w:pPr>
              <w:pStyle w:val="Compact"/>
            </w:pPr>
            <w:r>
              <w:t xml:space="preserve">4 / 4</w:t>
            </w:r>
          </w:p>
        </w:tc>
        <w:tc>
          <w:tcPr/>
          <w:p>
            <w:pPr>
              <w:pStyle w:val="Compact"/>
            </w:pPr>
            <w:r>
              <w:t xml:space="preserve">Quotation</w:t>
            </w:r>
          </w:p>
        </w:tc>
      </w:tr>
      <w:tr>
        <w:tc>
          <w:tcPr/>
          <w:p>
            <w:pPr>
              <w:pStyle w:val="Compact"/>
            </w:pPr>
            <w:r>
              <w:t xml:space="preserve">Press cell (stamp ×2, bend, form)</w:t>
            </w:r>
          </w:p>
        </w:tc>
        <w:tc>
          <w:tcPr/>
          <w:p>
            <w:pPr>
              <w:pStyle w:val="Compact"/>
            </w:pPr>
            <w:r>
              <w:t xml:space="preserve">Figs C.5–C.7</w:t>
            </w:r>
          </w:p>
        </w:tc>
        <w:tc>
          <w:tcPr/>
          <w:p>
            <w:pPr>
              <w:pStyle w:val="Compact"/>
            </w:pPr>
            <w:r>
              <w:t xml:space="preserve">≈ 40 m² zone</w:t>
            </w:r>
          </w:p>
        </w:tc>
        <w:tc>
          <w:tcPr/>
          <w:p>
            <w:pPr>
              <w:pStyle w:val="Compact"/>
            </w:pPr>
            <w:r>
              <w:t xml:space="preserve">4 / 4</w:t>
            </w:r>
          </w:p>
        </w:tc>
        <w:tc>
          <w:tcPr/>
          <w:p>
            <w:pPr>
              <w:pStyle w:val="Compact"/>
            </w:pPr>
            <w:r>
              <w:t xml:space="preserve">Quotation (+dies)</w:t>
            </w:r>
          </w:p>
        </w:tc>
      </w:tr>
      <w:tr>
        <w:tc>
          <w:tcPr/>
          <w:p>
            <w:pPr>
              <w:pStyle w:val="Compact"/>
            </w:pPr>
            <w:r>
              <w:t xml:space="preserve">Sharpening + serrating + polishing</w:t>
            </w:r>
          </w:p>
        </w:tc>
        <w:tc>
          <w:tcPr/>
          <w:p>
            <w:pPr>
              <w:pStyle w:val="Compact"/>
            </w:pPr>
            <w:r>
              <w:t xml:space="preserve">Figs C.8, C.9, C.13</w:t>
            </w:r>
          </w:p>
        </w:tc>
        <w:tc>
          <w:tcPr/>
          <w:p>
            <w:pPr>
              <w:pStyle w:val="Compact"/>
            </w:pPr>
            <w:r>
              <w:t xml:space="preserve">≈ 105 m² finishing zone</w:t>
            </w:r>
          </w:p>
        </w:tc>
        <w:tc>
          <w:tcPr/>
          <w:p>
            <w:pPr>
              <w:pStyle w:val="Compact"/>
            </w:pPr>
            <w:r>
              <w:t xml:space="preserve">16 / 16</w:t>
            </w:r>
          </w:p>
        </w:tc>
        <w:tc>
          <w:tcPr/>
          <w:p>
            <w:pPr>
              <w:pStyle w:val="Compact"/>
            </w:pPr>
            <w:r>
              <w:t xml:space="preserve">≈ R873,600 (12 grinders, converted price) + fabrication</w:t>
            </w:r>
          </w:p>
        </w:tc>
      </w:tr>
      <w:tr>
        <w:tc>
          <w:tcPr/>
          <w:p>
            <w:pPr>
              <w:pStyle w:val="Compact"/>
            </w:pPr>
            <w:r>
              <w:t xml:space="preserve">Riveting</w:t>
            </w:r>
          </w:p>
        </w:tc>
        <w:tc>
          <w:tcPr/>
          <w:p>
            <w:pPr>
              <w:pStyle w:val="Compact"/>
            </w:pPr>
            <w:r>
              <w:t xml:space="preserve">Fig. C.10</w:t>
            </w:r>
          </w:p>
        </w:tc>
        <w:tc>
          <w:tcPr/>
          <w:p>
            <w:pPr>
              <w:pStyle w:val="Compact"/>
            </w:pPr>
            <w:r>
              <w:t xml:space="preserve">9.6 m²</w:t>
            </w:r>
          </w:p>
        </w:tc>
        <w:tc>
          <w:tcPr/>
          <w:p>
            <w:pPr>
              <w:pStyle w:val="Compact"/>
            </w:pPr>
            <w:r>
              <w:t xml:space="preserve">1 / 1</w:t>
            </w:r>
          </w:p>
        </w:tc>
        <w:tc>
          <w:tcPr/>
          <w:p>
            <w:pPr>
              <w:pStyle w:val="Compact"/>
            </w:pPr>
            <w:r>
              <w:t xml:space="preserve">Quotation</w:t>
            </w:r>
          </w:p>
        </w:tc>
      </w:tr>
      <w:tr>
        <w:tc>
          <w:tcPr/>
          <w:p>
            <w:pPr>
              <w:pStyle w:val="Compact"/>
            </w:pPr>
            <w:r>
              <w:t xml:space="preserve">Heat treat + sandblast (+ buffers)</w:t>
            </w:r>
          </w:p>
        </w:tc>
        <w:tc>
          <w:tcPr/>
          <w:p>
            <w:pPr>
              <w:pStyle w:val="Compact"/>
            </w:pPr>
            <w:r>
              <w:t xml:space="preserve">Figs C.11–C.12</w:t>
            </w:r>
          </w:p>
        </w:tc>
        <w:tc>
          <w:tcPr/>
          <w:p>
            <w:pPr>
              <w:pStyle w:val="Compact"/>
            </w:pPr>
            <w:r>
              <w:t xml:space="preserve">80 m² + 19.2 m² WIP</w:t>
            </w:r>
          </w:p>
        </w:tc>
        <w:tc>
          <w:tcPr/>
          <w:p>
            <w:pPr>
              <w:pStyle w:val="Compact"/>
            </w:pPr>
            <w:r>
              <w:t xml:space="preserve">1 oven + booth / pool</w:t>
            </w:r>
          </w:p>
        </w:tc>
        <w:tc>
          <w:tcPr/>
          <w:p>
            <w:pPr>
              <w:pStyle w:val="Compact"/>
            </w:pPr>
            <w:r>
              <w:t xml:space="preserve">Quotation</w:t>
            </w:r>
          </w:p>
        </w:tc>
      </w:tr>
      <w:tr>
        <w:tc>
          <w:tcPr/>
          <w:p>
            <w:pPr>
              <w:pStyle w:val="Compact"/>
            </w:pPr>
            <w:r>
              <w:t xml:space="preserve">Powder coating (enclosed)</w:t>
            </w:r>
          </w:p>
        </w:tc>
        <w:tc>
          <w:tcPr/>
          <w:p>
            <w:pPr>
              <w:pStyle w:val="Compact"/>
            </w:pPr>
            <w:r>
              <w:t xml:space="preserve">Fig. C.14</w:t>
            </w:r>
          </w:p>
        </w:tc>
        <w:tc>
          <w:tcPr/>
          <w:p>
            <w:pPr>
              <w:pStyle w:val="Compact"/>
            </w:pPr>
            <w:r>
              <w:t xml:space="preserve">120 m² (matches allowance)</w:t>
            </w:r>
          </w:p>
        </w:tc>
        <w:tc>
          <w:tcPr/>
          <w:p>
            <w:pPr>
              <w:pStyle w:val="Compact"/>
            </w:pPr>
            <w:r>
              <w:t xml:space="preserve">2 lines / pool</w:t>
            </w:r>
          </w:p>
        </w:tc>
        <w:tc>
          <w:tcPr/>
          <w:p>
            <w:pPr>
              <w:pStyle w:val="Compact"/>
            </w:pPr>
            <w:r>
              <w:t xml:space="preserve">Quotation (turnkey)</w:t>
            </w:r>
          </w:p>
        </w:tc>
      </w:tr>
      <w:tr>
        <w:tc>
          <w:tcPr/>
          <w:p>
            <w:pPr>
              <w:pStyle w:val="Compact"/>
            </w:pPr>
            <w:r>
              <w:t xml:space="preserve">Assembly + packaging</w:t>
            </w:r>
          </w:p>
        </w:tc>
        <w:tc>
          <w:tcPr/>
          <w:p>
            <w:pPr>
              <w:pStyle w:val="Compact"/>
            </w:pPr>
            <w:r>
              <w:t xml:space="preserve">Figs C.15–C.16</w:t>
            </w:r>
          </w:p>
        </w:tc>
        <w:tc>
          <w:tcPr/>
          <w:p>
            <w:pPr>
              <w:pStyle w:val="Compact"/>
            </w:pPr>
            <w:r>
              <w:t xml:space="preserve">13.6 + 19.8 m²</w:t>
            </w:r>
          </w:p>
        </w:tc>
        <w:tc>
          <w:tcPr/>
          <w:p>
            <w:pPr>
              <w:pStyle w:val="Compact"/>
            </w:pPr>
            <w:r>
              <w:t xml:space="preserve">4 / 4</w:t>
            </w:r>
          </w:p>
        </w:tc>
        <w:tc>
          <w:tcPr/>
          <w:p>
            <w:pPr>
              <w:pStyle w:val="Compact"/>
            </w:pPr>
            <w:r>
              <w:t xml:space="preserve">Fabrication quotes</w:t>
            </w:r>
          </w:p>
        </w:tc>
      </w:tr>
      <w:tr>
        <w:tc>
          <w:tcPr/>
          <w:p>
            <w:pPr>
              <w:pStyle w:val="Compact"/>
            </w:pPr>
            <w:r>
              <w:t xml:space="preserve">RM + FG storage</w:t>
            </w:r>
          </w:p>
        </w:tc>
        <w:tc>
          <w:tcPr/>
          <w:p>
            <w:pPr>
              <w:pStyle w:val="Compact"/>
            </w:pPr>
            <w:r>
              <w:t xml:space="preserve">Figs C.17–C.18</w:t>
            </w:r>
          </w:p>
        </w:tc>
        <w:tc>
          <w:tcPr/>
          <w:p>
            <w:pPr>
              <w:pStyle w:val="Compact"/>
            </w:pPr>
            <w:r>
              <w:t xml:space="preserve">48.4 + 59.5 m² stores</w:t>
            </w:r>
          </w:p>
        </w:tc>
        <w:tc>
          <w:tcPr/>
          <w:p>
            <w:pPr>
              <w:pStyle w:val="Compact"/>
            </w:pPr>
            <w:r>
              <w:t xml:space="preserve">—</w:t>
            </w:r>
          </w:p>
        </w:tc>
        <w:tc>
          <w:tcPr/>
          <w:p>
            <w:pPr>
              <w:pStyle w:val="Compact"/>
            </w:pPr>
            <w:r>
              <w:t xml:space="preserve">R139,500–372,000 (FG racking) + quotation</w:t>
            </w:r>
          </w:p>
        </w:tc>
      </w:tr>
      <w:tr>
        <w:tc>
          <w:tcPr/>
          <w:p>
            <w:pPr>
              <w:pStyle w:val="Compact"/>
            </w:pPr>
            <w:r>
              <w:t xml:space="preserve">Receiving / dispatch + MH fleet</w:t>
            </w:r>
          </w:p>
        </w:tc>
        <w:tc>
          <w:tcPr/>
          <w:p>
            <w:pPr>
              <w:pStyle w:val="Compact"/>
            </w:pPr>
            <w:r>
              <w:t xml:space="preserve">Fig. C.19</w:t>
            </w:r>
          </w:p>
        </w:tc>
        <w:tc>
          <w:tcPr/>
          <w:p>
            <w:pPr>
              <w:pStyle w:val="Compact"/>
            </w:pPr>
            <w:r>
              <w:t xml:space="preserve">within 250 m²</w:t>
            </w:r>
          </w:p>
        </w:tc>
        <w:tc>
          <w:tcPr/>
          <w:p>
            <w:pPr>
              <w:pStyle w:val="Compact"/>
            </w:pPr>
            <w:r>
              <w:t xml:space="preserve">—</w:t>
            </w:r>
          </w:p>
        </w:tc>
        <w:tc>
          <w:tcPr/>
          <w:p>
            <w:pPr>
              <w:pStyle w:val="Compact"/>
            </w:pPr>
            <w:r>
              <w:t xml:space="preserve">R9,390 verified + quotations</w:t>
            </w:r>
          </w:p>
        </w:tc>
      </w:tr>
    </w:tbl>
    <w:p>
      <w:pPr>
        <w:pStyle w:val="BodyText"/>
      </w:pPr>
      <w:r>
        <w:rPr>
          <w:i/>
          <w:iCs/>
        </w:rPr>
        <w:t xml:space="preserve">All layouts preserve the Section 6 flow architecture — split tube/sheet streams, sheet-part convergence at riveting, stream convergence only at final assembly, enclosed powder coating, truck/customer separation, milk-run feeding of high-utilisation stations — and do not change the corrected</w:t>
      </w:r>
      <w:r>
        <w:rPr>
          <w:i/>
          <w:iCs/>
        </w:rPr>
        <w:t xml:space="preserve"> </w:t>
      </w:r>
      <w:r>
        <w:rPr>
          <w:b/>
          <w:bCs/>
          <w:i/>
          <w:iCs/>
        </w:rPr>
        <w:t xml:space="preserve">1 940 m² building / ≈ 4 050 m² site</w:t>
      </w:r>
      <w:r>
        <w:rPr>
          <w:i/>
          <w:iCs/>
        </w:rPr>
        <w:t xml:space="preserve"> </w:t>
      </w:r>
      <w:r>
        <w:rPr>
          <w:i/>
          <w:iCs/>
        </w:rPr>
        <w:t xml:space="preserve">basis (drawn zone areas include circulation shares per the Appendix C convention; functional areas per Tables 6.33–6.35 are unchanged).</w:t>
      </w:r>
    </w:p>
    <w:bookmarkEnd w:id="51"/>
    <w:bookmarkStart w:id="52" w:name="key-findings-and-layout-implications-2"/>
    <w:p>
      <w:pPr>
        <w:pStyle w:val="Heading3"/>
      </w:pPr>
      <w:r>
        <w:t xml:space="preserve">Key Findings and Layout Implications</w:t>
      </w:r>
    </w:p>
    <w:p>
      <w:pPr>
        <w:pStyle w:val="FirstParagraph"/>
      </w:pPr>
      <w:r>
        <w:t xml:space="preserve">The capacity analysis fixes the production floor’s scale: 34 line machines across 14 processes, plus one ageing oven, a blast installation and two powder lines, operated by 43 production-related staff. For the layout alternatives, the binding facts are these. The 14-station workstation count at the workbook’s 6 m² allowance gives 204 m² of line workstation area, with the corrections flagged in §6.3 (saw infeed strips, packaging cell) to be applied in §6.8. The utilisation profile dictates where buffer space must sit: ahead of the sharpening bank, ahead of knurling, and on both sides of the batch oven. The bottleneck stations cluster into two zones — the tube line’s knurling bank and the finishing zone’s sharpening/serrating/polishing rows — and these zones, not individual machines, should be treated as the layout’s fixed anchors, each with maintenance access and reserved expansion ground. Finally, the 1:1 operator basis means headcount scales with machines: the availability sensitivity (+7 machines) would also add 7 operators, which flows through to amenities, parking and support-facility sizing in §6.7 — a dependency the Master Facility Plan must keep visible.</w:t>
      </w:r>
    </w:p>
    <w:bookmarkEnd w:id="52"/>
    <w:bookmarkEnd w:id="53"/>
    <w:bookmarkStart w:id="59" w:name="receiving-and-dispatch"/>
    <w:p>
      <w:pPr>
        <w:pStyle w:val="Heading2"/>
      </w:pPr>
      <w:r>
        <w:t xml:space="preserve">6.5 Receiving and Dispatch</w:t>
      </w:r>
    </w:p>
    <w:p>
      <w:pPr>
        <w:pStyle w:val="FirstParagraph"/>
      </w:pPr>
      <w:r>
        <w:t xml:space="preserve">Receiving and dispatch size the facility’s interface with the public road and the site circulation pattern — a stated evaluation criterion for the layout alternatives. The defining feature of the DigMore flows is their asymmetry of unit type, not of volume: inbound material arrives as long bundles (6 m tubes) and palletised sheets a few times per week, while outbound product leaves daily as a small number of standard pallets on DigMore’s own fleet, plus customer-collected small orders. Each flow therefore demands a different physical interface, summarised in Table 6.28.</w:t>
      </w:r>
    </w:p>
    <w:p>
      <w:pPr>
        <w:pStyle w:val="BodyText"/>
      </w:pPr>
      <w:r>
        <w:rPr>
          <w:b/>
          <w:bCs/>
        </w:rPr>
        <w:t xml:space="preserve">Table 6.28: Receiving and dispatch requirements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Flow</w:t>
            </w:r>
          </w:p>
        </w:tc>
        <w:tc>
          <w:tcPr/>
          <w:p>
            <w:pPr>
              <w:pStyle w:val="Compact"/>
            </w:pPr>
            <w:r>
              <w:t xml:space="preserve">Quantity</w:t>
            </w:r>
          </w:p>
        </w:tc>
        <w:tc>
          <w:tcPr/>
          <w:p>
            <w:pPr>
              <w:pStyle w:val="Compact"/>
            </w:pPr>
            <w:r>
              <w:t xml:space="preserve">Frequency</w:t>
            </w:r>
          </w:p>
        </w:tc>
        <w:tc>
          <w:tcPr/>
          <w:p>
            <w:pPr>
              <w:pStyle w:val="Compact"/>
            </w:pPr>
            <w:r>
              <w:t xml:space="preserve">Vehicle / interface</w:t>
            </w:r>
          </w:p>
        </w:tc>
        <w:tc>
          <w:tcPr/>
          <w:p>
            <w:pPr>
              <w:pStyle w:val="Compact"/>
            </w:pPr>
            <w:r>
              <w:t xml:space="preserve">Handling equipment</w:t>
            </w:r>
          </w:p>
        </w:tc>
        <w:tc>
          <w:tcPr/>
          <w:p>
            <w:pPr>
              <w:pStyle w:val="Compact"/>
            </w:pPr>
            <w:r>
              <w:t xml:space="preserve">Basis / Source</w:t>
            </w:r>
          </w:p>
        </w:tc>
      </w:tr>
      <w:tr>
        <w:tc>
          <w:tcPr/>
          <w:p>
            <w:pPr>
              <w:pStyle w:val="Compact"/>
            </w:pPr>
            <w:r>
              <w:t xml:space="preserve">Aluminium tube (in)</w:t>
            </w:r>
          </w:p>
        </w:tc>
        <w:tc>
          <w:tcPr/>
          <w:p>
            <w:pPr>
              <w:pStyle w:val="Compact"/>
            </w:pPr>
            <w:r>
              <w:t xml:space="preserve">99 tubes/day ≈ 495/week, in bundles</w:t>
            </w:r>
          </w:p>
        </w:tc>
        <w:tc>
          <w:tcPr/>
          <w:p>
            <w:pPr>
              <w:pStyle w:val="Compact"/>
            </w:pPr>
            <w:r>
              <w:t xml:space="preserve">2–3 consolidated deliveries/week (per supplier agreement)</w:t>
            </w:r>
          </w:p>
        </w:tc>
        <w:tc>
          <w:tcPr/>
          <w:p>
            <w:pPr>
              <w:pStyle w:val="Compact"/>
            </w:pPr>
            <w:r>
              <w:t xml:space="preserve">Flatbed truck;</w:t>
            </w:r>
            <w:r>
              <w:t xml:space="preserve"> </w:t>
            </w:r>
            <w:r>
              <w:rPr>
                <w:b/>
                <w:bCs/>
              </w:rPr>
              <w:t xml:space="preserve">ground-level side offload</w:t>
            </w:r>
            <w:r>
              <w:t xml:space="preserve"> </w:t>
            </w:r>
            <w:r>
              <w:t xml:space="preserve">(6 m bundles do not suit a raised dock)</w:t>
            </w:r>
          </w:p>
        </w:tc>
        <w:tc>
          <w:tcPr/>
          <w:p>
            <w:pPr>
              <w:pStyle w:val="Compact"/>
            </w:pPr>
            <w:r>
              <w:t xml:space="preserve">Counterbalance forklift, fork-spacing for long loads</w:t>
            </w:r>
          </w:p>
        </w:tc>
        <w:tc>
          <w:tcPr/>
          <w:p>
            <w:pPr>
              <w:pStyle w:val="Compact"/>
            </w:pPr>
            <w:r>
              <w:t xml:space="preserve">Table 6.5; geometry of 6 m stock</w:t>
            </w:r>
          </w:p>
        </w:tc>
      </w:tr>
      <w:tr>
        <w:tc>
          <w:tcPr/>
          <w:p>
            <w:pPr>
              <w:pStyle w:val="Compact"/>
            </w:pPr>
            <w:r>
              <w:t xml:space="preserve">Aluminium sheet (in)</w:t>
            </w:r>
          </w:p>
        </w:tc>
        <w:tc>
          <w:tcPr/>
          <w:p>
            <w:pPr>
              <w:pStyle w:val="Compact"/>
            </w:pPr>
            <w:r>
              <w:t xml:space="preserve">24 sheets/day ≈ 120/week, palletised</w:t>
            </w:r>
          </w:p>
        </w:tc>
        <w:tc>
          <w:tcPr/>
          <w:p>
            <w:pPr>
              <w:pStyle w:val="Compact"/>
            </w:pPr>
            <w:r>
              <w:t xml:space="preserve">With tube deliveries where possible</w:t>
            </w:r>
          </w:p>
        </w:tc>
        <w:tc>
          <w:tcPr/>
          <w:p>
            <w:pPr>
              <w:pStyle w:val="Compact"/>
            </w:pPr>
            <w:r>
              <w:t xml:space="preserve">Raised dock with leveller, or ground-level by forklift</w:t>
            </w:r>
          </w:p>
        </w:tc>
        <w:tc>
          <w:tcPr/>
          <w:p>
            <w:pPr>
              <w:pStyle w:val="Compact"/>
            </w:pPr>
            <w:r>
              <w:t xml:space="preserve">Forklift</w:t>
            </w:r>
          </w:p>
        </w:tc>
        <w:tc>
          <w:tcPr/>
          <w:p>
            <w:pPr>
              <w:pStyle w:val="Compact"/>
            </w:pPr>
            <w:r>
              <w:t xml:space="preserve">Table 6.6</w:t>
            </w:r>
          </w:p>
        </w:tc>
      </w:tr>
      <w:tr>
        <w:tc>
          <w:tcPr/>
          <w:p>
            <w:pPr>
              <w:pStyle w:val="Compact"/>
            </w:pPr>
            <w:r>
              <w:t xml:space="preserve">Bought-out items (in)</w:t>
            </w:r>
          </w:p>
        </w:tc>
        <w:tc>
          <w:tcPr/>
          <w:p>
            <w:pPr>
              <w:pStyle w:val="Compact"/>
            </w:pPr>
            <w:r>
              <w:t xml:space="preserve">Bags 18 190/2 wk; rivets 36 380/2 wk (Table 6.7 assumptions)</w:t>
            </w:r>
          </w:p>
        </w:tc>
        <w:tc>
          <w:tcPr/>
          <w:p>
            <w:pPr>
              <w:pStyle w:val="Compact"/>
            </w:pPr>
            <w:r>
              <w:t xml:space="preserve">Weekly parcel/pallet</w:t>
            </w:r>
          </w:p>
        </w:tc>
        <w:tc>
          <w:tcPr/>
          <w:p>
            <w:pPr>
              <w:pStyle w:val="Compact"/>
            </w:pPr>
            <w:r>
              <w:t xml:space="preserve">Raised dock</w:t>
            </w:r>
          </w:p>
        </w:tc>
        <w:tc>
          <w:tcPr/>
          <w:p>
            <w:pPr>
              <w:pStyle w:val="Compact"/>
            </w:pPr>
            <w:r>
              <w:t xml:space="preserve">Pallet truck</w:t>
            </w:r>
          </w:p>
        </w:tc>
        <w:tc>
          <w:tcPr/>
          <w:p>
            <w:pPr>
              <w:pStyle w:val="Compact"/>
            </w:pPr>
            <w:r>
              <w:t xml:space="preserve">Table 6.7</w:t>
            </w:r>
          </w:p>
        </w:tc>
      </w:tr>
      <w:tr>
        <w:tc>
          <w:tcPr/>
          <w:p>
            <w:pPr>
              <w:pStyle w:val="Compact"/>
            </w:pPr>
            <w:r>
              <w:t xml:space="preserve">Finished goods, large orders (out)</w:t>
            </w:r>
          </w:p>
        </w:tc>
        <w:tc>
          <w:tcPr/>
          <w:p>
            <w:pPr>
              <w:pStyle w:val="Compact"/>
            </w:pPr>
            <w:r>
              <w:t xml:space="preserve">5 pallets/day</w:t>
            </w:r>
          </w:p>
        </w:tc>
        <w:tc>
          <w:tcPr/>
          <w:p>
            <w:pPr>
              <w:pStyle w:val="Compact"/>
            </w:pPr>
            <w:r>
              <w:t xml:space="preserve">Daily</w:t>
            </w:r>
          </w:p>
        </w:tc>
        <w:tc>
          <w:tcPr/>
          <w:p>
            <w:pPr>
              <w:pStyle w:val="Compact"/>
            </w:pPr>
            <w:r>
              <w:t xml:space="preserve">DigMore fleet, loaded at the shared dock (6 fleet parking bays, 360 m² site provision)</w:t>
            </w:r>
          </w:p>
        </w:tc>
        <w:tc>
          <w:tcPr/>
          <w:p>
            <w:pPr>
              <w:pStyle w:val="Compact"/>
            </w:pPr>
            <w:r>
              <w:t xml:space="preserve">Forklift / powered pallet truck</w:t>
            </w:r>
          </w:p>
        </w:tc>
        <w:tc>
          <w:tcPr/>
          <w:p>
            <w:pPr>
              <w:pStyle w:val="Compact"/>
            </w:pPr>
            <w:r>
              <w:t xml:space="preserve">Inventory_Pack; Parking sheet</w:t>
            </w:r>
          </w:p>
        </w:tc>
      </w:tr>
      <w:tr>
        <w:tc>
          <w:tcPr/>
          <w:p>
            <w:pPr>
              <w:pStyle w:val="Compact"/>
            </w:pPr>
            <w:r>
              <w:t xml:space="preserve">Finished goods, small orders (out)</w:t>
            </w:r>
          </w:p>
        </w:tc>
        <w:tc>
          <w:tcPr/>
          <w:p>
            <w:pPr>
              <w:pStyle w:val="Compact"/>
            </w:pPr>
            <w:r>
              <w:t xml:space="preserve">≤ 400 shovels (≤ 1 pallet) per order</w:t>
            </w:r>
          </w:p>
        </w:tc>
        <w:tc>
          <w:tcPr/>
          <w:p>
            <w:pPr>
              <w:pStyle w:val="Compact"/>
            </w:pPr>
            <w:r>
              <w:t xml:space="preserve">Ad hoc, customer collection</w:t>
            </w:r>
          </w:p>
        </w:tc>
        <w:tc>
          <w:tcPr/>
          <w:p>
            <w:pPr>
              <w:pStyle w:val="Compact"/>
            </w:pPr>
            <w:r>
              <w:t xml:space="preserve">Separate collection point at 10 visitor/collection bays</w:t>
            </w:r>
          </w:p>
        </w:tc>
        <w:tc>
          <w:tcPr/>
          <w:p>
            <w:pPr>
              <w:pStyle w:val="Compact"/>
            </w:pPr>
            <w:r>
              <w:t xml:space="preserve">Hand pallet truck / by hand</w:t>
            </w:r>
          </w:p>
        </w:tc>
        <w:tc>
          <w:tcPr/>
          <w:p>
            <w:pPr>
              <w:pStyle w:val="Compact"/>
            </w:pPr>
            <w:r>
              <w:t xml:space="preserve">Inventory_Pack; Parking sheet</w:t>
            </w:r>
          </w:p>
        </w:tc>
      </w:tr>
      <w:tr>
        <w:tc>
          <w:tcPr/>
          <w:p>
            <w:pPr>
              <w:pStyle w:val="Compact"/>
            </w:pPr>
            <w:r>
              <w:t xml:space="preserve">Scrap / waste (out)</w:t>
            </w:r>
          </w:p>
        </w:tc>
        <w:tc>
          <w:tcPr/>
          <w:p>
            <w:pPr>
              <w:pStyle w:val="Compact"/>
            </w:pPr>
            <w:r>
              <w:t xml:space="preserve">Cutting &amp; stamping scrap; dust; spent media</w:t>
            </w:r>
          </w:p>
        </w:tc>
        <w:tc>
          <w:tcPr/>
          <w:p>
            <w:pPr>
              <w:pStyle w:val="Compact"/>
            </w:pPr>
            <w:r>
              <w:t xml:space="preserve">Weekly (contract)</w:t>
            </w:r>
          </w:p>
        </w:tc>
        <w:tc>
          <w:tcPr/>
          <w:p>
            <w:pPr>
              <w:pStyle w:val="Compact"/>
            </w:pPr>
            <w:r>
              <w:t xml:space="preserve">Ground-level skip exchange at waste store</w:t>
            </w:r>
          </w:p>
        </w:tc>
        <w:tc>
          <w:tcPr/>
          <w:p>
            <w:pPr>
              <w:pStyle w:val="Compact"/>
            </w:pPr>
            <w:r>
              <w:t xml:space="preserve">Skip truck (third party)</w:t>
            </w:r>
          </w:p>
        </w:tc>
        <w:tc>
          <w:tcPr/>
          <w:p>
            <w:pPr>
              <w:pStyle w:val="Compact"/>
            </w:pPr>
            <w:r>
              <w:t xml:space="preserve">§6.3; §6.6.4</w:t>
            </w:r>
          </w:p>
        </w:tc>
      </w:tr>
    </w:tbl>
    <w:p>
      <w:pPr>
        <w:pStyle w:val="BodyText"/>
      </w:pPr>
      <w:r>
        <w:rPr>
          <w:b/>
          <w:bCs/>
        </w:rPr>
        <w:t xml:space="preserve">Dock provision.</w:t>
      </w:r>
      <w:r>
        <w:t xml:space="preserve"> </w:t>
      </w:r>
      <w:r>
        <w:t xml:space="preserve">The flows are small enough that dedicated docks per function would stand idle most of the day: loading 5 pallets takes a forklift roughly 30 minutes, and receiving occupies 2–3 mornings per week. One raised dock position with a dock leveller and dock seal — time-shared between palletised receiving (mornings) and dispatch (afternoons) — plus one ground-level roller-door bay for tube bundles and skip exchange therefore covers the duty with margin, inside the workbook’s 250 m² receiving-and-dispatch allowance (docks plus staging). Dock levellers, seals/shelters and loadhouses are standard catalogue items from South African suppliers such as Maxiflex (ASSA ABLOY family) (Maxiflex, n.d.); leveller capacity and pit details are quotation items. A second dock position should be shown as a knock-out panel in the building shell — the cheapest possible expansion provision for the 10 % growth case.</w:t>
      </w:r>
    </w:p>
    <w:p>
      <w:pPr>
        <w:pStyle w:val="BodyText"/>
      </w:pPr>
      <w:r>
        <w:rPr>
          <w:b/>
          <w:bCs/>
        </w:rPr>
        <w:t xml:space="preserve">Staging discipline inside the 250 m².</w:t>
      </w:r>
      <w:r>
        <w:t xml:space="preserve"> </w:t>
      </w:r>
      <w:r>
        <w:t xml:space="preserve">The allowance is split functionally: inbound staging (one delivery’s worth of tubes/sheets awaiting putaway), outbound staging (one day’s 5 pallets plus any small orders picked for collection), and an empty-pallet/box-return corner. Staging lanes are floor-marked and FIFO; nothing stages overnight except outbound pallets awaiting the next fleet departure.</w:t>
      </w:r>
    </w:p>
    <w:p>
      <w:pPr>
        <w:pStyle w:val="BodyText"/>
      </w:pPr>
      <w:r>
        <w:rPr>
          <w:b/>
          <w:bCs/>
        </w:rPr>
        <w:t xml:space="preserve">Site circulation and safety.</w:t>
      </w:r>
      <w:r>
        <w:t xml:space="preserve"> </w:t>
      </w:r>
      <w:r>
        <w:t xml:space="preserve">Trucks and customers must never share a yard: the brief’s evaluation criteria include pedestrian and vehicle safety, so the layout alternatives should route the DigMore fleet and supplier trucks around the industrial side of the building (one-way where possible, reversing only at the dock under marshalling), while customer collection works from the visitor parking side through a counter or hatch at the finished-goods store — customers never enter the truck yard or the factory. The 6 m tube delivery dictates the most generous geometry on site: a flatbed plus forklift side-offload needs a straight apron along the tube store wall, which fixes that store on the building perimeter.</w:t>
      </w:r>
    </w:p>
    <w:p>
      <w:pPr>
        <w:pStyle w:val="BodyText"/>
      </w:pPr>
      <w:r>
        <w:drawing>
          <wp:inline>
            <wp:extent cx="5399999" cy="4293333"/>
            <wp:effectExtent b="0" l="0" r="0" t="0"/>
            <wp:docPr descr="" title="" id="55" name="Picture"/>
            <a:graphic>
              <a:graphicData uri="http://schemas.openxmlformats.org/drawingml/2006/picture">
                <pic:pic>
                  <pic:nvPicPr>
                    <pic:cNvPr descr="C19_dock_interface.svg" id="56" name="Picture"/>
                    <pic:cNvPicPr>
                      <a:picLocks noChangeArrowheads="1" noChangeAspect="1"/>
                    </pic:cNvPicPr>
                  </pic:nvPicPr>
                  <pic:blipFill>
                    <a:blip r:embed="rId57">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5399999" cy="4293333"/>
                    </a:xfrm>
                    <a:prstGeom prst="rect">
                      <a:avLst/>
                    </a:prstGeom>
                    <a:noFill/>
                    <a:ln w="9525">
                      <a:noFill/>
                      <a:headEnd/>
                      <a:tailEnd/>
                    </a:ln>
                  </pic:spPr>
                </pic:pic>
              </a:graphicData>
            </a:graphic>
          </wp:inline>
        </w:drawing>
      </w:r>
    </w:p>
    <w:p>
      <w:pPr>
        <w:pStyle w:val="BodyText"/>
      </w:pPr>
      <w:r>
        <w:rPr>
          <w:b/>
          <w:bCs/>
        </w:rPr>
        <w:t xml:space="preserve">Figure 6.8: Receiving and dispatch flow — ground-level tube bay to cantilever racks, shared leveller dock for palletised receiving and dispatch, finished-goods flow to the DigMore fleet, small-order customer collection on the visitor side, and one-way truck circulation. (Author’s own; dock hardware adapted from Maxiflex, n.d.)</w:t>
      </w:r>
    </w:p>
    <w:bookmarkStart w:id="58" w:name="key-findings-and-layout-implications-3"/>
    <w:p>
      <w:pPr>
        <w:pStyle w:val="Heading3"/>
      </w:pPr>
      <w:r>
        <w:t xml:space="preserve">Key Findings and Layout Implications</w:t>
      </w:r>
    </w:p>
    <w:p>
      <w:pPr>
        <w:pStyle w:val="FirstParagraph"/>
      </w:pPr>
      <w:r>
        <w:t xml:space="preserve">Receiving and dispatch are deliberately lean: one shared leveller dock, one ground-level bay, a marshalled truck apron and a physically separate customer-collection front. What the analysis fixes for the layout alternatives is geographic: the tube store (and hence the whole tube line, per §6.3.1) must sit on the truck-apron perimeter; finished goods must sit beside the shared dock with the packaging cell behind it; and the customer interface must face the visitor side of the site. Because total vehicle movements are low (roughly 3–5 truck arrivals/departures per day plus collections), a single forklift can serve both ends of the building — but only if the layout keeps receiving and dispatch at the same end or provides a clear forklift spine between them. That choice (U-flow with shared dock zone versus straight-through flow with split docks) is the single biggest flow decision distinguishing the layout alternatives, and this section’s volumes argue for the U-flow: the shared dock, shared forklift and shared staging save area and one handling vehicle at no throughput cost.</w:t>
      </w:r>
    </w:p>
    <w:bookmarkEnd w:id="58"/>
    <w:bookmarkEnd w:id="59"/>
    <w:bookmarkStart w:id="71" w:name="storage-and-material-handling"/>
    <w:p>
      <w:pPr>
        <w:pStyle w:val="Heading2"/>
      </w:pPr>
      <w:r>
        <w:t xml:space="preserve">6.6 Storage and Material Handling</w:t>
      </w:r>
    </w:p>
    <w:p>
      <w:pPr>
        <w:pStyle w:val="FirstParagraph"/>
      </w:pPr>
      <w:r>
        <w:t xml:space="preserve">Storage is sized from the inventory policies of §6.1–§6.2 (two weeks raw material, four weeks finished goods, one shift of WIP) converted into rack positions and floor area at the workbook’s parameters: three racking levels, 1.2 m² pallet footprint, and a 1.6 aisle factor applied to net storage footprints. Equations 6.13 and 6.14 govern the conversion.</w:t>
      </w:r>
    </w:p>
    <w:p>
      <w:pPr>
        <w:pStyle w:val="BodyText"/>
      </w:pPr>
      <w:r>
        <w:rPr>
          <w:b/>
          <w:bCs/>
        </w:rPr>
        <w:t xml:space="preserve">Equation 6.13: Storage positions</w:t>
      </w:r>
    </w:p>
    <w:p>
      <w:pPr>
        <w:pStyle w:val="BodyText"/>
      </w:pPr>
      <m:oMathPara>
        <m:oMathParaPr>
          <m:jc m:val="center"/>
        </m:oMathParaPr>
        <m:oMath>
          <m:r>
            <m:rPr>
              <m:nor/>
              <m:sty m:val="p"/>
            </m:rPr>
            <m:t>Floor positions</m:t>
          </m:r>
          <m:r>
            <m:rPr>
              <m:sty m:val="p"/>
            </m:rPr>
            <m:t>=</m:t>
          </m:r>
          <m:d>
            <m:dPr>
              <m:begChr m:val="⌈"/>
              <m:sepChr m:val=""/>
              <m:endChr m:val="⌉"/>
              <m:grow/>
            </m:dPr>
            <m:e>
              <m:f>
                <m:fPr>
                  <m:type m:val="bar"/>
                </m:fPr>
                <m:num>
                  <m:r>
                    <m:rPr>
                      <m:nor/>
                      <m:sty m:val="p"/>
                    </m:rPr>
                    <m:t>Unit loads</m:t>
                  </m:r>
                </m:num>
                <m:den>
                  <m:r>
                    <m:rPr>
                      <m:nor/>
                      <m:sty m:val="p"/>
                    </m:rPr>
                    <m:t>Storage levels</m:t>
                  </m:r>
                </m:den>
              </m:f>
            </m:e>
          </m:d>
          <m:r>
            <m:t> </m:t>
          </m:r>
          <m:r>
            <m:rPr>
              <m:nor/>
              <m:sty m:val="p"/>
            </m:rPr>
            <m:t>e.g. finished goods: </m:t>
          </m:r>
          <m:d>
            <m:dPr>
              <m:begChr m:val="⌈"/>
              <m:sepChr m:val=""/>
              <m:endChr m:val="⌉"/>
              <m:grow/>
            </m:dPr>
            <m:e>
              <m:f>
                <m:fPr>
                  <m:type m:val="bar"/>
                </m:fPr>
                <m:num>
                  <m:r>
                    <m:t>91</m:t>
                  </m:r>
                </m:num>
                <m:den>
                  <m:r>
                    <m:t>3</m:t>
                  </m:r>
                </m:den>
              </m:f>
            </m:e>
          </m:d>
          <m:r>
            <m:rPr>
              <m:sty m:val="p"/>
            </m:rPr>
            <m:t>=</m:t>
          </m:r>
          <m:r>
            <m:t>31</m:t>
          </m:r>
          <m:r>
            <m:t> </m:t>
          </m:r>
          <m:r>
            <m:rPr>
              <m:nor/>
              <m:sty m:val="p"/>
            </m:rPr>
            <m:t>positions</m:t>
          </m:r>
        </m:oMath>
      </m:oMathPara>
    </w:p>
    <w:p>
      <w:pPr>
        <w:pStyle w:val="FirstParagraph"/>
      </w:pPr>
      <w:r>
        <w:rPr>
          <w:b/>
          <w:bCs/>
        </w:rPr>
        <w:t xml:space="preserve">Equation 6.14: Storage floor area</w:t>
      </w:r>
    </w:p>
    <w:p>
      <w:pPr>
        <w:pStyle w:val="BodyText"/>
      </w:pPr>
      <m:oMathPara>
        <m:oMathParaPr>
          <m:jc m:val="center"/>
        </m:oMathParaPr>
        <m:oMath>
          <m:sSub>
            <m:e>
              <m:r>
                <m:t>A</m:t>
              </m:r>
            </m:e>
            <m:sub>
              <m:r>
                <m:rPr>
                  <m:nor/>
                  <m:sty m:val="p"/>
                </m:rPr>
                <m:t>store</m:t>
              </m:r>
            </m:sub>
          </m:sSub>
          <m:r>
            <m:rPr>
              <m:sty m:val="p"/>
            </m:rPr>
            <m:t>=</m:t>
          </m:r>
          <m:r>
            <m:rPr>
              <m:nor/>
              <m:sty m:val="p"/>
            </m:rPr>
            <m:t>Positions</m:t>
          </m:r>
          <m:r>
            <m:rPr>
              <m:sty m:val="p"/>
            </m:rPr>
            <m:t>×</m:t>
          </m:r>
          <m:r>
            <m:rPr>
              <m:nor/>
              <m:sty m:val="p"/>
            </m:rPr>
            <m:t>Footprint</m:t>
          </m:r>
          <m:r>
            <m:rPr>
              <m:sty m:val="p"/>
            </m:rPr>
            <m:t>×</m:t>
          </m:r>
          <m:r>
            <m:rPr>
              <m:nor/>
              <m:sty m:val="p"/>
            </m:rPr>
            <m:t>Aisle factor</m:t>
          </m:r>
          <m:r>
            <m:t> </m:t>
          </m:r>
          <m:r>
            <m:rPr>
              <m:nor/>
              <m:sty m:val="p"/>
            </m:rPr>
            <m:t>e.g. finished goods: </m:t>
          </m:r>
          <m:r>
            <m:t>31</m:t>
          </m:r>
          <m:r>
            <m:rPr>
              <m:sty m:val="p"/>
            </m:rPr>
            <m:t>×</m:t>
          </m:r>
          <m:r>
            <m:t>1.2</m:t>
          </m:r>
          <m:r>
            <m:rPr>
              <m:sty m:val="p"/>
            </m:rPr>
            <m:t>×</m:t>
          </m:r>
          <m:r>
            <m:t>1.6</m:t>
          </m:r>
          <m:r>
            <m:rPr>
              <m:sty m:val="p"/>
            </m:rPr>
            <m:t>=</m:t>
          </m:r>
          <m:r>
            <m:t>59.5</m:t>
          </m:r>
          <m:r>
            <m:t> </m:t>
          </m:r>
          <m:sSup>
            <m:e>
              <m:r>
                <m:rPr>
                  <m:nor/>
                  <m:sty m:val="p"/>
                </m:rPr>
                <m:t>m</m:t>
              </m:r>
            </m:e>
            <m:sup>
              <m:r>
                <m:t>2</m:t>
              </m:r>
            </m:sup>
          </m:sSup>
        </m:oMath>
      </m:oMathPara>
    </w:p>
    <w:bookmarkStart w:id="64" w:name="raw-material-storage"/>
    <w:p>
      <w:pPr>
        <w:pStyle w:val="Heading3"/>
      </w:pPr>
      <w:r>
        <w:t xml:space="preserve">6.6.1 Raw-material storage</w:t>
      </w:r>
    </w:p>
    <w:p>
      <w:pPr>
        <w:pStyle w:val="FirstParagraph"/>
      </w:pPr>
      <w:r>
        <w:t xml:space="preserve">The two-week tube stock (990 × 6 m tubes, §6.2) is stored horizontally on four single-entry cantilever racks (250 tubes per rack, 6 m² footprint each), giving 4 × 6 × 1.6 = 38.4 m². Cantilever racking is the correct class for long loads because arms present the full tube length to the forklift without uprights in the way; it is a standard South African catalogue item (Krost, n.d.; arm capacity for the tube bundle weight per quotation). The racks stand against the perimeter wall at the ground-level tube bay, arms facing a 3.5 m forklift aisle that doubles as the saw’s bar-magazine feed lane — material is putaway and consumed from the same face, eliminating a transfer. The 240-sheet stock stores as two floor stacks beside the presses (2 × 3.125 m² × 1.6 = 10 m²); at ~21 kg per sheet the stacks are forklift-placed and operator-drawn from the top (stack stability and maximum height to be confirmed; an A-frame sheet rack is the upgrade if stacking proves unsafe). Bags and rivets store on shelving at their points of use (§6.3.17, §6.3.11).</w:t>
      </w:r>
    </w:p>
    <w:p>
      <w:pPr>
        <w:pStyle w:val="BodyText"/>
      </w:pPr>
      <w:r>
        <w:drawing>
          <wp:inline>
            <wp:extent cx="5399999" cy="3829362"/>
            <wp:effectExtent b="0" l="0" r="0" t="0"/>
            <wp:docPr descr="" title="" id="61" name="Picture"/>
            <a:graphic>
              <a:graphicData uri="http://schemas.openxmlformats.org/drawingml/2006/picture">
                <pic:pic>
                  <pic:nvPicPr>
                    <pic:cNvPr descr="C18_rm_storage.svg" id="62" name="Picture"/>
                    <pic:cNvPicPr>
                      <a:picLocks noChangeArrowheads="1" noChangeAspect="1"/>
                    </pic:cNvPicPr>
                  </pic:nvPicPr>
                  <pic:blipFill>
                    <a:blip r:embed="rId63">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5399999" cy="3829362"/>
                    </a:xfrm>
                    <a:prstGeom prst="rect">
                      <a:avLst/>
                    </a:prstGeom>
                    <a:noFill/>
                    <a:ln w="9525">
                      <a:noFill/>
                      <a:headEnd/>
                      <a:tailEnd/>
                    </a:ln>
                  </pic:spPr>
                </pic:pic>
              </a:graphicData>
            </a:graphic>
          </wp:inline>
        </w:drawing>
      </w:r>
    </w:p>
    <w:p>
      <w:pPr>
        <w:pStyle w:val="BodyText"/>
      </w:pPr>
      <w:r>
        <w:rPr>
          <w:b/>
          <w:bCs/>
        </w:rPr>
        <w:t xml:space="preserve">Figure 6.9: Raw-material storage concept — four cantilever racks on the perimeter wall with a shared putaway/consumption aisle feeding the saw bar magazine, and sheet stacks beside the press cell. (Author’s own; rack geometry adapted from Krost Shelving and Racking, n.d.)</w:t>
      </w:r>
    </w:p>
    <w:bookmarkEnd w:id="64"/>
    <w:bookmarkStart w:id="65" w:name="work-in-progress"/>
    <w:p>
      <w:pPr>
        <w:pStyle w:val="Heading3"/>
      </w:pPr>
      <w:r>
        <w:t xml:space="preserve">6.6.2 Work-in-progress</w:t>
      </w:r>
    </w:p>
    <w:p>
      <w:pPr>
        <w:pStyle w:val="FirstParagraph"/>
      </w:pPr>
      <w:r>
        <w:t xml:space="preserve">The workbook provides a one-shift aggregate WIP buffer of 1 819 shovel-equivalents (≈ 5 pallets, 2 floor positions, 3.84 m²). Distributed against the §6.3 analysis, however, WIP concentrates at three points: ahead of the sharpening bank, ahead of the knurling bank, and — dominantly — on both sides of the batch oven, where a full day of subassemblies accumulates (§6.3.12). The day-buffers at the oven alone occupy roughly 10 pallet-equivalent positions, so the 3.84 m² line item understates distributed WIP floor; this is carried as a correction to §6.8 [VERIFY against final buffer policy] rather than a change to the workbook. WIP between ordinary stations travels in wheeled bins and tube carts and occupies workstation space already counted in the 6 m² station definition.</w:t>
      </w:r>
    </w:p>
    <w:bookmarkEnd w:id="65"/>
    <w:bookmarkStart w:id="66" w:name="finished-goods-storage"/>
    <w:p>
      <w:pPr>
        <w:pStyle w:val="Heading3"/>
      </w:pPr>
      <w:r>
        <w:t xml:space="preserve">6.6.3 Finished-goods storage</w:t>
      </w:r>
    </w:p>
    <w:p>
      <w:pPr>
        <w:pStyle w:val="FirstParagraph"/>
      </w:pPr>
      <w:r>
        <w:t xml:space="preserve">Four weeks of finished goods (36 380 shovels = 91 pallets) stores in three-level selective pallet racking: 31 floor positions, 59.5 m² (Equations 6.13–6.14). Selective racking is chosen deliberately over denser drive-in racking: with a single SKU, drive-in looks attractive, but it enforces LIFO — incompatible with a four-week cover that must turn FIFO to keep stock fresh and traceable — and it couples all stock behind one face. Three-level selective racking gives every pallet direct access, natural FIFO discipline (putaway one end, pick the other), and uses standard components from the same South African supplier as the cantilever racks (Krost, n.d.; bay load ratings [VERIFY]). Two single-deep rows facing one 3.0–3.5 m forklift aisle, with the small-order pick face at the customer-collection end of the row, complete the store.</w:t>
      </w:r>
    </w:p>
    <w:p>
      <w:pPr>
        <w:pStyle w:val="BodyText"/>
      </w:pPr>
      <w:r>
        <w:rPr>
          <w:b/>
          <w:bCs/>
        </w:rPr>
        <w:t xml:space="preserve">Figure 6.10: Finished-goods storage concept — two rows of three-level selective racking on a shared forklift aisle, FIFO flow from packaging putaway to the dispatch/collection pick face. (Author’s own; rack geometry adapted from Krost Shelving and Racking, n.d.)</w:t>
      </w:r>
    </w:p>
    <w:p>
      <w:pPr>
        <w:pStyle w:val="BodyText"/>
      </w:pPr>
      <w:r>
        <w:rPr>
          <w:i/>
          <w:iCs/>
        </w:rPr>
        <w:t xml:space="preserve">(Detailed layout drawing: Appendix C, Figure C.17.)</w:t>
      </w:r>
    </w:p>
    <w:bookmarkEnd w:id="66"/>
    <w:bookmarkStart w:id="67" w:name="waste-and-scrap-handling"/>
    <w:p>
      <w:pPr>
        <w:pStyle w:val="Heading3"/>
      </w:pPr>
      <w:r>
        <w:t xml:space="preserve">6.6.4 Waste and scrap handling</w:t>
      </w:r>
    </w:p>
    <w:p>
      <w:pPr>
        <w:pStyle w:val="FirstParagraph"/>
      </w:pPr>
      <w:r>
        <w:t xml:space="preserve">The 40 m² waste store consolidates four segregated streams: aluminium offcut/skeleton scrap from cutting and stamping (clean, saleable — stored in exchange skips); combustible aluminium dust from the finishing-zone extraction (sealed drums, separate from everything else, per §6.3.9); spent blast media (sealed containers); and general/packaging waste. The store sits at the ground-level bay for skip exchange, on the same perimeter as — but downstream of — the tube store, so scrap-out and tube-in share the apron without crossing the dock. Clean aluminium scrap has buy-back value; the layout should make the scrap route as deliberate as the product route since roughly 5 % of all sheet and tube mass leaves through it.</w:t>
      </w:r>
    </w:p>
    <w:bookmarkEnd w:id="67"/>
    <w:bookmarkStart w:id="69" w:name="X3e33aac3107fd7186d73cf322e421116252503f"/>
    <w:p>
      <w:pPr>
        <w:pStyle w:val="Heading3"/>
      </w:pPr>
      <w:r>
        <w:t xml:space="preserve">6.6.5 Material-handling system and operator movement</w:t>
      </w:r>
    </w:p>
    <w:p>
      <w:pPr>
        <w:pStyle w:val="FirstParagraph"/>
      </w:pPr>
      <w:r>
        <w:t xml:space="preserve">The material-handling design follows one rule taken from the capacity analysis:</w:t>
      </w:r>
      <w:r>
        <w:t xml:space="preserve"> </w:t>
      </w:r>
      <w:r>
        <w:rPr>
          <w:b/>
          <w:bCs/>
        </w:rPr>
        <w:t xml:space="preserve">operators at stations above 90 % utilisation never leave their stations to fetch or deliver material.</w:t>
      </w:r>
      <w:r>
        <w:t xml:space="preserve"> </w:t>
      </w:r>
      <w:r>
        <w:t xml:space="preserve">At 94.7 % utilisation a station has 25 minutes of slack per shift; an operator who self-fetches for even five minutes per hour destroys ~8 % of capacity and the daily target is missed. Material movement is therefore performed by the five dedicated material handlers (Personnel sheet) operating a</w:t>
      </w:r>
      <w:r>
        <w:t xml:space="preserve"> </w:t>
      </w:r>
      <w:r>
        <w:rPr>
          <w:b/>
          <w:bCs/>
        </w:rPr>
        <w:t xml:space="preserve">fixed-route milk-run</w:t>
      </w:r>
      <w:r>
        <w:t xml:space="preserve">: a tugger or platform trolley circuit that visits every station on a 60-minute cycle, delivering full bins kanban-style to the station inbound side and removing outbound bins and scrap. The press cell (13–33 % utilisation) is the exception — its operators may self-deliver during idle time, which is why it needs no handler coverage and can sit furthest from the milk-run spine. The route runs: raw stores → tube line → press cell → finishing bank → riveting → oven staging → blast/polish → powder-coat hanging station → assembly → packaging → finished goods, and its path is the layout’s primary internal aisle (2.0 m trolley aisle minimum, 3.0–3.5 m where the forklift shares it, with separated pedestrian walkways per the brief’s safety criterion).</w:t>
      </w:r>
    </w:p>
    <w:p>
      <w:pPr>
        <w:pStyle w:val="BodyText"/>
      </w:pPr>
      <w:r>
        <w:rPr>
          <w:b/>
          <w:bCs/>
        </w:rPr>
        <w:t xml:space="preserve">Table 6.29: Storage sizing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Store</w:t>
            </w:r>
          </w:p>
        </w:tc>
        <w:tc>
          <w:tcPr/>
          <w:p>
            <w:pPr>
              <w:pStyle w:val="Compact"/>
            </w:pPr>
            <w:r>
              <w:t xml:space="preserve">Unit loads</w:t>
            </w:r>
          </w:p>
        </w:tc>
        <w:tc>
          <w:tcPr/>
          <w:p>
            <w:pPr>
              <w:pStyle w:val="Compact"/>
            </w:pPr>
            <w:r>
              <w:t xml:space="preserve">Floor positions / racks</w:t>
            </w:r>
          </w:p>
        </w:tc>
        <w:tc>
          <w:tcPr/>
          <w:p>
            <w:pPr>
              <w:pStyle w:val="Compact"/>
            </w:pPr>
            <w:r>
              <w:t xml:space="preserve">Floor area (m²)</w:t>
            </w:r>
          </w:p>
        </w:tc>
        <w:tc>
          <w:tcPr/>
          <w:p>
            <w:pPr>
              <w:pStyle w:val="Compact"/>
            </w:pPr>
            <w:r>
              <w:t xml:space="preserve">Basis / Source</w:t>
            </w:r>
          </w:p>
        </w:tc>
      </w:tr>
      <w:tr>
        <w:tc>
          <w:tcPr/>
          <w:p>
            <w:pPr>
              <w:pStyle w:val="Compact"/>
            </w:pPr>
            <w:r>
              <w:t xml:space="preserve">Raw tube (2 wk)</w:t>
            </w:r>
          </w:p>
        </w:tc>
        <w:tc>
          <w:tcPr/>
          <w:p>
            <w:pPr>
              <w:pStyle w:val="Compact"/>
            </w:pPr>
            <w:r>
              <w:t xml:space="preserve">990 tubes</w:t>
            </w:r>
          </w:p>
        </w:tc>
        <w:tc>
          <w:tcPr/>
          <w:p>
            <w:pPr>
              <w:pStyle w:val="Compact"/>
            </w:pPr>
            <w:r>
              <w:t xml:space="preserve">4 cantilever racks</w:t>
            </w:r>
          </w:p>
        </w:tc>
        <w:tc>
          <w:tcPr/>
          <w:p>
            <w:pPr>
              <w:pStyle w:val="Compact"/>
            </w:pPr>
            <w:r>
              <w:t xml:space="preserve">38.4</w:t>
            </w:r>
          </w:p>
        </w:tc>
        <w:tc>
          <w:tcPr/>
          <w:p>
            <w:pPr>
              <w:pStyle w:val="Compact"/>
            </w:pPr>
            <w:r>
              <w:t xml:space="preserve">§6.2; Storage_3D; Eq 6.14</w:t>
            </w:r>
          </w:p>
        </w:tc>
      </w:tr>
      <w:tr>
        <w:tc>
          <w:tcPr/>
          <w:p>
            <w:pPr>
              <w:pStyle w:val="Compact"/>
            </w:pPr>
            <w:r>
              <w:t xml:space="preserve">Raw sheet (2 wk)</w:t>
            </w:r>
          </w:p>
        </w:tc>
        <w:tc>
          <w:tcPr/>
          <w:p>
            <w:pPr>
              <w:pStyle w:val="Compact"/>
            </w:pPr>
            <w:r>
              <w:t xml:space="preserve">240 sheets</w:t>
            </w:r>
          </w:p>
        </w:tc>
        <w:tc>
          <w:tcPr/>
          <w:p>
            <w:pPr>
              <w:pStyle w:val="Compact"/>
            </w:pPr>
            <w:r>
              <w:t xml:space="preserve">2 floor stacks</w:t>
            </w:r>
          </w:p>
        </w:tc>
        <w:tc>
          <w:tcPr/>
          <w:p>
            <w:pPr>
              <w:pStyle w:val="Compact"/>
            </w:pPr>
            <w:r>
              <w:t xml:space="preserve">10.0</w:t>
            </w:r>
          </w:p>
        </w:tc>
        <w:tc>
          <w:tcPr/>
          <w:p>
            <w:pPr>
              <w:pStyle w:val="Compact"/>
            </w:pPr>
            <w:r>
              <w:t xml:space="preserve">Storage_3D</w:t>
            </w:r>
          </w:p>
        </w:tc>
      </w:tr>
      <w:tr>
        <w:tc>
          <w:tcPr/>
          <w:p>
            <w:pPr>
              <w:pStyle w:val="Compact"/>
            </w:pPr>
            <w:r>
              <w:t xml:space="preserve">WIP (aggregate, 1 shift)</w:t>
            </w:r>
          </w:p>
        </w:tc>
        <w:tc>
          <w:tcPr/>
          <w:p>
            <w:pPr>
              <w:pStyle w:val="Compact"/>
            </w:pPr>
            <w:r>
              <w:t xml:space="preserve">5 pallet-equiv</w:t>
            </w:r>
          </w:p>
        </w:tc>
        <w:tc>
          <w:tcPr/>
          <w:p>
            <w:pPr>
              <w:pStyle w:val="Compact"/>
            </w:pPr>
            <w:r>
              <w:t xml:space="preserve">2 positions</w:t>
            </w:r>
          </w:p>
        </w:tc>
        <w:tc>
          <w:tcPr/>
          <w:p>
            <w:pPr>
              <w:pStyle w:val="Compact"/>
            </w:pPr>
            <w:r>
              <w:t xml:space="preserve">3.8</w:t>
            </w:r>
          </w:p>
        </w:tc>
        <w:tc>
          <w:tcPr/>
          <w:p>
            <w:pPr>
              <w:pStyle w:val="Compact"/>
            </w:pPr>
            <w:r>
              <w:t xml:space="preserve">Storage_3D; understates distributed buffers — see §6.6.2 [VERIFY]</w:t>
            </w:r>
          </w:p>
        </w:tc>
      </w:tr>
      <w:tr>
        <w:tc>
          <w:tcPr/>
          <w:p>
            <w:pPr>
              <w:pStyle w:val="Compact"/>
            </w:pPr>
            <w:r>
              <w:t xml:space="preserve">Finished goods (4 wk)</w:t>
            </w:r>
          </w:p>
        </w:tc>
        <w:tc>
          <w:tcPr/>
          <w:p>
            <w:pPr>
              <w:pStyle w:val="Compact"/>
            </w:pPr>
            <w:r>
              <w:t xml:space="preserve">91 pallets</w:t>
            </w:r>
          </w:p>
        </w:tc>
        <w:tc>
          <w:tcPr/>
          <w:p>
            <w:pPr>
              <w:pStyle w:val="Compact"/>
            </w:pPr>
            <w:r>
              <w:t xml:space="preserve">31 positions (3 levels)</w:t>
            </w:r>
          </w:p>
        </w:tc>
        <w:tc>
          <w:tcPr/>
          <w:p>
            <w:pPr>
              <w:pStyle w:val="Compact"/>
            </w:pPr>
            <w:r>
              <w:t xml:space="preserve">59.5</w:t>
            </w:r>
          </w:p>
        </w:tc>
        <w:tc>
          <w:tcPr/>
          <w:p>
            <w:pPr>
              <w:pStyle w:val="Compact"/>
            </w:pPr>
            <w:r>
              <w:t xml:space="preserve">Equations 6.13–6.14</w:t>
            </w:r>
          </w:p>
        </w:tc>
      </w:tr>
      <w:tr>
        <w:tc>
          <w:tcPr/>
          <w:p>
            <w:pPr>
              <w:pStyle w:val="Compact"/>
            </w:pPr>
            <w:r>
              <w:t xml:space="preserve">Scrap / waste</w:t>
            </w:r>
          </w:p>
        </w:tc>
        <w:tc>
          <w:tcPr/>
          <w:p>
            <w:pPr>
              <w:pStyle w:val="Compact"/>
            </w:pPr>
            <w:r>
              <w:t xml:space="preserve">4 segregated streams</w:t>
            </w:r>
          </w:p>
        </w:tc>
        <w:tc>
          <w:tcPr/>
          <w:p>
            <w:pPr>
              <w:pStyle w:val="Compact"/>
            </w:pPr>
            <w:r>
              <w:t xml:space="preserve">skips + drums</w:t>
            </w:r>
          </w:p>
        </w:tc>
        <w:tc>
          <w:tcPr/>
          <w:p>
            <w:pPr>
              <w:pStyle w:val="Compact"/>
            </w:pPr>
            <w:r>
              <w:t xml:space="preserve">40.0</w:t>
            </w:r>
          </w:p>
        </w:tc>
        <w:tc>
          <w:tcPr/>
          <w:p>
            <w:pPr>
              <w:pStyle w:val="Compact"/>
            </w:pPr>
            <w:r>
              <w:t xml:space="preserve">Inputs (assumption)</w:t>
            </w:r>
          </w:p>
        </w:tc>
      </w:tr>
      <w:tr>
        <w:tc>
          <w:tcPr/>
          <w:p>
            <w:pPr>
              <w:pStyle w:val="Compact"/>
            </w:pPr>
            <w:r>
              <w:rPr>
                <w:b/>
                <w:bCs/>
              </w:rPr>
              <w:t xml:space="preserve">Total storage area</w:t>
            </w:r>
          </w:p>
        </w:tc>
        <w:tc>
          <w:tcPr/>
          <w:p>
            <w:pPr>
              <w:pStyle w:val="Compact"/>
            </w:pPr>
          </w:p>
        </w:tc>
        <w:tc>
          <w:tcPr/>
          <w:p>
            <w:pPr>
              <w:pStyle w:val="Compact"/>
            </w:pPr>
          </w:p>
        </w:tc>
        <w:tc>
          <w:tcPr/>
          <w:p>
            <w:pPr>
              <w:pStyle w:val="Compact"/>
            </w:pPr>
            <w:r>
              <w:rPr>
                <w:b/>
                <w:bCs/>
              </w:rPr>
              <w:t xml:space="preserve">151.8</w:t>
            </w:r>
          </w:p>
        </w:tc>
        <w:tc>
          <w:tcPr/>
          <w:p>
            <w:pPr>
              <w:pStyle w:val="Compact"/>
            </w:pPr>
            <w:r>
              <w:t xml:space="preserve">Storage_3D</w:t>
            </w:r>
          </w:p>
        </w:tc>
      </w:tr>
    </w:tbl>
    <w:p>
      <w:pPr>
        <w:pStyle w:val="BodyText"/>
      </w:pPr>
      <w:r>
        <w:rPr>
          <w:b/>
          <w:bCs/>
        </w:rPr>
        <w:t xml:space="preserve">Table 6.30: Material-handling equipment schedule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Equipment</w:t>
            </w:r>
          </w:p>
        </w:tc>
        <w:tc>
          <w:tcPr/>
          <w:p>
            <w:pPr>
              <w:pStyle w:val="Compact"/>
            </w:pPr>
            <w:r>
              <w:t xml:space="preserve">Qty</w:t>
            </w:r>
          </w:p>
        </w:tc>
        <w:tc>
          <w:tcPr/>
          <w:p>
            <w:pPr>
              <w:pStyle w:val="Compact"/>
            </w:pPr>
            <w:r>
              <w:t xml:space="preserve">Duty</w:t>
            </w:r>
          </w:p>
        </w:tc>
        <w:tc>
          <w:tcPr/>
          <w:p>
            <w:pPr>
              <w:pStyle w:val="Compact"/>
            </w:pPr>
            <w:r>
              <w:t xml:space="preserve">Market example (sizing only)</w:t>
            </w:r>
          </w:p>
        </w:tc>
        <w:tc>
          <w:tcPr/>
          <w:p>
            <w:pPr>
              <w:pStyle w:val="Compact"/>
            </w:pPr>
            <w:r>
              <w:t xml:space="preserve">Basis / Source</w:t>
            </w:r>
          </w:p>
        </w:tc>
      </w:tr>
      <w:tr>
        <w:tc>
          <w:tcPr/>
          <w:p>
            <w:pPr>
              <w:pStyle w:val="Compact"/>
            </w:pPr>
            <w:r>
              <w:t xml:space="preserve">Electric counterbalance forklift (~2.5 t)</w:t>
            </w:r>
          </w:p>
        </w:tc>
        <w:tc>
          <w:tcPr/>
          <w:p>
            <w:pPr>
              <w:pStyle w:val="Compact"/>
            </w:pPr>
            <w:r>
              <w:t xml:space="preserve">1</w:t>
            </w:r>
          </w:p>
        </w:tc>
        <w:tc>
          <w:tcPr/>
          <w:p>
            <w:pPr>
              <w:pStyle w:val="Compact"/>
            </w:pPr>
            <w:r>
              <w:t xml:space="preserve">Tube bundles (long-load fork spacing), pallet putaway/retrieval, dock work</w:t>
            </w:r>
          </w:p>
        </w:tc>
        <w:tc>
          <w:tcPr/>
          <w:p>
            <w:pPr>
              <w:pStyle w:val="Compact"/>
            </w:pPr>
            <w:r>
              <w:t xml:space="preserve">Toyota electric counterbalance via SA sole distributor (</w:t>
            </w:r>
            <w:hyperlink r:id="rId68">
              <w:r>
                <w:rPr>
                  <w:rStyle w:val="Hyperlink"/>
                </w:rPr>
                <w:t xml:space="preserve">Toyota Forklift SA</w:t>
              </w:r>
            </w:hyperlink>
            <w:r>
              <w:t xml:space="preserve">, accessed 10 June 2026; model/capacity per dealer datasheet)</w:t>
            </w:r>
          </w:p>
        </w:tc>
        <w:tc>
          <w:tcPr/>
          <w:p>
            <w:pPr>
              <w:pStyle w:val="Compact"/>
            </w:pPr>
            <w:r>
              <w:t xml:space="preserve">Shared across receiving, stores, dispatch — viable at 3–5 truck movements/day</w:t>
            </w:r>
          </w:p>
        </w:tc>
      </w:tr>
      <w:tr>
        <w:tc>
          <w:tcPr/>
          <w:p>
            <w:pPr>
              <w:pStyle w:val="Compact"/>
            </w:pPr>
            <w:r>
              <w:t xml:space="preserve">Powered pallet truck</w:t>
            </w:r>
          </w:p>
        </w:tc>
        <w:tc>
          <w:tcPr/>
          <w:p>
            <w:pPr>
              <w:pStyle w:val="Compact"/>
            </w:pPr>
            <w:r>
              <w:t xml:space="preserve">1</w:t>
            </w:r>
          </w:p>
        </w:tc>
        <w:tc>
          <w:tcPr/>
          <w:p>
            <w:pPr>
              <w:pStyle w:val="Compact"/>
            </w:pPr>
            <w:r>
              <w:t xml:space="preserve">Pallet moves packaging → FG racking → dock</w:t>
            </w:r>
          </w:p>
        </w:tc>
        <w:tc>
          <w:tcPr/>
          <w:p>
            <w:pPr>
              <w:pStyle w:val="Compact"/>
            </w:pPr>
            <w:r>
              <w:t xml:space="preserve">BT warehouse equipment range, same distributor</w:t>
            </w:r>
          </w:p>
        </w:tc>
        <w:tc>
          <w:tcPr/>
          <w:p>
            <w:pPr>
              <w:pStyle w:val="Compact"/>
            </w:pPr>
            <w:r>
              <w:t xml:space="preserve">5 pallets/day + staging shuffles</w:t>
            </w:r>
          </w:p>
        </w:tc>
      </w:tr>
      <w:tr>
        <w:tc>
          <w:tcPr/>
          <w:p>
            <w:pPr>
              <w:pStyle w:val="Compact"/>
            </w:pPr>
            <w:r>
              <w:t xml:space="preserve">Hand pallet trucks</w:t>
            </w:r>
          </w:p>
        </w:tc>
        <w:tc>
          <w:tcPr/>
          <w:p>
            <w:pPr>
              <w:pStyle w:val="Compact"/>
            </w:pPr>
            <w:r>
              <w:t xml:space="preserve">2</w:t>
            </w:r>
          </w:p>
        </w:tc>
        <w:tc>
          <w:tcPr/>
          <w:p>
            <w:pPr>
              <w:pStyle w:val="Compact"/>
            </w:pPr>
            <w:r>
              <w:t xml:space="preserve">Small-order picks, staging, general</w:t>
            </w:r>
          </w:p>
        </w:tc>
        <w:tc>
          <w:tcPr/>
          <w:p>
            <w:pPr>
              <w:pStyle w:val="Compact"/>
            </w:pPr>
            <w:r>
              <w:t xml:space="preserve">Standard catalogue item</w:t>
            </w:r>
          </w:p>
        </w:tc>
        <w:tc>
          <w:tcPr/>
          <w:p>
            <w:pPr>
              <w:pStyle w:val="Compact"/>
            </w:pPr>
            <w:r>
              <w:t xml:space="preserve">Low cost, no licence</w:t>
            </w:r>
          </w:p>
        </w:tc>
      </w:tr>
      <w:tr>
        <w:tc>
          <w:tcPr/>
          <w:p>
            <w:pPr>
              <w:pStyle w:val="Compact"/>
            </w:pPr>
            <w:r>
              <w:t xml:space="preserve">Tugger / platform trolleys (milk-run)</w:t>
            </w:r>
          </w:p>
        </w:tc>
        <w:tc>
          <w:tcPr/>
          <w:p>
            <w:pPr>
              <w:pStyle w:val="Compact"/>
            </w:pPr>
            <w:r>
              <w:t xml:space="preserve">1 + 6 bins-on-wheels sets</w:t>
            </w:r>
          </w:p>
        </w:tc>
        <w:tc>
          <w:tcPr/>
          <w:p>
            <w:pPr>
              <w:pStyle w:val="Compact"/>
            </w:pPr>
            <w:r>
              <w:t xml:space="preserve">Hourly fixed-route line feeding</w:t>
            </w:r>
          </w:p>
        </w:tc>
        <w:tc>
          <w:tcPr/>
          <w:p>
            <w:pPr>
              <w:pStyle w:val="Compact"/>
            </w:pPr>
            <w:r>
              <w:t xml:space="preserve">Fabricated/catalogue trolleys; tube carts as fabricated items (drawings required)</w:t>
            </w:r>
          </w:p>
        </w:tc>
        <w:tc>
          <w:tcPr/>
          <w:p>
            <w:pPr>
              <w:pStyle w:val="Compact"/>
            </w:pPr>
            <w:r>
              <w:t xml:space="preserve">§6.6.5</w:t>
            </w:r>
          </w:p>
        </w:tc>
      </w:tr>
      <w:tr>
        <w:tc>
          <w:tcPr/>
          <w:p>
            <w:pPr>
              <w:pStyle w:val="Compact"/>
            </w:pPr>
            <w:r>
              <w:t xml:space="preserve">Tube carts</w:t>
            </w:r>
          </w:p>
        </w:tc>
        <w:tc>
          <w:tcPr/>
          <w:p>
            <w:pPr>
              <w:pStyle w:val="Compact"/>
            </w:pPr>
            <w:r>
              <w:t xml:space="preserve">4</w:t>
            </w:r>
          </w:p>
        </w:tc>
        <w:tc>
          <w:tcPr/>
          <w:p>
            <w:pPr>
              <w:pStyle w:val="Compact"/>
            </w:pPr>
            <w:r>
              <w:t xml:space="preserve">Cut sections and pipe moves within tube line</w:t>
            </w:r>
          </w:p>
        </w:tc>
        <w:tc>
          <w:tcPr/>
          <w:p>
            <w:pPr>
              <w:pStyle w:val="Compact"/>
            </w:pPr>
            <w:r>
              <w:t xml:space="preserve">Fabricated, multi-tier with end stops</w:t>
            </w:r>
          </w:p>
        </w:tc>
        <w:tc>
          <w:tcPr/>
          <w:p>
            <w:pPr>
              <w:pStyle w:val="Compact"/>
            </w:pPr>
            <w:r>
              <w:t xml:space="preserve">§6.3.1–§6.3.4</w:t>
            </w:r>
          </w:p>
        </w:tc>
      </w:tr>
      <w:tr>
        <w:tc>
          <w:tcPr/>
          <w:p>
            <w:pPr>
              <w:pStyle w:val="Compact"/>
            </w:pPr>
            <w:r>
              <w:t xml:space="preserve">Kanban bins + shelving</w:t>
            </w:r>
          </w:p>
        </w:tc>
        <w:tc>
          <w:tcPr/>
          <w:p>
            <w:pPr>
              <w:pStyle w:val="Compact"/>
            </w:pPr>
            <w:r>
              <w:t xml:space="preserve">per station</w:t>
            </w:r>
          </w:p>
        </w:tc>
        <w:tc>
          <w:tcPr/>
          <w:p>
            <w:pPr>
              <w:pStyle w:val="Compact"/>
            </w:pPr>
            <w:r>
              <w:t xml:space="preserve">Two-bin replenishment at every station</w:t>
            </w:r>
          </w:p>
        </w:tc>
        <w:tc>
          <w:tcPr/>
          <w:p>
            <w:pPr>
              <w:pStyle w:val="Compact"/>
            </w:pPr>
            <w:r>
              <w:t xml:space="preserve">Standard plastic bins</w:t>
            </w:r>
          </w:p>
        </w:tc>
        <w:tc>
          <w:tcPr/>
          <w:p>
            <w:pPr>
              <w:pStyle w:val="Compact"/>
            </w:pPr>
            <w:r>
              <w:t xml:space="preserve">§6.6.5</w:t>
            </w:r>
          </w:p>
        </w:tc>
      </w:tr>
      <w:tr>
        <w:tc>
          <w:tcPr/>
          <w:p>
            <w:pPr>
              <w:pStyle w:val="Compact"/>
            </w:pPr>
            <w:r>
              <w:t xml:space="preserve">Scrap skips (exchange) + sealed dust drums</w:t>
            </w:r>
          </w:p>
        </w:tc>
        <w:tc>
          <w:tcPr/>
          <w:p>
            <w:pPr>
              <w:pStyle w:val="Compact"/>
            </w:pPr>
            <w:r>
              <w:t xml:space="preserve">2 + as required</w:t>
            </w:r>
          </w:p>
        </w:tc>
        <w:tc>
          <w:tcPr/>
          <w:p>
            <w:pPr>
              <w:pStyle w:val="Compact"/>
            </w:pPr>
            <w:r>
              <w:t xml:space="preserve">Waste streams of §6.6.4</w:t>
            </w:r>
          </w:p>
        </w:tc>
        <w:tc>
          <w:tcPr/>
          <w:p>
            <w:pPr>
              <w:pStyle w:val="Compact"/>
            </w:pPr>
            <w:r>
              <w:t xml:space="preserve">Third-party skip contract</w:t>
            </w:r>
          </w:p>
        </w:tc>
        <w:tc>
          <w:tcPr/>
          <w:p>
            <w:pPr>
              <w:pStyle w:val="Compact"/>
            </w:pPr>
            <w:r>
              <w:t xml:space="preserve">§6.6.4</w:t>
            </w:r>
          </w:p>
        </w:tc>
      </w:tr>
    </w:tbl>
    <w:bookmarkEnd w:id="69"/>
    <w:bookmarkStart w:id="70" w:name="key-findings-and-layout-implications-4"/>
    <w:p>
      <w:pPr>
        <w:pStyle w:val="Heading3"/>
      </w:pPr>
      <w:r>
        <w:t xml:space="preserve">Key Findings and Layout Implications</w:t>
      </w:r>
    </w:p>
    <w:p>
      <w:pPr>
        <w:pStyle w:val="FirstParagraph"/>
      </w:pPr>
      <w:r>
        <w:t xml:space="preserve">Storage and material handling close the loop on the flow architecture: every store has been placed by its consumer, not by storage convenience — tube racks double as the saw’s feed lane, sheet stacks stand beside the presses, bags live at packaging, and finished goods sit between packaging and the dock. Total storage floor (151.8 m²) is modest, but two corrections must carry into §6.8: distributed WIP around the oven exceeds the 3.84 m² aggregate line item, and the packaging cell extension (§6.3.17) borders the FG store. The material-handling fleet is deliberately minimal — one forklift, one powered pallet truck, a milk-run tugger and manual equipment — which is only workable if the layout provides the single shared forklift spine and keeps receiving and dispatch at one end (the U-flow argument of §6.5). The milk-run rule also gives the layout alternatives a measurable evaluation criterion: total milk-run circuit length, which directly prices each alternative’s material-handling labour. Finally, the segregation demands assembled across this chapter — combustible dust drums, powder-coating enclosure, clean assembly/packaging, customer front — are all storage-and-handling constraints as much as process constraints, and the Master Facility Plan should show them as zones before it places a single machine.</w:t>
      </w:r>
    </w:p>
    <w:bookmarkEnd w:id="70"/>
    <w:bookmarkEnd w:id="71"/>
    <w:bookmarkStart w:id="78" w:name="supporting-facilities"/>
    <w:p>
      <w:pPr>
        <w:pStyle w:val="Heading2"/>
      </w:pPr>
      <w:r>
        <w:t xml:space="preserve">6.7 Supporting Facilities</w:t>
      </w:r>
    </w:p>
    <w:p>
      <w:pPr>
        <w:pStyle w:val="FirstParagraph"/>
      </w:pPr>
      <w:r>
        <w:t xml:space="preserve">Supporting facilities are sized from the headcount established in §6.4 and the workbook’s per-person allowances. They are not residual space: office placement, amenity routing and parking geometry each constrain the layout alternatives directly, and several support functions inherit hard adjacency rules from the process analysis (offices out of the production flow; customers on the visitor side; security at the site interfaces).</w:t>
      </w:r>
    </w:p>
    <w:bookmarkStart w:id="72" w:name="personnel"/>
    <w:p>
      <w:pPr>
        <w:pStyle w:val="Heading3"/>
      </w:pPr>
      <w:r>
        <w:t xml:space="preserve">6.7.1 Personnel</w:t>
      </w:r>
    </w:p>
    <w:p>
      <w:pPr>
        <w:pStyle w:val="FirstParagraph"/>
      </w:pPr>
      <w:r>
        <w:t xml:space="preserve">Total facility headcount is 60. Table 6.31 allocates it across functions, reconciling with the production-related subtotal of §6.4.</w:t>
      </w:r>
    </w:p>
    <w:p>
      <w:pPr>
        <w:pStyle w:val="BodyText"/>
      </w:pPr>
      <w:r>
        <w:rPr>
          <w:b/>
          <w:bCs/>
        </w:rPr>
        <w:t xml:space="preserve">Table 6.31: Personnel allocation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Roles</w:t>
            </w:r>
          </w:p>
        </w:tc>
        <w:tc>
          <w:tcPr/>
          <w:p>
            <w:pPr>
              <w:pStyle w:val="Compact"/>
            </w:pPr>
            <w:r>
              <w:t xml:space="preserve">Headcount</w:t>
            </w:r>
          </w:p>
        </w:tc>
        <w:tc>
          <w:tcPr/>
          <w:p>
            <w:pPr>
              <w:pStyle w:val="Compact"/>
            </w:pPr>
            <w:r>
              <w:t xml:space="preserve">Basis / Source</w:t>
            </w:r>
          </w:p>
        </w:tc>
      </w:tr>
      <w:tr>
        <w:tc>
          <w:tcPr/>
          <w:p>
            <w:pPr>
              <w:pStyle w:val="Compact"/>
            </w:pPr>
            <w:r>
              <w:t xml:space="preserve">Management</w:t>
            </w:r>
          </w:p>
        </w:tc>
        <w:tc>
          <w:tcPr/>
          <w:p>
            <w:pPr>
              <w:pStyle w:val="Compact"/>
            </w:pPr>
            <w:r>
              <w:t xml:space="preserve">Senior Plant Manager; Operations Manager; Inventory Manager</w:t>
            </w:r>
          </w:p>
        </w:tc>
        <w:tc>
          <w:tcPr/>
          <w:p>
            <w:pPr>
              <w:pStyle w:val="Compact"/>
            </w:pPr>
            <w:r>
              <w:t xml:space="preserve">3</w:t>
            </w:r>
          </w:p>
        </w:tc>
        <w:tc>
          <w:tcPr/>
          <w:p>
            <w:pPr>
              <w:pStyle w:val="Compact"/>
            </w:pPr>
            <w:r>
              <w:t xml:space="preserve">Personnel sheet (brief)</w:t>
            </w:r>
          </w:p>
        </w:tc>
      </w:tr>
      <w:tr>
        <w:tc>
          <w:tcPr/>
          <w:p>
            <w:pPr>
              <w:pStyle w:val="Compact"/>
            </w:pPr>
            <w:r>
              <w:t xml:space="preserve">Administration</w:t>
            </w:r>
          </w:p>
        </w:tc>
        <w:tc>
          <w:tcPr/>
          <w:p>
            <w:pPr>
              <w:pStyle w:val="Compact"/>
            </w:pPr>
            <w:r>
              <w:t xml:space="preserve">Reception 1; Purchasing 1; Sales 2; Finance 1; Marketing 1; Human Resources 1</w:t>
            </w:r>
          </w:p>
        </w:tc>
        <w:tc>
          <w:tcPr/>
          <w:p>
            <w:pPr>
              <w:pStyle w:val="Compact"/>
            </w:pPr>
            <w:r>
              <w:t xml:space="preserve">7</w:t>
            </w:r>
          </w:p>
        </w:tc>
        <w:tc>
          <w:tcPr/>
          <w:p>
            <w:pPr>
              <w:pStyle w:val="Compact"/>
            </w:pPr>
            <w:r>
              <w:t xml:space="preserve">Personnel sheet (brief; Sales count assumed)</w:t>
            </w:r>
          </w:p>
        </w:tc>
      </w:tr>
      <w:tr>
        <w:tc>
          <w:tcPr/>
          <w:p>
            <w:pPr>
              <w:pStyle w:val="Compact"/>
            </w:pPr>
            <w:r>
              <w:t xml:space="preserve">Supervision</w:t>
            </w:r>
          </w:p>
        </w:tc>
        <w:tc>
          <w:tcPr/>
          <w:p>
            <w:pPr>
              <w:pStyle w:val="Compact"/>
            </w:pPr>
            <w:r>
              <w:t xml:space="preserve">Plant supervisors (~1 per department)</w:t>
            </w:r>
          </w:p>
        </w:tc>
        <w:tc>
          <w:tcPr/>
          <w:p>
            <w:pPr>
              <w:pStyle w:val="Compact"/>
            </w:pPr>
            <w:r>
              <w:t xml:space="preserve">4</w:t>
            </w:r>
          </w:p>
        </w:tc>
        <w:tc>
          <w:tcPr/>
          <w:p>
            <w:pPr>
              <w:pStyle w:val="Compact"/>
            </w:pPr>
            <w:r>
              <w:t xml:space="preserve">Personnel sheet (assumption)</w:t>
            </w:r>
          </w:p>
        </w:tc>
      </w:tr>
      <w:tr>
        <w:tc>
          <w:tcPr/>
          <w:p>
            <w:pPr>
              <w:pStyle w:val="Compact"/>
            </w:pPr>
            <w:r>
              <w:t xml:space="preserve">Security</w:t>
            </w:r>
          </w:p>
        </w:tc>
        <w:tc>
          <w:tcPr/>
          <w:p>
            <w:pPr>
              <w:pStyle w:val="Compact"/>
            </w:pPr>
            <w:r>
              <w:t xml:space="preserve">Gate and premises</w:t>
            </w:r>
          </w:p>
        </w:tc>
        <w:tc>
          <w:tcPr/>
          <w:p>
            <w:pPr>
              <w:pStyle w:val="Compact"/>
            </w:pPr>
            <w:r>
              <w:t xml:space="preserve">3</w:t>
            </w:r>
          </w:p>
        </w:tc>
        <w:tc>
          <w:tcPr/>
          <w:p>
            <w:pPr>
              <w:pStyle w:val="Compact"/>
            </w:pPr>
            <w:r>
              <w:t xml:space="preserve">Personnel sheet (assumption)</w:t>
            </w:r>
          </w:p>
        </w:tc>
      </w:tr>
      <w:tr>
        <w:tc>
          <w:tcPr/>
          <w:p>
            <w:pPr>
              <w:pStyle w:val="Compact"/>
            </w:pPr>
            <w:r>
              <w:t xml:space="preserve">Production — line operators</w:t>
            </w:r>
          </w:p>
        </w:tc>
        <w:tc>
          <w:tcPr/>
          <w:p>
            <w:pPr>
              <w:pStyle w:val="Compact"/>
            </w:pPr>
            <w:r>
              <w:t xml:space="preserve">1 per machine (§6.4)</w:t>
            </w:r>
          </w:p>
        </w:tc>
        <w:tc>
          <w:tcPr/>
          <w:p>
            <w:pPr>
              <w:pStyle w:val="Compact"/>
            </w:pPr>
            <w:r>
              <w:t xml:space="preserve">34</w:t>
            </w:r>
          </w:p>
        </w:tc>
        <w:tc>
          <w:tcPr/>
          <w:p>
            <w:pPr>
              <w:pStyle w:val="Compact"/>
            </w:pPr>
            <w:r>
              <w:t xml:space="preserve">Capacity sheet</w:t>
            </w:r>
          </w:p>
        </w:tc>
      </w:tr>
      <w:tr>
        <w:tc>
          <w:tcPr/>
          <w:p>
            <w:pPr>
              <w:pStyle w:val="Compact"/>
            </w:pPr>
            <w:r>
              <w:t xml:space="preserve">Production — equipment-dependent &amp; QA</w:t>
            </w:r>
          </w:p>
        </w:tc>
        <w:tc>
          <w:tcPr/>
          <w:p>
            <w:pPr>
              <w:pStyle w:val="Compact"/>
            </w:pPr>
            <w:r>
              <w:t xml:space="preserve">Heat treat, sandblast, powder coat, inspection</w:t>
            </w:r>
          </w:p>
        </w:tc>
        <w:tc>
          <w:tcPr/>
          <w:p>
            <w:pPr>
              <w:pStyle w:val="Compact"/>
            </w:pPr>
            <w:r>
              <w:t xml:space="preserve">4</w:t>
            </w:r>
          </w:p>
        </w:tc>
        <w:tc>
          <w:tcPr/>
          <w:p>
            <w:pPr>
              <w:pStyle w:val="Compact"/>
            </w:pPr>
            <w:r>
              <w:t xml:space="preserve">Personnel sheet (assumption)</w:t>
            </w:r>
          </w:p>
        </w:tc>
      </w:tr>
      <w:tr>
        <w:tc>
          <w:tcPr/>
          <w:p>
            <w:pPr>
              <w:pStyle w:val="Compact"/>
            </w:pPr>
            <w:r>
              <w:t xml:space="preserve">Production — material handlers / forklift</w:t>
            </w:r>
          </w:p>
        </w:tc>
        <w:tc>
          <w:tcPr/>
          <w:p>
            <w:pPr>
              <w:pStyle w:val="Compact"/>
            </w:pPr>
            <w:r>
              <w:t xml:space="preserve">Milk-run, stores, dock</w:t>
            </w:r>
          </w:p>
        </w:tc>
        <w:tc>
          <w:tcPr/>
          <w:p>
            <w:pPr>
              <w:pStyle w:val="Compact"/>
            </w:pPr>
            <w:r>
              <w:t xml:space="preserve">5</w:t>
            </w:r>
          </w:p>
        </w:tc>
        <w:tc>
          <w:tcPr/>
          <w:p>
            <w:pPr>
              <w:pStyle w:val="Compact"/>
            </w:pPr>
            <w:r>
              <w:t xml:space="preserve">Personnel sheet (assumption)</w:t>
            </w:r>
          </w:p>
        </w:tc>
      </w:tr>
      <w:tr>
        <w:tc>
          <w:tcPr/>
          <w:p>
            <w:pPr>
              <w:pStyle w:val="Compact"/>
            </w:pPr>
            <w:r>
              <w:rPr>
                <w:b/>
                <w:bCs/>
              </w:rPr>
              <w:t xml:space="preserve">TOTAL</w:t>
            </w:r>
          </w:p>
        </w:tc>
        <w:tc>
          <w:tcPr/>
          <w:p>
            <w:pPr>
              <w:pStyle w:val="Compact"/>
            </w:pPr>
          </w:p>
        </w:tc>
        <w:tc>
          <w:tcPr/>
          <w:p>
            <w:pPr>
              <w:pStyle w:val="Compact"/>
            </w:pPr>
            <w:r>
              <w:rPr>
                <w:b/>
                <w:bCs/>
              </w:rPr>
              <w:t xml:space="preserve">60</w:t>
            </w:r>
          </w:p>
        </w:tc>
        <w:tc>
          <w:tcPr/>
          <w:p>
            <w:pPr>
              <w:pStyle w:val="Compact"/>
            </w:pPr>
            <w:r>
              <w:t xml:space="preserve">Personnel sheet</w:t>
            </w:r>
          </w:p>
        </w:tc>
      </w:tr>
    </w:tbl>
    <w:bookmarkEnd w:id="72"/>
    <w:bookmarkStart w:id="73" w:name="offices-and-administration"/>
    <w:p>
      <w:pPr>
        <w:pStyle w:val="Heading3"/>
      </w:pPr>
      <w:r>
        <w:t xml:space="preserve">6.7.2 Offices and administration</w:t>
      </w:r>
    </w:p>
    <w:p>
      <w:pPr>
        <w:pStyle w:val="FirstParagraph"/>
      </w:pPr>
      <w:r>
        <w:t xml:space="preserve">Office provision follows Equation 6.15 on the workbook basis of 10 m² per non-operator member of staff — a deliberately conservative basis that funds private offices for the three managers, an administrative open-plan area, supervisors’ plant offices and the security post from one allowance. The 10 m² per person figure is an aggregate office-and-support allowance, not an entitlement to individual offices; the supervisors’ floor cubicles described below are funded from this same 260 m² and are not counted again in the production area.</w:t>
      </w:r>
    </w:p>
    <w:p>
      <w:pPr>
        <w:pStyle w:val="BodyText"/>
      </w:pPr>
      <w:r>
        <w:rPr>
          <w:b/>
          <w:bCs/>
        </w:rPr>
        <w:t xml:space="preserve">Equation 6.15: Office area</w:t>
      </w:r>
    </w:p>
    <w:p>
      <w:pPr>
        <w:pStyle w:val="BodyText"/>
      </w:pPr>
      <m:oMathPara>
        <m:oMathParaPr>
          <m:jc m:val="center"/>
        </m:oMathParaPr>
        <m:oMath>
          <m:sSub>
            <m:e>
              <m:r>
                <m:t>A</m:t>
              </m:r>
            </m:e>
            <m:sub>
              <m:r>
                <m:rPr>
                  <m:nor/>
                  <m:sty m:val="p"/>
                </m:rPr>
                <m:t>office</m:t>
              </m:r>
            </m:sub>
          </m:sSub>
          <m:r>
            <m:rPr>
              <m:sty m:val="p"/>
            </m:rPr>
            <m:t>=</m:t>
          </m:r>
          <m:r>
            <m:rPr>
              <m:nor/>
              <m:sty m:val="p"/>
            </m:rPr>
            <m:t>Non-operator staff</m:t>
          </m:r>
          <m:r>
            <m:rPr>
              <m:sty m:val="p"/>
            </m:rPr>
            <m:t>×</m:t>
          </m:r>
          <m:r>
            <m:t>10</m:t>
          </m:r>
          <m:r>
            <m:t> </m:t>
          </m:r>
          <m:sSup>
            <m:e>
              <m:r>
                <m:rPr>
                  <m:nor/>
                  <m:sty m:val="p"/>
                </m:rPr>
                <m:t>m</m:t>
              </m:r>
            </m:e>
            <m:sup>
              <m:r>
                <m:t>2</m:t>
              </m:r>
            </m:sup>
          </m:sSup>
          <m:r>
            <m:rPr>
              <m:sty m:val="p"/>
            </m:rPr>
            <m:t>=</m:t>
          </m:r>
          <m:r>
            <m:t>26</m:t>
          </m:r>
          <m:r>
            <m:rPr>
              <m:sty m:val="p"/>
            </m:rPr>
            <m:t>×</m:t>
          </m:r>
          <m:r>
            <m:t>10</m:t>
          </m:r>
          <m:r>
            <m:rPr>
              <m:sty m:val="p"/>
            </m:rPr>
            <m:t>=</m:t>
          </m:r>
          <m:r>
            <m:t>260</m:t>
          </m:r>
          <m:r>
            <m:t> </m:t>
          </m:r>
          <m:sSup>
            <m:e>
              <m:r>
                <m:rPr>
                  <m:nor/>
                  <m:sty m:val="p"/>
                </m:rPr>
                <m:t>m</m:t>
              </m:r>
            </m:e>
            <m:sup>
              <m:r>
                <m:t>2</m:t>
              </m:r>
            </m:sup>
          </m:sSup>
        </m:oMath>
      </m:oMathPara>
    </w:p>
    <w:p>
      <w:pPr>
        <w:pStyle w:val="FirstParagraph"/>
      </w:pPr>
      <w:r>
        <w:t xml:space="preserve">The office block contains: individual offices for the Senior Plant Manager, Operations Manager and Inventory Manager; reception with the customer-facing counter; open-plan administration for Purchasing, Sales, Finance, Marketing and HR; a meeting room within the open-plan allowance; and a server/records room (IT requirements at detailed design). Two design rules govern placement. First, the office block sits on the visitor side of the building, outside the production flow and the noise/dust zones of §6.3 — administrative staff and visitors should reach every office without crossing a production aisle. Second, the four plant supervisors are</w:t>
      </w:r>
      <w:r>
        <w:t xml:space="preserve"> </w:t>
      </w:r>
      <w:r>
        <w:rPr>
          <w:i/>
          <w:iCs/>
        </w:rPr>
        <w:t xml:space="preserve">not</w:t>
      </w:r>
      <w:r>
        <w:t xml:space="preserve"> </w:t>
      </w:r>
      <w:r>
        <w:t xml:space="preserve">housed in the office block: their offices are glazed cubicles on the production floor edge, positioned to see the two bottleneck zones (knurling bank and finishing rows), because §6.4 showed those stations cannot afford unsupervised queue build-up. The Inventory Manager’s office should overlook receiving/stores. The security allowance funds a gatehouse at the truck entrance and a reception-side presence.</w:t>
      </w:r>
    </w:p>
    <w:bookmarkEnd w:id="73"/>
    <w:bookmarkStart w:id="74" w:name="amenities"/>
    <w:p>
      <w:pPr>
        <w:pStyle w:val="Heading3"/>
      </w:pPr>
      <w:r>
        <w:t xml:space="preserve">6.7.3 Amenities</w:t>
      </w:r>
    </w:p>
    <w:p>
      <w:pPr>
        <w:pStyle w:val="FirstParagraph"/>
      </w:pPr>
      <w:r>
        <w:t xml:space="preserve">Amenities follow Equation 6.16 at the workbook’s 4 m² per employee across the full headcount.</w:t>
      </w:r>
    </w:p>
    <w:p>
      <w:pPr>
        <w:pStyle w:val="BodyText"/>
      </w:pPr>
      <w:r>
        <w:rPr>
          <w:b/>
          <w:bCs/>
        </w:rPr>
        <w:t xml:space="preserve">Equation 6.16: Amenity area</w:t>
      </w:r>
    </w:p>
    <w:p>
      <w:pPr>
        <w:pStyle w:val="BodyText"/>
      </w:pPr>
      <m:oMathPara>
        <m:oMathParaPr>
          <m:jc m:val="center"/>
        </m:oMathParaPr>
        <m:oMath>
          <m:sSub>
            <m:e>
              <m:r>
                <m:t>A</m:t>
              </m:r>
            </m:e>
            <m:sub>
              <m:r>
                <m:rPr>
                  <m:nor/>
                  <m:sty m:val="p"/>
                </m:rPr>
                <m:t>amenity</m:t>
              </m:r>
            </m:sub>
          </m:sSub>
          <m:r>
            <m:rPr>
              <m:sty m:val="p"/>
            </m:rPr>
            <m:t>=</m:t>
          </m:r>
          <m:r>
            <m:rPr>
              <m:nor/>
              <m:sty m:val="p"/>
            </m:rPr>
            <m:t>Total headcount</m:t>
          </m:r>
          <m:r>
            <m:rPr>
              <m:sty m:val="p"/>
            </m:rPr>
            <m:t>×</m:t>
          </m:r>
          <m:r>
            <m:t>4</m:t>
          </m:r>
          <m:r>
            <m:t> </m:t>
          </m:r>
          <m:sSup>
            <m:e>
              <m:r>
                <m:rPr>
                  <m:nor/>
                  <m:sty m:val="p"/>
                </m:rPr>
                <m:t>m</m:t>
              </m:r>
            </m:e>
            <m:sup>
              <m:r>
                <m:t>2</m:t>
              </m:r>
            </m:sup>
          </m:sSup>
          <m:r>
            <m:rPr>
              <m:sty m:val="p"/>
            </m:rPr>
            <m:t>=</m:t>
          </m:r>
          <m:r>
            <m:t>60</m:t>
          </m:r>
          <m:r>
            <m:rPr>
              <m:sty m:val="p"/>
            </m:rPr>
            <m:t>×</m:t>
          </m:r>
          <m:r>
            <m:t>4</m:t>
          </m:r>
          <m:r>
            <m:rPr>
              <m:sty m:val="p"/>
            </m:rPr>
            <m:t>=</m:t>
          </m:r>
          <m:r>
            <m:t>240</m:t>
          </m:r>
          <m:r>
            <m:t> </m:t>
          </m:r>
          <m:sSup>
            <m:e>
              <m:r>
                <m:rPr>
                  <m:nor/>
                  <m:sty m:val="p"/>
                </m:rPr>
                <m:t>m</m:t>
              </m:r>
            </m:e>
            <m:sup>
              <m:r>
                <m:t>2</m:t>
              </m:r>
            </m:sup>
          </m:sSup>
        </m:oMath>
      </m:oMathPara>
    </w:p>
    <w:p>
      <w:pPr>
        <w:pStyle w:val="FirstParagraph"/>
      </w:pPr>
      <w:r>
        <w:t xml:space="preserve">The 240 m² provides lockers and change rooms (sized for the 43 production-related staff, who change into PPE), restrooms for both factory and office wings, and a cafeteria/eating area sized for the single-shift lunch break (all 60 staff eat in one 30-minute sitting, so the cafeteria is sized for full simultaneous occupancy rather than staggered shifts). Within the same allowance, a first-aid room is positioned on the boundary between the factory and amenity zone — reachable from the finishing and coating zones, the two highest-risk areas — and a janitorial/cleaning store serves both wings [exact provision per occupational health and building regulations, to be confirmed during detailed building design — VERIFY]. Amenities sit between the office block and the factory so that both populations reach them without crossing the production flow; production staff enter the factory through the change rooms, which also enforces the PPE boundary.</w:t>
      </w:r>
    </w:p>
    <w:bookmarkEnd w:id="74"/>
    <w:bookmarkStart w:id="75" w:name="parking-and-site-vehicles"/>
    <w:p>
      <w:pPr>
        <w:pStyle w:val="Heading3"/>
      </w:pPr>
      <w:r>
        <w:t xml:space="preserve">6.7.4 Parking and site vehicles</w:t>
      </w:r>
    </w:p>
    <w:p>
      <w:pPr>
        <w:pStyle w:val="FirstParagraph"/>
      </w:pPr>
      <w:r>
        <w:rPr>
          <w:b/>
          <w:bCs/>
        </w:rPr>
        <w:t xml:space="preserve">Equation 6.17: Car parking area</w:t>
      </w:r>
    </w:p>
    <w:p>
      <w:pPr>
        <w:pStyle w:val="BodyText"/>
      </w:pPr>
      <m:oMathPara>
        <m:oMathParaPr>
          <m:jc m:val="center"/>
        </m:oMathParaPr>
        <m:oMath>
          <m:sSub>
            <m:e>
              <m:r>
                <m:t>A</m:t>
              </m:r>
            </m:e>
            <m:sub>
              <m:r>
                <m:rPr>
                  <m:nor/>
                  <m:sty m:val="p"/>
                </m:rPr>
                <m:t>parking</m:t>
              </m:r>
            </m:sub>
          </m:sSub>
          <m:r>
            <m:rPr>
              <m:sty m:val="p"/>
            </m:rPr>
            <m:t>=</m:t>
          </m:r>
          <m:r>
            <m:rPr>
              <m:nor/>
              <m:sty m:val="p"/>
            </m:rPr>
            <m:t>Bays</m:t>
          </m:r>
          <m:r>
            <m:rPr>
              <m:sty m:val="p"/>
            </m:rPr>
            <m:t>×</m:t>
          </m:r>
          <m:r>
            <m:t>25</m:t>
          </m:r>
          <m:r>
            <m:t> </m:t>
          </m:r>
          <m:sSup>
            <m:e>
              <m:r>
                <m:rPr>
                  <m:nor/>
                  <m:sty m:val="p"/>
                </m:rPr>
                <m:t>m</m:t>
              </m:r>
            </m:e>
            <m:sup>
              <m:r>
                <m:t>2</m:t>
              </m:r>
            </m:sup>
          </m:sSup>
          <m:r>
            <m:rPr>
              <m:sty m:val="p"/>
            </m:rPr>
            <m:t>=</m:t>
          </m:r>
          <m:r>
            <m:rPr>
              <m:sty m:val="p"/>
            </m:rPr>
            <m:t>(</m:t>
          </m:r>
          <m:r>
            <m:t>60</m:t>
          </m:r>
          <m:r>
            <m:rPr>
              <m:sty m:val="p"/>
            </m:rPr>
            <m:t>+</m:t>
          </m:r>
          <m:r>
            <m:t>10</m:t>
          </m:r>
          <m:r>
            <m:rPr>
              <m:sty m:val="p"/>
            </m:rPr>
            <m:t>)</m:t>
          </m:r>
          <m:r>
            <m:rPr>
              <m:sty m:val="p"/>
            </m:rPr>
            <m:t>×</m:t>
          </m:r>
          <m:r>
            <m:t>25</m:t>
          </m:r>
          <m:r>
            <m:rPr>
              <m:sty m:val="p"/>
            </m:rPr>
            <m:t>=</m:t>
          </m:r>
          <m:r>
            <m:t>1</m:t>
          </m:r>
          <m:r>
            <m:t> </m:t>
          </m:r>
          <m:r>
            <m:t>750</m:t>
          </m:r>
          <m:r>
            <m:t> </m:t>
          </m:r>
          <m:sSup>
            <m:e>
              <m:r>
                <m:rPr>
                  <m:nor/>
                  <m:sty m:val="p"/>
                </m:rPr>
                <m:t>m</m:t>
              </m:r>
            </m:e>
            <m:sup>
              <m:r>
                <m:t>2</m:t>
              </m:r>
            </m:sup>
          </m:sSup>
        </m:oMath>
      </m:oMathPara>
    </w:p>
    <w:p>
      <w:pPr>
        <w:pStyle w:val="FirstParagraph"/>
      </w:pPr>
      <w:r>
        <w:rPr>
          <w:b/>
          <w:bCs/>
        </w:rPr>
        <w:t xml:space="preserve">Table 6.32: Parking and site vehicle provision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Provision</w:t>
            </w:r>
          </w:p>
        </w:tc>
        <w:tc>
          <w:tcPr/>
          <w:p>
            <w:pPr>
              <w:pStyle w:val="Compact"/>
            </w:pPr>
            <w:r>
              <w:t xml:space="preserve">Quantity</w:t>
            </w:r>
          </w:p>
        </w:tc>
        <w:tc>
          <w:tcPr/>
          <w:p>
            <w:pPr>
              <w:pStyle w:val="Compact"/>
            </w:pPr>
            <w:r>
              <w:t xml:space="preserve">Area (m²)</w:t>
            </w:r>
          </w:p>
        </w:tc>
        <w:tc>
          <w:tcPr/>
          <w:p>
            <w:pPr>
              <w:pStyle w:val="Compact"/>
            </w:pPr>
            <w:r>
              <w:t xml:space="preserve">Basis / Source</w:t>
            </w:r>
          </w:p>
        </w:tc>
      </w:tr>
      <w:tr>
        <w:tc>
          <w:tcPr/>
          <w:p>
            <w:pPr>
              <w:pStyle w:val="Compact"/>
            </w:pPr>
            <w:r>
              <w:t xml:space="preserve">Employee bays</w:t>
            </w:r>
          </w:p>
        </w:tc>
        <w:tc>
          <w:tcPr/>
          <w:p>
            <w:pPr>
              <w:pStyle w:val="Compact"/>
            </w:pPr>
            <w:r>
              <w:t xml:space="preserve">60</w:t>
            </w:r>
          </w:p>
        </w:tc>
        <w:tc>
          <w:tcPr/>
          <w:p>
            <w:pPr>
              <w:pStyle w:val="Compact"/>
            </w:pPr>
            <w:r>
              <w:t xml:space="preserve">—</w:t>
            </w:r>
          </w:p>
        </w:tc>
        <w:tc>
          <w:tcPr/>
          <w:p>
            <w:pPr>
              <w:pStyle w:val="Compact"/>
            </w:pPr>
            <w:r>
              <w:t xml:space="preserve">1 per employee (brief basis)</w:t>
            </w:r>
          </w:p>
        </w:tc>
      </w:tr>
      <w:tr>
        <w:tc>
          <w:tcPr/>
          <w:p>
            <w:pPr>
              <w:pStyle w:val="Compact"/>
            </w:pPr>
            <w:r>
              <w:t xml:space="preserve">Visitor + small-order collection bays</w:t>
            </w:r>
          </w:p>
        </w:tc>
        <w:tc>
          <w:tcPr/>
          <w:p>
            <w:pPr>
              <w:pStyle w:val="Compact"/>
            </w:pPr>
            <w:r>
              <w:t xml:space="preserve">10</w:t>
            </w:r>
          </w:p>
        </w:tc>
        <w:tc>
          <w:tcPr/>
          <w:p>
            <w:pPr>
              <w:pStyle w:val="Compact"/>
            </w:pPr>
            <w:r>
              <w:t xml:space="preserve">—</w:t>
            </w:r>
          </w:p>
        </w:tc>
        <w:tc>
          <w:tcPr/>
          <w:p>
            <w:pPr>
              <w:pStyle w:val="Compact"/>
            </w:pPr>
            <w:r>
              <w:t xml:space="preserve">Workbook assumption</w:t>
            </w:r>
          </w:p>
        </w:tc>
      </w:tr>
      <w:tr>
        <w:tc>
          <w:tcPr/>
          <w:p>
            <w:pPr>
              <w:pStyle w:val="Compact"/>
            </w:pPr>
            <w:r>
              <w:t xml:space="preserve">Total car bays</w:t>
            </w:r>
          </w:p>
        </w:tc>
        <w:tc>
          <w:tcPr/>
          <w:p>
            <w:pPr>
              <w:pStyle w:val="Compact"/>
            </w:pPr>
            <w:r>
              <w:t xml:space="preserve">70</w:t>
            </w:r>
          </w:p>
        </w:tc>
        <w:tc>
          <w:tcPr/>
          <w:p>
            <w:pPr>
              <w:pStyle w:val="Compact"/>
            </w:pPr>
            <w:r>
              <w:t xml:space="preserve">1 750</w:t>
            </w:r>
          </w:p>
        </w:tc>
        <w:tc>
          <w:tcPr/>
          <w:p>
            <w:pPr>
              <w:pStyle w:val="Compact"/>
            </w:pPr>
            <w:r>
              <w:t xml:space="preserve">Equation 6.17 (25 m²/bay incl. aisle)</w:t>
            </w:r>
          </w:p>
        </w:tc>
      </w:tr>
      <w:tr>
        <w:tc>
          <w:tcPr/>
          <w:p>
            <w:pPr>
              <w:pStyle w:val="Compact"/>
            </w:pPr>
            <w:r>
              <w:t xml:space="preserve">Truck fleet parking bays (own fleet — standing bays, not loading docks)</w:t>
            </w:r>
          </w:p>
        </w:tc>
        <w:tc>
          <w:tcPr/>
          <w:p>
            <w:pPr>
              <w:pStyle w:val="Compact"/>
            </w:pPr>
            <w:r>
              <w:t xml:space="preserve">6</w:t>
            </w:r>
          </w:p>
        </w:tc>
        <w:tc>
          <w:tcPr/>
          <w:p>
            <w:pPr>
              <w:pStyle w:val="Compact"/>
            </w:pPr>
            <w:r>
              <w:t xml:space="preserve">360</w:t>
            </w:r>
          </w:p>
        </w:tc>
        <w:tc>
          <w:tcPr/>
          <w:p>
            <w:pPr>
              <w:pStyle w:val="Compact"/>
            </w:pPr>
            <w:r>
              <w:t xml:space="preserve">Parking sheet (60 m²/bay incl. manoeuvre)</w:t>
            </w:r>
          </w:p>
        </w:tc>
      </w:tr>
      <w:tr>
        <w:tc>
          <w:tcPr/>
          <w:p>
            <w:pPr>
              <w:pStyle w:val="Compact"/>
            </w:pPr>
            <w:r>
              <w:rPr>
                <w:b/>
                <w:bCs/>
              </w:rPr>
              <w:t xml:space="preserve">Total external vehicle area</w:t>
            </w:r>
          </w:p>
        </w:tc>
        <w:tc>
          <w:tcPr/>
          <w:p>
            <w:pPr>
              <w:pStyle w:val="Compact"/>
            </w:pPr>
          </w:p>
        </w:tc>
        <w:tc>
          <w:tcPr/>
          <w:p>
            <w:pPr>
              <w:pStyle w:val="Compact"/>
            </w:pPr>
            <w:r>
              <w:rPr>
                <w:b/>
                <w:bCs/>
              </w:rPr>
              <w:t xml:space="preserve">2 110</w:t>
            </w:r>
          </w:p>
        </w:tc>
        <w:tc>
          <w:tcPr/>
          <w:p>
            <w:pPr>
              <w:pStyle w:val="Compact"/>
            </w:pPr>
            <w:r>
              <w:t xml:space="preserve">Parking sheet</w:t>
            </w:r>
          </w:p>
        </w:tc>
      </w:tr>
    </w:tbl>
    <w:p>
      <w:pPr>
        <w:pStyle w:val="BodyText"/>
      </w:pPr>
      <w:r>
        <w:t xml:space="preserve">Employee parking adjoins the amenity entrance; the 10 visitor/collection bays adjoin reception and the collection counter — on the opposite side of the building from the truck apron, completing the customer/truck segregation of §6.5. The six truck bays (360 m²) are fleet parking/standing positions inside the secured yard near dispatch — they are not loading docks: all loading and offloading occurs at the single shared leveller dock and ground-level tube bay of §6.5.</w:t>
      </w:r>
    </w:p>
    <w:bookmarkEnd w:id="75"/>
    <w:bookmarkStart w:id="76" w:name="utilities-and-services"/>
    <w:p>
      <w:pPr>
        <w:pStyle w:val="Heading3"/>
      </w:pPr>
      <w:r>
        <w:t xml:space="preserve">6.7.5 Utilities and services</w:t>
      </w:r>
    </w:p>
    <w:p>
      <w:pPr>
        <w:pStyle w:val="FirstParagraph"/>
      </w:pPr>
      <w:r>
        <w:t xml:space="preserve">Utility requirements aggregate from the process analysis and are carried here as design loads for the building services engineer, with all capacities to be confirmed during detailed building design [VERIFY]:</w:t>
      </w:r>
      <w:r>
        <w:t xml:space="preserve"> </w:t>
      </w:r>
      <w:r>
        <w:rPr>
          <w:b/>
          <w:bCs/>
        </w:rPr>
        <w:t xml:space="preserve">electricity</w:t>
      </w:r>
      <w:r>
        <w:t xml:space="preserve"> </w:t>
      </w:r>
      <w:r>
        <w:t xml:space="preserve">— the ageing oven and two powder-cure ovens are the dominant loads, with the 34 line machines (typically 4–5.5 kW each where specified) and extraction fans behind them; a dedicated substation/supply assessment is required.</w:t>
      </w:r>
      <w:r>
        <w:t xml:space="preserve"> </w:t>
      </w:r>
      <w:r>
        <w:rPr>
          <w:b/>
          <w:bCs/>
        </w:rPr>
        <w:t xml:space="preserve">Compressed air</w:t>
      </w:r>
      <w:r>
        <w:t xml:space="preserve"> </w:t>
      </w:r>
      <w:r>
        <w:t xml:space="preserve">— sandblasting is the major consumer, with the riveter and general blow-off points; the compressor room belongs on the services wall near the blast booth, with a ring main following the milk-run spine.</w:t>
      </w:r>
      <w:r>
        <w:t xml:space="preserve"> </w:t>
      </w:r>
      <w:r>
        <w:rPr>
          <w:b/>
          <w:bCs/>
        </w:rPr>
        <w:t xml:space="preserve">Water and plumbing</w:t>
      </w:r>
      <w:r>
        <w:t xml:space="preserve"> </w:t>
      </w:r>
      <w:r>
        <w:t xml:space="preserve">— amenities (restrooms, cafeteria, change rooms) plus any powder-coating pre-treatment wash stage (wet pre-treatment stage to be confirmed).</w:t>
      </w:r>
      <w:r>
        <w:t xml:space="preserve"> </w:t>
      </w:r>
      <w:r>
        <w:rPr>
          <w:b/>
          <w:bCs/>
        </w:rPr>
        <w:t xml:space="preserve">Ventilation and extraction</w:t>
      </w:r>
      <w:r>
        <w:t xml:space="preserve"> </w:t>
      </w:r>
      <w:r>
        <w:t xml:space="preserve">— three separated systems per §6.3: combustible aluminium dust extraction for the finishing zone, the powder enclosure’s filtered extraction and make-up air, and heat relief over the oven; these must not interconnect.</w:t>
      </w:r>
      <w:r>
        <w:t xml:space="preserve"> </w:t>
      </w:r>
      <w:r>
        <w:rPr>
          <w:b/>
          <w:bCs/>
        </w:rPr>
        <w:t xml:space="preserve">Fire safety</w:t>
      </w:r>
      <w:r>
        <w:t xml:space="preserve"> </w:t>
      </w:r>
      <w:r>
        <w:t xml:space="preserve">— two distinct regimes (combustible metal dust; organic coating powder) plus ordinary occupancy provisions; detection, suppression and separation to be confirmed with a fire engineer during detailed design. Routing all heavy services along one</w:t>
      </w:r>
      <w:r>
        <w:t xml:space="preserve"> </w:t>
      </w:r>
      <w:r>
        <w:t xml:space="preserve">“services wall”</w:t>
      </w:r>
      <w:r>
        <w:t xml:space="preserve"> </w:t>
      </w:r>
      <w:r>
        <w:t xml:space="preserve">(oven, blast, powder, compressor, main electrical room) keeps reticulation short and frees the remaining perimeter for material flow — a constraint the layout alternatives should respect.</w:t>
      </w:r>
    </w:p>
    <w:p>
      <w:pPr>
        <w:pStyle w:val="BodyText"/>
      </w:pPr>
      <w:r>
        <w:rPr>
          <w:b/>
          <w:bCs/>
        </w:rPr>
        <w:t xml:space="preserve">Figure 6.11: Site and support-facilities zoning — office and reception on the visitor side, amenity block as the hinge between office and factory populations, employee parking, secured truck yard with six fleet parking bays, dock, tube apron and services wall. (Author’s own.)</w:t>
      </w:r>
    </w:p>
    <w:bookmarkEnd w:id="76"/>
    <w:bookmarkStart w:id="77" w:name="key-findings-and-layout-implications-5"/>
    <w:p>
      <w:pPr>
        <w:pStyle w:val="Heading3"/>
      </w:pPr>
      <w:r>
        <w:t xml:space="preserve">Key Findings and Layout Implications</w:t>
      </w:r>
    </w:p>
    <w:p>
      <w:pPr>
        <w:pStyle w:val="FirstParagraph"/>
      </w:pPr>
      <w:r>
        <w:t xml:space="preserve">Support facilities consume 500 m² inside the building (offices 260, amenities 240) and 2 110 m² of site — the site’s largest single land use, exceeding the building’s own footprint share. Three placement rules emerge for the layout alternatives: the building presents two opposite faces (visitor/office face and truck/services face), with amenities as the hinge between office and factory populations; supervision is distributed onto the floor at the bottleneck zones rather than centralised; and the single-sitting cafeteria plus change-room PPE boundary fix the amenity block on the shortest path between parking and the production floor. Headcount sensitivity from §6.4 (+7 operators at 90 % availability) would add ~28 m² of amenities and 7 parking bays (~175 m²) — small, but it confirms that support areas scale with the capacity decisions and must be revisited if the machine count changes.</w:t>
      </w:r>
    </w:p>
    <w:bookmarkEnd w:id="77"/>
    <w:bookmarkEnd w:id="78"/>
    <w:bookmarkStart w:id="83" w:name="space-requirements"/>
    <w:p>
      <w:pPr>
        <w:pStyle w:val="Heading2"/>
      </w:pPr>
      <w:r>
        <w:t xml:space="preserve">6.8 Space Requirements</w:t>
      </w:r>
    </w:p>
    <w:p>
      <w:pPr>
        <w:pStyle w:val="FirstParagraph"/>
      </w:pPr>
      <w:r>
        <w:t xml:space="preserve">This section consolidates the chapter into the floor and site areas that the layout alternatives and Master Facility Plan must accommodate. The workbook’s space model is presented first (Table 6.33); the three corrections flagged in §6.3 and §6.6 are then reconciled explicitly (Table 6.34) rather than silently absorbed, and the recommended design values follow (Table 6.35).</w:t>
      </w:r>
    </w:p>
    <w:p>
      <w:pPr>
        <w:pStyle w:val="BodyText"/>
      </w:pPr>
      <w:r>
        <w:rPr>
          <w:b/>
          <w:bCs/>
        </w:rPr>
        <w:t xml:space="preserve">Equation 6.18: Building area build-up</w:t>
      </w:r>
    </w:p>
    <w:p>
      <w:pPr>
        <w:pStyle w:val="BodyText"/>
      </w:pPr>
      <m:oMathPara>
        <m:oMathParaPr>
          <m:jc m:val="center"/>
        </m:oMathParaPr>
        <m:oMath>
          <m:sSub>
            <m:e>
              <m:r>
                <m:t>A</m:t>
              </m:r>
            </m:e>
            <m:sub>
              <m:r>
                <m:rPr>
                  <m:nor/>
                  <m:sty m:val="p"/>
                </m:rPr>
                <m:t>building</m:t>
              </m:r>
            </m:sub>
          </m:sSub>
          <m:r>
            <m:rPr>
              <m:sty m:val="p"/>
            </m:rPr>
            <m:t>=</m:t>
          </m:r>
          <m:d>
            <m:dPr>
              <m:begChr m:val="("/>
              <m:sepChr m:val=""/>
              <m:endChr m:val=")"/>
              <m:grow/>
            </m:dPr>
            <m:e>
              <m:sSub>
                <m:e>
                  <m:r>
                    <m:t>A</m:t>
                  </m:r>
                </m:e>
                <m:sub>
                  <m:r>
                    <m:rPr>
                      <m:nor/>
                      <m:sty m:val="p"/>
                    </m:rPr>
                    <m:t>functional</m:t>
                  </m:r>
                </m:sub>
              </m:sSub>
              <m:r>
                <m:rPr>
                  <m:sty m:val="p"/>
                </m:rPr>
                <m:t>×</m:t>
              </m:r>
              <m:r>
                <m:rPr>
                  <m:sty m:val="p"/>
                </m:rPr>
                <m:t>(</m:t>
              </m:r>
              <m:r>
                <m:t>1</m:t>
              </m:r>
              <m:r>
                <m:rPr>
                  <m:sty m:val="p"/>
                </m:rPr>
                <m:t>+</m:t>
              </m:r>
              <m:r>
                <m:t>0.30</m:t>
              </m:r>
              <m:sSub>
                <m:e>
                  <m:r>
                    <m:rPr>
                      <m:sty m:val="p"/>
                    </m:rPr>
                    <m:t>)</m:t>
                  </m:r>
                </m:e>
                <m:sub>
                  <m:r>
                    <m:rPr>
                      <m:nor/>
                      <m:sty m:val="p"/>
                    </m:rPr>
                    <m:t>circulation</m:t>
                  </m:r>
                </m:sub>
              </m:sSub>
            </m:e>
          </m:d>
          <m:r>
            <m:rPr>
              <m:sty m:val="p"/>
            </m:rPr>
            <m:t>×</m:t>
          </m:r>
          <m:r>
            <m:rPr>
              <m:sty m:val="p"/>
            </m:rPr>
            <m:t>(</m:t>
          </m:r>
          <m:r>
            <m:t>1</m:t>
          </m:r>
          <m:r>
            <m:rPr>
              <m:sty m:val="p"/>
            </m:rPr>
            <m:t>+</m:t>
          </m:r>
          <m:r>
            <m:t>0.10</m:t>
          </m:r>
          <m:sSub>
            <m:e>
              <m:r>
                <m:rPr>
                  <m:sty m:val="p"/>
                </m:rPr>
                <m:t>)</m:t>
              </m:r>
            </m:e>
            <m:sub>
              <m:r>
                <m:rPr>
                  <m:nor/>
                  <m:sty m:val="p"/>
                </m:rPr>
                <m:t>expansion</m:t>
              </m:r>
            </m:sub>
          </m:sSub>
        </m:oMath>
      </m:oMathPara>
    </w:p>
    <w:p>
      <w:pPr>
        <w:pStyle w:val="FirstParagraph"/>
      </w:pPr>
      <w:r>
        <w:rPr>
          <w:b/>
          <w:bCs/>
        </w:rPr>
        <w:t xml:space="preserve">Table 6.33: Space summary (workbook basis)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 / department</w:t>
            </w:r>
          </w:p>
        </w:tc>
        <w:tc>
          <w:tcPr/>
          <w:p>
            <w:pPr>
              <w:pStyle w:val="Compact"/>
            </w:pPr>
            <w:r>
              <w:t xml:space="preserve">Floor area (m²)</w:t>
            </w:r>
          </w:p>
        </w:tc>
        <w:tc>
          <w:tcPr/>
          <w:p>
            <w:pPr>
              <w:pStyle w:val="Compact"/>
            </w:pPr>
            <w:r>
              <w:t xml:space="preserve">Basis / Source</w:t>
            </w:r>
          </w:p>
        </w:tc>
      </w:tr>
      <w:tr>
        <w:tc>
          <w:tcPr/>
          <w:p>
            <w:pPr>
              <w:pStyle w:val="Compact"/>
            </w:pPr>
            <w:r>
              <w:t xml:space="preserve">Production workstations (34 × 6 m²)</w:t>
            </w:r>
          </w:p>
        </w:tc>
        <w:tc>
          <w:tcPr/>
          <w:p>
            <w:pPr>
              <w:pStyle w:val="Compact"/>
            </w:pPr>
            <w:r>
              <w:t xml:space="preserve">204.0</w:t>
            </w:r>
          </w:p>
        </w:tc>
        <w:tc>
          <w:tcPr/>
          <w:p>
            <w:pPr>
              <w:pStyle w:val="Compact"/>
            </w:pPr>
            <w:r>
              <w:t xml:space="preserve">Capacity sheet × Inputs allowance</w:t>
            </w:r>
          </w:p>
        </w:tc>
      </w:tr>
      <w:tr>
        <w:tc>
          <w:tcPr/>
          <w:p>
            <w:pPr>
              <w:pStyle w:val="Compact"/>
            </w:pPr>
            <w:r>
              <w:t xml:space="preserve">Powder coating (fully enclosed)</w:t>
            </w:r>
          </w:p>
        </w:tc>
        <w:tc>
          <w:tcPr/>
          <w:p>
            <w:pPr>
              <w:pStyle w:val="Compact"/>
            </w:pPr>
            <w:r>
              <w:t xml:space="preserve">120.0</w:t>
            </w:r>
          </w:p>
        </w:tc>
        <w:tc>
          <w:tcPr/>
          <w:p>
            <w:pPr>
              <w:pStyle w:val="Compact"/>
            </w:pPr>
            <w:r>
              <w:t xml:space="preserve">Inputs (supplier-based estimate)</w:t>
            </w:r>
          </w:p>
        </w:tc>
      </w:tr>
      <w:tr>
        <w:tc>
          <w:tcPr/>
          <w:p>
            <w:pPr>
              <w:pStyle w:val="Compact"/>
            </w:pPr>
            <w:r>
              <w:t xml:space="preserve">Heat treatment + sandblasting</w:t>
            </w:r>
          </w:p>
        </w:tc>
        <w:tc>
          <w:tcPr/>
          <w:p>
            <w:pPr>
              <w:pStyle w:val="Compact"/>
            </w:pPr>
            <w:r>
              <w:t xml:space="preserve">80.0</w:t>
            </w:r>
          </w:p>
        </w:tc>
        <w:tc>
          <w:tcPr/>
          <w:p>
            <w:pPr>
              <w:pStyle w:val="Compact"/>
            </w:pPr>
            <w:r>
              <w:t xml:space="preserve">Inputs (supplier-based estimate)</w:t>
            </w:r>
          </w:p>
        </w:tc>
      </w:tr>
      <w:tr>
        <w:tc>
          <w:tcPr/>
          <w:p>
            <w:pPr>
              <w:pStyle w:val="Compact"/>
            </w:pPr>
            <w:r>
              <w:t xml:space="preserve">Raw material + WIP + scrap storage</w:t>
            </w:r>
          </w:p>
        </w:tc>
        <w:tc>
          <w:tcPr/>
          <w:p>
            <w:pPr>
              <w:pStyle w:val="Compact"/>
            </w:pPr>
            <w:r>
              <w:t xml:space="preserve">92.2</w:t>
            </w:r>
          </w:p>
        </w:tc>
        <w:tc>
          <w:tcPr/>
          <w:p>
            <w:pPr>
              <w:pStyle w:val="Compact"/>
            </w:pPr>
            <w:r>
              <w:t xml:space="preserve">Storage_3D (38.4 + 10 + 3.8 + 40)</w:t>
            </w:r>
          </w:p>
        </w:tc>
      </w:tr>
      <w:tr>
        <w:tc>
          <w:tcPr/>
          <w:p>
            <w:pPr>
              <w:pStyle w:val="Compact"/>
            </w:pPr>
            <w:r>
              <w:t xml:space="preserve">Finished-goods storage</w:t>
            </w:r>
          </w:p>
        </w:tc>
        <w:tc>
          <w:tcPr/>
          <w:p>
            <w:pPr>
              <w:pStyle w:val="Compact"/>
            </w:pPr>
            <w:r>
              <w:t xml:space="preserve">59.5</w:t>
            </w:r>
          </w:p>
        </w:tc>
        <w:tc>
          <w:tcPr/>
          <w:p>
            <w:pPr>
              <w:pStyle w:val="Compact"/>
            </w:pPr>
            <w:r>
              <w:t xml:space="preserve">Storage_3D / Equations 6.13–6.14</w:t>
            </w:r>
          </w:p>
        </w:tc>
      </w:tr>
      <w:tr>
        <w:tc>
          <w:tcPr/>
          <w:p>
            <w:pPr>
              <w:pStyle w:val="Compact"/>
            </w:pPr>
            <w:r>
              <w:t xml:space="preserve">Receiving + dispatch</w:t>
            </w:r>
          </w:p>
        </w:tc>
        <w:tc>
          <w:tcPr/>
          <w:p>
            <w:pPr>
              <w:pStyle w:val="Compact"/>
            </w:pPr>
            <w:r>
              <w:t xml:space="preserve">250.0</w:t>
            </w:r>
          </w:p>
        </w:tc>
        <w:tc>
          <w:tcPr/>
          <w:p>
            <w:pPr>
              <w:pStyle w:val="Compact"/>
            </w:pPr>
            <w:r>
              <w:t xml:space="preserve">Inputs (docks + staging)</w:t>
            </w:r>
          </w:p>
        </w:tc>
      </w:tr>
      <w:tr>
        <w:tc>
          <w:tcPr/>
          <w:p>
            <w:pPr>
              <w:pStyle w:val="Compact"/>
            </w:pPr>
            <w:r>
              <w:t xml:space="preserve">Offices</w:t>
            </w:r>
          </w:p>
        </w:tc>
        <w:tc>
          <w:tcPr/>
          <w:p>
            <w:pPr>
              <w:pStyle w:val="Compact"/>
            </w:pPr>
            <w:r>
              <w:t xml:space="preserve">260.0</w:t>
            </w:r>
          </w:p>
        </w:tc>
        <w:tc>
          <w:tcPr/>
          <w:p>
            <w:pPr>
              <w:pStyle w:val="Compact"/>
            </w:pPr>
            <w:r>
              <w:t xml:space="preserve">Equation 6.15</w:t>
            </w:r>
          </w:p>
        </w:tc>
      </w:tr>
      <w:tr>
        <w:tc>
          <w:tcPr/>
          <w:p>
            <w:pPr>
              <w:pStyle w:val="Compact"/>
            </w:pPr>
            <w:r>
              <w:t xml:space="preserve">Amenities</w:t>
            </w:r>
          </w:p>
        </w:tc>
        <w:tc>
          <w:tcPr/>
          <w:p>
            <w:pPr>
              <w:pStyle w:val="Compact"/>
            </w:pPr>
            <w:r>
              <w:t xml:space="preserve">240.0</w:t>
            </w:r>
          </w:p>
        </w:tc>
        <w:tc>
          <w:tcPr/>
          <w:p>
            <w:pPr>
              <w:pStyle w:val="Compact"/>
            </w:pPr>
            <w:r>
              <w:t xml:space="preserve">Equation 6.16</w:t>
            </w:r>
          </w:p>
        </w:tc>
      </w:tr>
      <w:tr>
        <w:tc>
          <w:tcPr/>
          <w:p>
            <w:pPr>
              <w:pStyle w:val="Compact"/>
            </w:pPr>
            <w:r>
              <w:rPr>
                <w:b/>
                <w:bCs/>
              </w:rPr>
              <w:t xml:space="preserve">Functional subtotal</w:t>
            </w:r>
          </w:p>
        </w:tc>
        <w:tc>
          <w:tcPr/>
          <w:p>
            <w:pPr>
              <w:pStyle w:val="Compact"/>
            </w:pPr>
            <w:r>
              <w:rPr>
                <w:b/>
                <w:bCs/>
              </w:rPr>
              <w:t xml:space="preserve">1 305.8</w:t>
            </w:r>
          </w:p>
        </w:tc>
        <w:tc>
          <w:tcPr/>
          <w:p>
            <w:pPr>
              <w:pStyle w:val="Compact"/>
            </w:pPr>
            <w:r>
              <w:t xml:space="preserve">Space_Summary</w:t>
            </w:r>
          </w:p>
        </w:tc>
      </w:tr>
      <w:tr>
        <w:tc>
          <w:tcPr/>
          <w:p>
            <w:pPr>
              <w:pStyle w:val="Compact"/>
            </w:pPr>
            <w:r>
              <w:t xml:space="preserve">Circulation / aisles (30 %)</w:t>
            </w:r>
          </w:p>
        </w:tc>
        <w:tc>
          <w:tcPr/>
          <w:p>
            <w:pPr>
              <w:pStyle w:val="Compact"/>
            </w:pPr>
            <w:r>
              <w:t xml:space="preserve">391.7</w:t>
            </w:r>
          </w:p>
        </w:tc>
        <w:tc>
          <w:tcPr/>
          <w:p>
            <w:pPr>
              <w:pStyle w:val="Compact"/>
            </w:pPr>
            <w:r>
              <w:t xml:space="preserve">Inputs allowance</w:t>
            </w:r>
          </w:p>
        </w:tc>
      </w:tr>
      <w:tr>
        <w:tc>
          <w:tcPr/>
          <w:p>
            <w:pPr>
              <w:pStyle w:val="Compact"/>
            </w:pPr>
            <w:r>
              <w:rPr>
                <w:b/>
                <w:bCs/>
              </w:rPr>
              <w:t xml:space="preserve">Building subtotal</w:t>
            </w:r>
          </w:p>
        </w:tc>
        <w:tc>
          <w:tcPr/>
          <w:p>
            <w:pPr>
              <w:pStyle w:val="Compact"/>
            </w:pPr>
            <w:r>
              <w:rPr>
                <w:b/>
                <w:bCs/>
              </w:rPr>
              <w:t xml:space="preserve">1 697.5</w:t>
            </w:r>
          </w:p>
        </w:tc>
        <w:tc>
          <w:tcPr/>
          <w:p>
            <w:pPr>
              <w:pStyle w:val="Compact"/>
            </w:pPr>
            <w:r>
              <w:t xml:space="preserve">Space_Summary</w:t>
            </w:r>
          </w:p>
        </w:tc>
      </w:tr>
      <w:tr>
        <w:tc>
          <w:tcPr/>
          <w:p>
            <w:pPr>
              <w:pStyle w:val="Compact"/>
            </w:pPr>
            <w:r>
              <w:t xml:space="preserve">Future expansion (~10 %)</w:t>
            </w:r>
          </w:p>
        </w:tc>
        <w:tc>
          <w:tcPr/>
          <w:p>
            <w:pPr>
              <w:pStyle w:val="Compact"/>
            </w:pPr>
            <w:r>
              <w:t xml:space="preserve">170.0</w:t>
            </w:r>
          </w:p>
        </w:tc>
        <w:tc>
          <w:tcPr/>
          <w:p>
            <w:pPr>
              <w:pStyle w:val="Compact"/>
            </w:pPr>
            <w:r>
              <w:t xml:space="preserve">Brief</w:t>
            </w:r>
          </w:p>
        </w:tc>
      </w:tr>
      <w:tr>
        <w:tc>
          <w:tcPr/>
          <w:p>
            <w:pPr>
              <w:pStyle w:val="Compact"/>
            </w:pPr>
            <w:r>
              <w:rPr>
                <w:b/>
                <w:bCs/>
              </w:rPr>
              <w:t xml:space="preserve">Total building (workbook)</w:t>
            </w:r>
          </w:p>
        </w:tc>
        <w:tc>
          <w:tcPr/>
          <w:p>
            <w:pPr>
              <w:pStyle w:val="Compact"/>
            </w:pPr>
            <w:r>
              <w:rPr>
                <w:b/>
                <w:bCs/>
              </w:rPr>
              <w:t xml:space="preserve">1 867</w:t>
            </w:r>
          </w:p>
        </w:tc>
        <w:tc>
          <w:tcPr/>
          <w:p>
            <w:pPr>
              <w:pStyle w:val="Compact"/>
            </w:pPr>
            <w:r>
              <w:t xml:space="preserve">Space_Summary</w:t>
            </w:r>
          </w:p>
        </w:tc>
      </w:tr>
    </w:tbl>
    <w:bookmarkStart w:id="79" w:name="space-corrections-and-reconciliation"/>
    <w:p>
      <w:pPr>
        <w:pStyle w:val="Heading3"/>
      </w:pPr>
      <w:r>
        <w:t xml:space="preserve">Space corrections and reconciliation</w:t>
      </w:r>
    </w:p>
    <w:p>
      <w:pPr>
        <w:pStyle w:val="FirstParagraph"/>
      </w:pPr>
      <w:r>
        <w:t xml:space="preserve">Three corrections were identified during the detail design and are reconciled in Table 6.34. None is a workbook error; each arises where a real equipment geometry exceeds the uniform 6 m² workstation allowance or the aggregate WIP line item.</w:t>
      </w:r>
    </w:p>
    <w:p>
      <w:pPr>
        <w:pStyle w:val="BodyText"/>
      </w:pPr>
      <w:r>
        <w:rPr>
          <w:b/>
          <w:bCs/>
        </w:rPr>
        <w:t xml:space="preserve">Table 6.34: Space correction reconciliation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Item</w:t>
            </w:r>
          </w:p>
        </w:tc>
        <w:tc>
          <w:tcPr/>
          <w:p>
            <w:pPr>
              <w:pStyle w:val="Compact"/>
            </w:pPr>
            <w:r>
              <w:t xml:space="preserve">Workbook base</w:t>
            </w:r>
          </w:p>
        </w:tc>
        <w:tc>
          <w:tcPr/>
          <w:p>
            <w:pPr>
              <w:pStyle w:val="Compact"/>
            </w:pPr>
            <w:r>
              <w:t xml:space="preserve">Correction / design adjustment</w:t>
            </w:r>
          </w:p>
        </w:tc>
        <w:tc>
          <w:tcPr/>
          <w:p>
            <w:pPr>
              <w:pStyle w:val="Compact"/>
            </w:pPr>
            <w:r>
              <w:t xml:space="preserve">Revised design value</w:t>
            </w:r>
          </w:p>
        </w:tc>
        <w:tc>
          <w:tcPr/>
          <w:p>
            <w:pPr>
              <w:pStyle w:val="Compact"/>
            </w:pPr>
            <w:r>
              <w:t xml:space="preserve">Absorbed or increase?</w:t>
            </w:r>
          </w:p>
        </w:tc>
        <w:tc>
          <w:tcPr/>
          <w:p>
            <w:pPr>
              <w:pStyle w:val="Compact"/>
            </w:pPr>
            <w:r>
              <w:t xml:space="preserve">Recommended for MFP</w:t>
            </w:r>
          </w:p>
        </w:tc>
      </w:tr>
      <w:tr>
        <w:tc>
          <w:tcPr/>
          <w:p>
            <w:pPr>
              <w:pStyle w:val="Compact"/>
            </w:pPr>
            <w:r>
              <w:t xml:space="preserve">Saw infeed strips (§6.3.1)</w:t>
            </w:r>
          </w:p>
        </w:tc>
        <w:tc>
          <w:tcPr/>
          <w:p>
            <w:pPr>
              <w:pStyle w:val="Compact"/>
            </w:pPr>
            <w:r>
              <w:t xml:space="preserve">2 stations × 6 m² = 12 m²</w:t>
            </w:r>
          </w:p>
        </w:tc>
        <w:tc>
          <w:tcPr/>
          <w:p>
            <w:pPr>
              <w:pStyle w:val="Compact"/>
            </w:pPr>
            <w:r>
              <w:t xml:space="preserve">Bar-fed saw needs an 8–10 m strip incl. 6 m magazine: ≈ 18 m²/saw [VERIFY against selected machine]</w:t>
            </w:r>
          </w:p>
        </w:tc>
        <w:tc>
          <w:tcPr/>
          <w:p>
            <w:pPr>
              <w:pStyle w:val="Compact"/>
            </w:pPr>
            <w:r>
              <w:t xml:space="preserve">36 m²</w:t>
            </w:r>
          </w:p>
        </w:tc>
        <w:tc>
          <w:tcPr/>
          <w:p>
            <w:pPr>
              <w:pStyle w:val="Compact"/>
            </w:pPr>
            <w:r>
              <w:rPr>
                <w:b/>
                <w:bCs/>
              </w:rPr>
              <w:t xml:space="preserve">Increase +24 m²</w:t>
            </w:r>
            <w:r>
              <w:t xml:space="preserve"> </w:t>
            </w:r>
            <w:r>
              <w:t xml:space="preserve">— partially overlaps the cantilever-rack feed aisle (§6.6.1), so up to half may be recovered at layout stage; carried in full as a conservative addition</w:t>
            </w:r>
          </w:p>
        </w:tc>
        <w:tc>
          <w:tcPr/>
          <w:p>
            <w:pPr>
              <w:pStyle w:val="Compact"/>
            </w:pPr>
            <w:r>
              <w:t xml:space="preserve">+24 m² to production workstations</w:t>
            </w:r>
          </w:p>
        </w:tc>
      </w:tr>
      <w:tr>
        <w:tc>
          <w:tcPr/>
          <w:p>
            <w:pPr>
              <w:pStyle w:val="Compact"/>
            </w:pPr>
            <w:r>
              <w:t xml:space="preserve">Packaging cell extension (§6.3.17)</w:t>
            </w:r>
          </w:p>
        </w:tc>
        <w:tc>
          <w:tcPr/>
          <w:p>
            <w:pPr>
              <w:pStyle w:val="Compact"/>
            </w:pPr>
            <w:r>
              <w:t xml:space="preserve">2 stations × 6 m² = 12 m²</w:t>
            </w:r>
          </w:p>
        </w:tc>
        <w:tc>
          <w:tcPr/>
          <w:p>
            <w:pPr>
              <w:pStyle w:val="Compact"/>
            </w:pPr>
            <w:r>
              <w:t xml:space="preserve">Pallet-build positions + consumable shelving: ≈ 18 m² total [VERIFY bench design]</w:t>
            </w:r>
          </w:p>
        </w:tc>
        <w:tc>
          <w:tcPr/>
          <w:p>
            <w:pPr>
              <w:pStyle w:val="Compact"/>
            </w:pPr>
            <w:r>
              <w:t xml:space="preserve">18 m²</w:t>
            </w:r>
          </w:p>
        </w:tc>
        <w:tc>
          <w:tcPr/>
          <w:p>
            <w:pPr>
              <w:pStyle w:val="Compact"/>
            </w:pPr>
            <w:r>
              <w:rPr>
                <w:b/>
                <w:bCs/>
              </w:rPr>
              <w:t xml:space="preserve">Increase +6 m²</w:t>
            </w:r>
          </w:p>
        </w:tc>
        <w:tc>
          <w:tcPr/>
          <w:p>
            <w:pPr>
              <w:pStyle w:val="Compact"/>
            </w:pPr>
            <w:r>
              <w:t xml:space="preserve">+6 m² to production workstations</w:t>
            </w:r>
          </w:p>
        </w:tc>
      </w:tr>
      <w:tr>
        <w:tc>
          <w:tcPr/>
          <w:p>
            <w:pPr>
              <w:pStyle w:val="Compact"/>
            </w:pPr>
            <w:r>
              <w:t xml:space="preserve">Oven WIP day-buffers (§6.3.12, §6.6.2)</w:t>
            </w:r>
          </w:p>
        </w:tc>
        <w:tc>
          <w:tcPr/>
          <w:p>
            <w:pPr>
              <w:pStyle w:val="Compact"/>
            </w:pPr>
            <w:r>
              <w:t xml:space="preserve">Aggregate WIP 3.8 m²</w:t>
            </w:r>
          </w:p>
        </w:tc>
        <w:tc>
          <w:tcPr/>
          <w:p>
            <w:pPr>
              <w:pStyle w:val="Compact"/>
            </w:pPr>
            <w:r>
              <w:t xml:space="preserve">≈ 10 pallet-equivalent positions × 1.2 m² × 1.6 aisle factor ≈ 19.2 m², additional to the aggregate line item [VERIFY buffer policy]</w:t>
            </w:r>
          </w:p>
        </w:tc>
        <w:tc>
          <w:tcPr/>
          <w:p>
            <w:pPr>
              <w:pStyle w:val="Compact"/>
            </w:pPr>
            <w:r>
              <w:t xml:space="preserve">23.0 m² total WIP</w:t>
            </w:r>
          </w:p>
        </w:tc>
        <w:tc>
          <w:tcPr/>
          <w:p>
            <w:pPr>
              <w:pStyle w:val="Compact"/>
            </w:pPr>
            <w:r>
              <w:rPr>
                <w:b/>
                <w:bCs/>
              </w:rPr>
              <w:t xml:space="preserve">Increase +19.2 m²</w:t>
            </w:r>
            <w:r>
              <w:t xml:space="preserve"> </w:t>
            </w:r>
            <w:r>
              <w:t xml:space="preserve">— genuine storage floor; cannot be absorbed by circulation (circulation funds aisles, not buffers)</w:t>
            </w:r>
          </w:p>
        </w:tc>
        <w:tc>
          <w:tcPr/>
          <w:p>
            <w:pPr>
              <w:pStyle w:val="Compact"/>
            </w:pPr>
            <w:r>
              <w:t xml:space="preserve">+19.2 m² to storage</w:t>
            </w:r>
          </w:p>
        </w:tc>
      </w:tr>
      <w:tr>
        <w:tc>
          <w:tcPr/>
          <w:p>
            <w:pPr>
              <w:pStyle w:val="Compact"/>
            </w:pPr>
            <w:r>
              <w:rPr>
                <w:b/>
                <w:bCs/>
              </w:rPr>
              <w:t xml:space="preserve">Total correction</w:t>
            </w:r>
          </w:p>
        </w:tc>
        <w:tc>
          <w:tcPr/>
          <w:p>
            <w:pPr>
              <w:pStyle w:val="Compact"/>
            </w:pPr>
          </w:p>
        </w:tc>
        <w:tc>
          <w:tcPr/>
          <w:p>
            <w:pPr>
              <w:pStyle w:val="Compact"/>
            </w:pPr>
          </w:p>
        </w:tc>
        <w:tc>
          <w:tcPr/>
          <w:p>
            <w:pPr>
              <w:pStyle w:val="Compact"/>
            </w:pPr>
          </w:p>
        </w:tc>
        <w:tc>
          <w:tcPr/>
          <w:p>
            <w:pPr>
              <w:pStyle w:val="Compact"/>
            </w:pPr>
            <w:r>
              <w:rPr>
                <w:b/>
                <w:bCs/>
              </w:rPr>
              <w:t xml:space="preserve">+49.2 m² functional</w:t>
            </w:r>
          </w:p>
        </w:tc>
        <w:tc>
          <w:tcPr/>
          <w:p>
            <w:pPr>
              <w:pStyle w:val="Compact"/>
            </w:pPr>
          </w:p>
        </w:tc>
      </w:tr>
    </w:tbl>
    <w:p>
      <w:pPr>
        <w:pStyle w:val="BodyText"/>
      </w:pPr>
      <w:r>
        <w:t xml:space="preserve">The corrections are deliberately</w:t>
      </w:r>
      <w:r>
        <w:t xml:space="preserve"> </w:t>
      </w:r>
      <w:r>
        <w:rPr>
          <w:i/>
          <w:iCs/>
        </w:rPr>
        <w:t xml:space="preserve">not</w:t>
      </w:r>
      <w:r>
        <w:t xml:space="preserve"> </w:t>
      </w:r>
      <w:r>
        <w:t xml:space="preserve">absorbed into the 10 % expansion allowance: that allowance exists for demand growth (and for the §6.4 availability case), not for known design-stage geometry. They are also conservative — the oven-buffer correction carries both the storage aisle factor and the general circulation allowance, and the saw-strip overlap with the rack aisle is not credited — so the revised totals are an upper bound to be refined when the alternatives are drawn.</w:t>
      </w:r>
    </w:p>
    <w:p>
      <w:pPr>
        <w:pStyle w:val="BodyText"/>
      </w:pPr>
      <w:r>
        <w:rPr>
          <w:b/>
          <w:bCs/>
        </w:rPr>
        <w:t xml:space="preserve">Table 6.35: Final building and site areas (recommended for the MFP)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Workbook (m²)</w:t>
            </w:r>
          </w:p>
        </w:tc>
        <w:tc>
          <w:tcPr/>
          <w:p>
            <w:pPr>
              <w:pStyle w:val="Compact"/>
            </w:pPr>
            <w:r>
              <w:t xml:space="preserve">Corrected design value (m²)</w:t>
            </w:r>
          </w:p>
        </w:tc>
        <w:tc>
          <w:tcPr/>
          <w:p>
            <w:pPr>
              <w:pStyle w:val="Compact"/>
            </w:pPr>
            <w:r>
              <w:t xml:space="preserve">Basis</w:t>
            </w:r>
          </w:p>
        </w:tc>
      </w:tr>
      <w:tr>
        <w:tc>
          <w:tcPr/>
          <w:p>
            <w:pPr>
              <w:pStyle w:val="Compact"/>
            </w:pPr>
            <w:r>
              <w:t xml:space="preserve">Functional subtotal</w:t>
            </w:r>
          </w:p>
        </w:tc>
        <w:tc>
          <w:tcPr/>
          <w:p>
            <w:pPr>
              <w:pStyle w:val="Compact"/>
            </w:pPr>
            <w:r>
              <w:t xml:space="preserve">1 305.8</w:t>
            </w:r>
          </w:p>
        </w:tc>
        <w:tc>
          <w:tcPr/>
          <w:p>
            <w:pPr>
              <w:pStyle w:val="Compact"/>
            </w:pPr>
            <w:r>
              <w:t xml:space="preserve">1 355.0</w:t>
            </w:r>
          </w:p>
        </w:tc>
        <w:tc>
          <w:tcPr/>
          <w:p>
            <w:pPr>
              <w:pStyle w:val="Compact"/>
            </w:pPr>
            <w:r>
              <w:t xml:space="preserve">Table 6.33 + Table 6.34</w:t>
            </w:r>
          </w:p>
        </w:tc>
      </w:tr>
      <w:tr>
        <w:tc>
          <w:tcPr/>
          <w:p>
            <w:pPr>
              <w:pStyle w:val="Compact"/>
            </w:pPr>
            <w:r>
              <w:t xml:space="preserve">Circulation / aisles (30 %)</w:t>
            </w:r>
          </w:p>
        </w:tc>
        <w:tc>
          <w:tcPr/>
          <w:p>
            <w:pPr>
              <w:pStyle w:val="Compact"/>
            </w:pPr>
            <w:r>
              <w:t xml:space="preserve">391.7</w:t>
            </w:r>
          </w:p>
        </w:tc>
        <w:tc>
          <w:tcPr/>
          <w:p>
            <w:pPr>
              <w:pStyle w:val="Compact"/>
            </w:pPr>
            <w:r>
              <w:t xml:space="preserve">406.5</w:t>
            </w:r>
          </w:p>
        </w:tc>
        <w:tc>
          <w:tcPr/>
          <w:p>
            <w:pPr>
              <w:pStyle w:val="Compact"/>
            </w:pPr>
            <w:r>
              <w:t xml:space="preserve">Equation 6.18</w:t>
            </w:r>
          </w:p>
        </w:tc>
      </w:tr>
      <w:tr>
        <w:tc>
          <w:tcPr/>
          <w:p>
            <w:pPr>
              <w:pStyle w:val="Compact"/>
            </w:pPr>
            <w:r>
              <w:t xml:space="preserve">Building subtotal</w:t>
            </w:r>
          </w:p>
        </w:tc>
        <w:tc>
          <w:tcPr/>
          <w:p>
            <w:pPr>
              <w:pStyle w:val="Compact"/>
            </w:pPr>
            <w:r>
              <w:t xml:space="preserve">1 697.5</w:t>
            </w:r>
          </w:p>
        </w:tc>
        <w:tc>
          <w:tcPr/>
          <w:p>
            <w:pPr>
              <w:pStyle w:val="Compact"/>
            </w:pPr>
            <w:r>
              <w:t xml:space="preserve">1 761.5</w:t>
            </w:r>
          </w:p>
        </w:tc>
        <w:tc>
          <w:tcPr/>
          <w:p>
            <w:pPr>
              <w:pStyle w:val="Compact"/>
            </w:pPr>
          </w:p>
        </w:tc>
      </w:tr>
      <w:tr>
        <w:tc>
          <w:tcPr/>
          <w:p>
            <w:pPr>
              <w:pStyle w:val="Compact"/>
            </w:pPr>
            <w:r>
              <w:t xml:space="preserve">Future expansion (~10 %)</w:t>
            </w:r>
          </w:p>
        </w:tc>
        <w:tc>
          <w:tcPr/>
          <w:p>
            <w:pPr>
              <w:pStyle w:val="Compact"/>
            </w:pPr>
            <w:r>
              <w:t xml:space="preserve">170.0</w:t>
            </w:r>
          </w:p>
        </w:tc>
        <w:tc>
          <w:tcPr/>
          <w:p>
            <w:pPr>
              <w:pStyle w:val="Compact"/>
            </w:pPr>
            <w:r>
              <w:t xml:space="preserve">176.1</w:t>
            </w:r>
          </w:p>
        </w:tc>
        <w:tc>
          <w:tcPr/>
          <w:p>
            <w:pPr>
              <w:pStyle w:val="Compact"/>
            </w:pPr>
            <w:r>
              <w:t xml:space="preserve">Brief</w:t>
            </w:r>
          </w:p>
        </w:tc>
      </w:tr>
      <w:tr>
        <w:tc>
          <w:tcPr/>
          <w:p>
            <w:pPr>
              <w:pStyle w:val="Compact"/>
            </w:pPr>
            <w:r>
              <w:rPr>
                <w:b/>
                <w:bCs/>
              </w:rPr>
              <w:t xml:space="preserve">Total building</w:t>
            </w:r>
          </w:p>
        </w:tc>
        <w:tc>
          <w:tcPr/>
          <w:p>
            <w:pPr>
              <w:pStyle w:val="Compact"/>
            </w:pPr>
            <w:r>
              <w:rPr>
                <w:b/>
                <w:bCs/>
              </w:rPr>
              <w:t xml:space="preserve">1 867</w:t>
            </w:r>
          </w:p>
        </w:tc>
        <w:tc>
          <w:tcPr/>
          <w:p>
            <w:pPr>
              <w:pStyle w:val="Compact"/>
            </w:pPr>
            <w:r>
              <w:rPr>
                <w:b/>
                <w:bCs/>
              </w:rPr>
              <w:t xml:space="preserve">≈ 1 940</w:t>
            </w:r>
          </w:p>
        </w:tc>
        <w:tc>
          <w:tcPr/>
          <w:p>
            <w:pPr>
              <w:pStyle w:val="Compact"/>
            </w:pPr>
            <w:r>
              <w:t xml:space="preserve">Recommended MFP value</w:t>
            </w:r>
          </w:p>
        </w:tc>
      </w:tr>
      <w:tr>
        <w:tc>
          <w:tcPr/>
          <w:p>
            <w:pPr>
              <w:pStyle w:val="Compact"/>
            </w:pPr>
            <w:r>
              <w:t xml:space="preserve">External vehicle area (parking + trucks)</w:t>
            </w:r>
          </w:p>
        </w:tc>
        <w:tc>
          <w:tcPr/>
          <w:p>
            <w:pPr>
              <w:pStyle w:val="Compact"/>
            </w:pPr>
            <w:r>
              <w:t xml:space="preserve">2 110</w:t>
            </w:r>
          </w:p>
        </w:tc>
        <w:tc>
          <w:tcPr/>
          <w:p>
            <w:pPr>
              <w:pStyle w:val="Compact"/>
            </w:pPr>
            <w:r>
              <w:t xml:space="preserve">2 110</w:t>
            </w:r>
          </w:p>
        </w:tc>
        <w:tc>
          <w:tcPr/>
          <w:p>
            <w:pPr>
              <w:pStyle w:val="Compact"/>
            </w:pPr>
            <w:r>
              <w:t xml:space="preserve">Table 6.32 (unchanged)</w:t>
            </w:r>
          </w:p>
        </w:tc>
      </w:tr>
      <w:tr>
        <w:tc>
          <w:tcPr/>
          <w:p>
            <w:pPr>
              <w:pStyle w:val="Compact"/>
            </w:pPr>
            <w:r>
              <w:rPr>
                <w:b/>
                <w:bCs/>
              </w:rPr>
              <w:t xml:space="preserve">Indicative site requirement</w:t>
            </w:r>
          </w:p>
        </w:tc>
        <w:tc>
          <w:tcPr/>
          <w:p>
            <w:pPr>
              <w:pStyle w:val="Compact"/>
            </w:pPr>
            <w:r>
              <w:rPr>
                <w:b/>
                <w:bCs/>
              </w:rPr>
              <w:t xml:space="preserve">3 977</w:t>
            </w:r>
          </w:p>
        </w:tc>
        <w:tc>
          <w:tcPr/>
          <w:p>
            <w:pPr>
              <w:pStyle w:val="Compact"/>
            </w:pPr>
            <w:r>
              <w:rPr>
                <w:b/>
                <w:bCs/>
              </w:rPr>
              <w:t xml:space="preserve">≈ 4 050</w:t>
            </w:r>
          </w:p>
        </w:tc>
        <w:tc>
          <w:tcPr/>
          <w:p>
            <w:pPr>
              <w:pStyle w:val="Compact"/>
            </w:pPr>
            <w:r>
              <w:t xml:space="preserve">Recommended MFP value</w:t>
            </w:r>
          </w:p>
        </w:tc>
      </w:tr>
    </w:tbl>
    <w:p>
      <w:pPr>
        <w:pStyle w:val="BodyText"/>
      </w:pPr>
      <w:r>
        <w:rPr>
          <w:i/>
          <w:iCs/>
        </w:rPr>
        <w:t xml:space="preserve">The site figure covers building and vehicle areas only; yard circulation, the truck apron geometry of §6.5, landscaping and setbacks are layout-dependent and will enlarge the practical erf requirement — to be resolved when the alternatives are drawn [VERIFY against available site].</w:t>
      </w:r>
    </w:p>
    <w:bookmarkEnd w:id="79"/>
    <w:bookmarkStart w:id="80" w:name="positioning-the-10-expansion-allowance"/>
    <w:p>
      <w:pPr>
        <w:pStyle w:val="Heading3"/>
      </w:pPr>
      <w:r>
        <w:t xml:space="preserve">Positioning the 10 % expansion allowance</w:t>
      </w:r>
    </w:p>
    <w:p>
      <w:pPr>
        <w:pStyle w:val="FirstParagraph"/>
      </w:pPr>
      <w:r>
        <w:t xml:space="preserve">The expansion allowance (≈ 176 m²) should be positioned, not pooled. The chapter identifies exactly where growth pressure will land: the 94.7 %+ stations (§6.4’s +7-machine availability/growth case, ≈ 42 m² of workstation ground adjacent to the sharpening/serrating/polishing rows and the knurling bank), a second dock knock-out panel (§6.5), and headroom beside finished-goods racking (a fifth pallet level or one additional row, since FG cover is the largest inventory). The remainder stays as unallocated shell adjacent to the press cell, which §6.3.8 showed grows by die-sets rather than area. Expansion ground must</w:t>
      </w:r>
      <w:r>
        <w:t xml:space="preserve"> </w:t>
      </w:r>
      <w:r>
        <w:rPr>
          <w:i/>
          <w:iCs/>
        </w:rPr>
        <w:t xml:space="preserve">not</w:t>
      </w:r>
      <w:r>
        <w:t xml:space="preserve"> </w:t>
      </w:r>
      <w:r>
        <w:t xml:space="preserve">be placed inside the powder enclosure or the finishing zone’s extraction footprint, where retrofitting is most expensive.</w:t>
      </w:r>
    </w:p>
    <w:p>
      <w:pPr>
        <w:pStyle w:val="BodyText"/>
      </w:pPr>
      <w:r>
        <w:rPr>
          <w:b/>
          <w:bCs/>
        </w:rPr>
        <w:t xml:space="preserve">Figure 6.12: Space allocation block diagram — proportional functional areas of Table 6.35, services wall, milk-run spine and positioned expansion ground; the bridge to the layout alternatives. (Author’s own.)</w:t>
      </w:r>
    </w:p>
    <w:bookmarkEnd w:id="80"/>
    <w:bookmarkStart w:id="81" w:name="outstanding-verification-register"/>
    <w:p>
      <w:pPr>
        <w:pStyle w:val="Heading3"/>
      </w:pPr>
      <w:r>
        <w:t xml:space="preserve">Outstanding verification register</w:t>
      </w:r>
    </w:p>
    <w:p>
      <w:pPr>
        <w:pStyle w:val="FirstParagraph"/>
      </w:pPr>
      <w:r>
        <w:rPr>
          <w:b/>
          <w:bCs/>
        </w:rPr>
        <w:t xml:space="preserve">Table 6.36: Consolidated [VERIFY] register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Section</w:t>
            </w:r>
          </w:p>
        </w:tc>
        <w:tc>
          <w:tcPr/>
          <w:p>
            <w:pPr>
              <w:pStyle w:val="Compact"/>
            </w:pPr>
            <w:r>
              <w:t xml:space="preserve">What must be confirmed</w:t>
            </w:r>
          </w:p>
        </w:tc>
      </w:tr>
      <w:tr>
        <w:tc>
          <w:tcPr/>
          <w:p>
            <w:pPr>
              <w:pStyle w:val="Compact"/>
            </w:pPr>
            <w:r>
              <w:t xml:space="preserve">1</w:t>
            </w:r>
          </w:p>
        </w:tc>
        <w:tc>
          <w:tcPr/>
          <w:p>
            <w:pPr>
              <w:pStyle w:val="Compact"/>
            </w:pPr>
            <w:r>
              <w:t xml:space="preserve">Ø31.70 × 3.18 mm tube availability in 6 m stock</w:t>
            </w:r>
          </w:p>
        </w:tc>
        <w:tc>
          <w:tcPr/>
          <w:p>
            <w:pPr>
              <w:pStyle w:val="Compact"/>
            </w:pPr>
            <w:r>
              <w:t xml:space="preserve">6.2</w:t>
            </w:r>
          </w:p>
        </w:tc>
        <w:tc>
          <w:tcPr/>
          <w:p>
            <w:pPr>
              <w:pStyle w:val="Compact"/>
            </w:pPr>
            <w:r>
              <w:t xml:space="preserve">Supplier confirmation of the specific section</w:t>
            </w:r>
          </w:p>
        </w:tc>
      </w:tr>
      <w:tr>
        <w:tc>
          <w:tcPr/>
          <w:p>
            <w:pPr>
              <w:pStyle w:val="Compact"/>
            </w:pPr>
            <w:r>
              <w:t xml:space="preserve">2</w:t>
            </w:r>
          </w:p>
        </w:tc>
        <w:tc>
          <w:tcPr/>
          <w:p>
            <w:pPr>
              <w:pStyle w:val="Compact"/>
            </w:pPr>
            <w:r>
              <w:t xml:space="preserve">Saw kerf (2.5 mm allowance) and sections/tube = 39</w:t>
            </w:r>
          </w:p>
        </w:tc>
        <w:tc>
          <w:tcPr/>
          <w:p>
            <w:pPr>
              <w:pStyle w:val="Compact"/>
            </w:pPr>
            <w:r>
              <w:t xml:space="preserve">6.2</w:t>
            </w:r>
          </w:p>
        </w:tc>
        <w:tc>
          <w:tcPr/>
          <w:p>
            <w:pPr>
              <w:pStyle w:val="Compact"/>
            </w:pPr>
            <w:r>
              <w:t xml:space="preserve">Blade specification of the selected saw</w:t>
            </w:r>
          </w:p>
        </w:tc>
      </w:tr>
      <w:tr>
        <w:tc>
          <w:tcPr/>
          <w:p>
            <w:pPr>
              <w:pStyle w:val="Compact"/>
            </w:pPr>
            <w:r>
              <w:t xml:space="preserve">3</w:t>
            </w:r>
          </w:p>
        </w:tc>
        <w:tc>
          <w:tcPr/>
          <w:p>
            <w:pPr>
              <w:pStyle w:val="Compact"/>
            </w:pPr>
            <w:r>
              <w:t xml:space="preserve">Sheet size 2 500 × 1 250 mm and 75 % nesting</w:t>
            </w:r>
          </w:p>
        </w:tc>
        <w:tc>
          <w:tcPr/>
          <w:p>
            <w:pPr>
              <w:pStyle w:val="Compact"/>
            </w:pPr>
            <w:r>
              <w:t xml:space="preserve">6.2</w:t>
            </w:r>
          </w:p>
        </w:tc>
        <w:tc>
          <w:tcPr/>
          <w:p>
            <w:pPr>
              <w:pStyle w:val="Compact"/>
            </w:pPr>
            <w:r>
              <w:t xml:space="preserve">Supplier + progressive-die layout</w:t>
            </w:r>
          </w:p>
        </w:tc>
      </w:tr>
      <w:tr>
        <w:tc>
          <w:tcPr/>
          <w:p>
            <w:pPr>
              <w:pStyle w:val="Compact"/>
            </w:pPr>
            <w:r>
              <w:t xml:space="preserve">4</w:t>
            </w:r>
          </w:p>
        </w:tc>
        <w:tc>
          <w:tcPr/>
          <w:p>
            <w:pPr>
              <w:pStyle w:val="Compact"/>
            </w:pPr>
            <w:r>
              <w:t xml:space="preserve">Head/hinge blank sizes (forming allowances)</w:t>
            </w:r>
          </w:p>
        </w:tc>
        <w:tc>
          <w:tcPr/>
          <w:p>
            <w:pPr>
              <w:pStyle w:val="Compact"/>
            </w:pPr>
            <w:r>
              <w:t xml:space="preserve">6.2</w:t>
            </w:r>
          </w:p>
        </w:tc>
        <w:tc>
          <w:tcPr/>
          <w:p>
            <w:pPr>
              <w:pStyle w:val="Compact"/>
            </w:pPr>
            <w:r>
              <w:t xml:space="preserve">Die design</w:t>
            </w:r>
          </w:p>
        </w:tc>
      </w:tr>
      <w:tr>
        <w:tc>
          <w:tcPr/>
          <w:p>
            <w:pPr>
              <w:pStyle w:val="Compact"/>
            </w:pPr>
            <w:r>
              <w:t xml:space="preserve">5</w:t>
            </w:r>
          </w:p>
        </w:tc>
        <w:tc>
          <w:tcPr/>
          <w:p>
            <w:pPr>
              <w:pStyle w:val="Compact"/>
            </w:pPr>
            <w:r>
              <w:t xml:space="preserve">Rivet quantity (2/shovel assumed) and specification; 5 s cycle coverage</w:t>
            </w:r>
          </w:p>
        </w:tc>
        <w:tc>
          <w:tcPr/>
          <w:p>
            <w:pPr>
              <w:pStyle w:val="Compact"/>
            </w:pPr>
            <w:r>
              <w:t xml:space="preserve">6.2, 6.3.11</w:t>
            </w:r>
          </w:p>
        </w:tc>
        <w:tc>
          <w:tcPr/>
          <w:p>
            <w:pPr>
              <w:pStyle w:val="Compact"/>
            </w:pPr>
            <w:r>
              <w:t xml:space="preserve">Product engineering</w:t>
            </w:r>
          </w:p>
        </w:tc>
      </w:tr>
      <w:tr>
        <w:tc>
          <w:tcPr/>
          <w:p>
            <w:pPr>
              <w:pStyle w:val="Compact"/>
            </w:pPr>
            <w:r>
              <w:t xml:space="preserve">6</w:t>
            </w:r>
          </w:p>
        </w:tc>
        <w:tc>
          <w:tcPr/>
          <w:p>
            <w:pPr>
              <w:pStyle w:val="Compact"/>
            </w:pPr>
            <w:r>
              <w:t xml:space="preserve">Bought-out cover policy (bags, rivets at 2 weeks)</w:t>
            </w:r>
          </w:p>
        </w:tc>
        <w:tc>
          <w:tcPr/>
          <w:p>
            <w:pPr>
              <w:pStyle w:val="Compact"/>
            </w:pPr>
            <w:r>
              <w:t xml:space="preserve">6.2</w:t>
            </w:r>
          </w:p>
        </w:tc>
        <w:tc>
          <w:tcPr/>
          <w:p>
            <w:pPr>
              <w:pStyle w:val="Compact"/>
            </w:pPr>
            <w:r>
              <w:t xml:space="preserve">Purchasing policy</w:t>
            </w:r>
          </w:p>
        </w:tc>
      </w:tr>
      <w:tr>
        <w:tc>
          <w:tcPr/>
          <w:p>
            <w:pPr>
              <w:pStyle w:val="Compact"/>
            </w:pPr>
            <w:r>
              <w:t xml:space="preserve">7</w:t>
            </w:r>
          </w:p>
        </w:tc>
        <w:tc>
          <w:tcPr/>
          <w:p>
            <w:pPr>
              <w:pStyle w:val="Compact"/>
            </w:pPr>
            <w:r>
              <w:t xml:space="preserve">Supplier delivery cadence (tubes/sheets)</w:t>
            </w:r>
          </w:p>
        </w:tc>
        <w:tc>
          <w:tcPr/>
          <w:p>
            <w:pPr>
              <w:pStyle w:val="Compact"/>
            </w:pPr>
            <w:r>
              <w:t xml:space="preserve">6.2, 6.5</w:t>
            </w:r>
          </w:p>
        </w:tc>
        <w:tc>
          <w:tcPr/>
          <w:p>
            <w:pPr>
              <w:pStyle w:val="Compact"/>
            </w:pPr>
            <w:r>
              <w:t xml:space="preserve">Supplier agreements</w:t>
            </w:r>
          </w:p>
        </w:tc>
      </w:tr>
      <w:tr>
        <w:tc>
          <w:tcPr/>
          <w:p>
            <w:pPr>
              <w:pStyle w:val="Compact"/>
            </w:pPr>
            <w:r>
              <w:t xml:space="preserve">8</w:t>
            </w:r>
          </w:p>
        </w:tc>
        <w:tc>
          <w:tcPr/>
          <w:p>
            <w:pPr>
              <w:pStyle w:val="Compact"/>
            </w:pPr>
            <w:r>
              <w:t xml:space="preserve">Saw dimensions/power; bundle-cutting capability</w:t>
            </w:r>
          </w:p>
        </w:tc>
        <w:tc>
          <w:tcPr/>
          <w:p>
            <w:pPr>
              <w:pStyle w:val="Compact"/>
            </w:pPr>
            <w:r>
              <w:t xml:space="preserve">6.3.1</w:t>
            </w:r>
          </w:p>
        </w:tc>
        <w:tc>
          <w:tcPr/>
          <w:p>
            <w:pPr>
              <w:pStyle w:val="Compact"/>
            </w:pPr>
            <w:r>
              <w:t xml:space="preserve">Supplier datasheet/quotation</w:t>
            </w:r>
          </w:p>
        </w:tc>
      </w:tr>
      <w:tr>
        <w:tc>
          <w:tcPr/>
          <w:p>
            <w:pPr>
              <w:pStyle w:val="Compact"/>
            </w:pPr>
            <w:r>
              <w:t xml:space="preserve">9</w:t>
            </w:r>
          </w:p>
        </w:tc>
        <w:tc>
          <w:tcPr/>
          <w:p>
            <w:pPr>
              <w:pStyle w:val="Compact"/>
            </w:pPr>
            <w:r>
              <w:t xml:space="preserve">Internal thread specification (middle handle)</w:t>
            </w:r>
          </w:p>
        </w:tc>
        <w:tc>
          <w:tcPr/>
          <w:p>
            <w:pPr>
              <w:pStyle w:val="Compact"/>
            </w:pPr>
            <w:r>
              <w:t xml:space="preserve">6.3.2</w:t>
            </w:r>
          </w:p>
        </w:tc>
        <w:tc>
          <w:tcPr/>
          <w:p>
            <w:pPr>
              <w:pStyle w:val="Compact"/>
            </w:pPr>
            <w:r>
              <w:t xml:space="preserve">Product drawings</w:t>
            </w:r>
          </w:p>
        </w:tc>
      </w:tr>
      <w:tr>
        <w:tc>
          <w:tcPr/>
          <w:p>
            <w:pPr>
              <w:pStyle w:val="Compact"/>
            </w:pPr>
            <w:r>
              <w:t xml:space="preserve">10</w:t>
            </w:r>
          </w:p>
        </w:tc>
        <w:tc>
          <w:tcPr/>
          <w:p>
            <w:pPr>
              <w:pStyle w:val="Compact"/>
            </w:pPr>
            <w:r>
              <w:t xml:space="preserve">End-former model for Ø31.70 × 3.18 mm</w:t>
            </w:r>
          </w:p>
        </w:tc>
        <w:tc>
          <w:tcPr/>
          <w:p>
            <w:pPr>
              <w:pStyle w:val="Compact"/>
            </w:pPr>
            <w:r>
              <w:t xml:space="preserve">6.3.3</w:t>
            </w:r>
          </w:p>
        </w:tc>
        <w:tc>
          <w:tcPr/>
          <w:p>
            <w:pPr>
              <w:pStyle w:val="Compact"/>
            </w:pPr>
            <w:r>
              <w:t xml:space="preserve">Supplier quotation</w:t>
            </w:r>
          </w:p>
        </w:tc>
      </w:tr>
      <w:tr>
        <w:tc>
          <w:tcPr/>
          <w:p>
            <w:pPr>
              <w:pStyle w:val="Compact"/>
            </w:pPr>
            <w:r>
              <w:t xml:space="preserve">11</w:t>
            </w:r>
          </w:p>
        </w:tc>
        <w:tc>
          <w:tcPr/>
          <w:p>
            <w:pPr>
              <w:pStyle w:val="Compact"/>
            </w:pPr>
            <w:r>
              <w:t xml:space="preserve">Achievable thread-rolling cycle (vs 60 s basis)</w:t>
            </w:r>
          </w:p>
        </w:tc>
        <w:tc>
          <w:tcPr/>
          <w:p>
            <w:pPr>
              <w:pStyle w:val="Compact"/>
            </w:pPr>
            <w:r>
              <w:t xml:space="preserve">6.3.4</w:t>
            </w:r>
          </w:p>
        </w:tc>
        <w:tc>
          <w:tcPr/>
          <w:p>
            <w:pPr>
              <w:pStyle w:val="Compact"/>
            </w:pPr>
            <w:r>
              <w:t xml:space="preserve">Supplier quotation</w:t>
            </w:r>
          </w:p>
        </w:tc>
      </w:tr>
      <w:tr>
        <w:tc>
          <w:tcPr/>
          <w:p>
            <w:pPr>
              <w:pStyle w:val="Compact"/>
            </w:pPr>
            <w:r>
              <w:t xml:space="preserve">12</w:t>
            </w:r>
          </w:p>
        </w:tc>
        <w:tc>
          <w:tcPr/>
          <w:p>
            <w:pPr>
              <w:pStyle w:val="Compact"/>
            </w:pPr>
            <w:r>
              <w:t xml:space="preserve">Press tonnages (blanking, forming); press-brake size</w:t>
            </w:r>
          </w:p>
        </w:tc>
        <w:tc>
          <w:tcPr/>
          <w:p>
            <w:pPr>
              <w:pStyle w:val="Compact"/>
            </w:pPr>
            <w:r>
              <w:t xml:space="preserve">6.3.5–6.3.8</w:t>
            </w:r>
          </w:p>
        </w:tc>
        <w:tc>
          <w:tcPr/>
          <w:p>
            <w:pPr>
              <w:pStyle w:val="Compact"/>
            </w:pPr>
            <w:r>
              <w:t xml:space="preserve">Die design + quotation</w:t>
            </w:r>
          </w:p>
        </w:tc>
      </w:tr>
      <w:tr>
        <w:tc>
          <w:tcPr/>
          <w:p>
            <w:pPr>
              <w:pStyle w:val="Compact"/>
            </w:pPr>
            <w:r>
              <w:t xml:space="preserve">13</w:t>
            </w:r>
          </w:p>
        </w:tc>
        <w:tc>
          <w:tcPr/>
          <w:p>
            <w:pPr>
              <w:pStyle w:val="Compact"/>
            </w:pPr>
            <w:r>
              <w:t xml:space="preserve">Sheet-handling assist (≈ 21 kg sheets)</w:t>
            </w:r>
          </w:p>
        </w:tc>
        <w:tc>
          <w:tcPr/>
          <w:p>
            <w:pPr>
              <w:pStyle w:val="Compact"/>
            </w:pPr>
            <w:r>
              <w:t xml:space="preserve">6.3.5</w:t>
            </w:r>
          </w:p>
        </w:tc>
        <w:tc>
          <w:tcPr/>
          <w:p>
            <w:pPr>
              <w:pStyle w:val="Compact"/>
            </w:pPr>
            <w:r>
              <w:t xml:space="preserve">Ergonomic assessment</w:t>
            </w:r>
          </w:p>
        </w:tc>
      </w:tr>
      <w:tr>
        <w:tc>
          <w:tcPr/>
          <w:p>
            <w:pPr>
              <w:pStyle w:val="Compact"/>
            </w:pPr>
            <w:r>
              <w:t xml:space="preserve">14</w:t>
            </w:r>
          </w:p>
        </w:tc>
        <w:tc>
          <w:tcPr/>
          <w:p>
            <w:pPr>
              <w:pStyle w:val="Compact"/>
            </w:pPr>
            <w:r>
              <w:t xml:space="preserve">Combustible aluminium dust controls (NFPA 484-type; local equivalent)</w:t>
            </w:r>
          </w:p>
        </w:tc>
        <w:tc>
          <w:tcPr/>
          <w:p>
            <w:pPr>
              <w:pStyle w:val="Compact"/>
            </w:pPr>
            <w:r>
              <w:t xml:space="preserve">6.3.9–6.3.14</w:t>
            </w:r>
          </w:p>
        </w:tc>
        <w:tc>
          <w:tcPr/>
          <w:p>
            <w:pPr>
              <w:pStyle w:val="Compact"/>
            </w:pPr>
            <w:r>
              <w:t xml:space="preserve">Detailed building design / fire engineer</w:t>
            </w:r>
          </w:p>
        </w:tc>
      </w:tr>
      <w:tr>
        <w:tc>
          <w:tcPr/>
          <w:p>
            <w:pPr>
              <w:pStyle w:val="Compact"/>
            </w:pPr>
            <w:r>
              <w:t xml:space="preserve">15</w:t>
            </w:r>
          </w:p>
        </w:tc>
        <w:tc>
          <w:tcPr/>
          <w:p>
            <w:pPr>
              <w:pStyle w:val="Compact"/>
            </w:pPr>
            <w:r>
              <w:t xml:space="preserve">Serration method (abrasive vs notching) and tooling</w:t>
            </w:r>
          </w:p>
        </w:tc>
        <w:tc>
          <w:tcPr/>
          <w:p>
            <w:pPr>
              <w:pStyle w:val="Compact"/>
            </w:pPr>
            <w:r>
              <w:t xml:space="preserve">6.3.10</w:t>
            </w:r>
          </w:p>
        </w:tc>
        <w:tc>
          <w:tcPr/>
          <w:p>
            <w:pPr>
              <w:pStyle w:val="Compact"/>
            </w:pPr>
            <w:r>
              <w:t xml:space="preserve">Quotation trial</w:t>
            </w:r>
          </w:p>
        </w:tc>
      </w:tr>
      <w:tr>
        <w:tc>
          <w:tcPr/>
          <w:p>
            <w:pPr>
              <w:pStyle w:val="Compact"/>
            </w:pPr>
            <w:r>
              <w:t xml:space="preserve">16</w:t>
            </w:r>
          </w:p>
        </w:tc>
        <w:tc>
          <w:tcPr/>
          <w:p>
            <w:pPr>
              <w:pStyle w:val="Compact"/>
            </w:pPr>
            <w:r>
              <w:t xml:space="preserve">Oven chamber size and racking density for 1 819/batch</w:t>
            </w:r>
          </w:p>
        </w:tc>
        <w:tc>
          <w:tcPr/>
          <w:p>
            <w:pPr>
              <w:pStyle w:val="Compact"/>
            </w:pPr>
            <w:r>
              <w:t xml:space="preserve">6.3.12</w:t>
            </w:r>
          </w:p>
        </w:tc>
        <w:tc>
          <w:tcPr/>
          <w:p>
            <w:pPr>
              <w:pStyle w:val="Compact"/>
            </w:pPr>
            <w:r>
              <w:t xml:space="preserve">Supplier quotation</w:t>
            </w:r>
          </w:p>
        </w:tc>
      </w:tr>
      <w:tr>
        <w:tc>
          <w:tcPr/>
          <w:p>
            <w:pPr>
              <w:pStyle w:val="Compact"/>
            </w:pPr>
            <w:r>
              <w:t xml:space="preserve">17</w:t>
            </w:r>
          </w:p>
        </w:tc>
        <w:tc>
          <w:tcPr/>
          <w:p>
            <w:pPr>
              <w:pStyle w:val="Compact"/>
            </w:pPr>
            <w:r>
              <w:t xml:space="preserve">Sandblast cycle, booth count, automation level</w:t>
            </w:r>
          </w:p>
        </w:tc>
        <w:tc>
          <w:tcPr/>
          <w:p>
            <w:pPr>
              <w:pStyle w:val="Compact"/>
            </w:pPr>
            <w:r>
              <w:t xml:space="preserve">6.3.13</w:t>
            </w:r>
          </w:p>
        </w:tc>
        <w:tc>
          <w:tcPr/>
          <w:p>
            <w:pPr>
              <w:pStyle w:val="Compact"/>
            </w:pPr>
            <w:r>
              <w:t xml:space="preserve">Supplier quotation</w:t>
            </w:r>
          </w:p>
        </w:tc>
      </w:tr>
      <w:tr>
        <w:tc>
          <w:tcPr/>
          <w:p>
            <w:pPr>
              <w:pStyle w:val="Compact"/>
            </w:pPr>
            <w:r>
              <w:t xml:space="preserve">18</w:t>
            </w:r>
          </w:p>
        </w:tc>
        <w:tc>
          <w:tcPr/>
          <w:p>
            <w:pPr>
              <w:pStyle w:val="Compact"/>
            </w:pPr>
            <w:r>
              <w:t xml:space="preserve">Powder line rate (600 parts/h), cure dwell, ventilation and fire design of enclosure</w:t>
            </w:r>
          </w:p>
        </w:tc>
        <w:tc>
          <w:tcPr/>
          <w:p>
            <w:pPr>
              <w:pStyle w:val="Compact"/>
            </w:pPr>
            <w:r>
              <w:t xml:space="preserve">6.3.15</w:t>
            </w:r>
          </w:p>
        </w:tc>
        <w:tc>
          <w:tcPr/>
          <w:p>
            <w:pPr>
              <w:pStyle w:val="Compact"/>
            </w:pPr>
            <w:r>
              <w:t xml:space="preserve">Supplier + fire engineer</w:t>
            </w:r>
          </w:p>
        </w:tc>
      </w:tr>
      <w:tr>
        <w:tc>
          <w:tcPr/>
          <w:p>
            <w:pPr>
              <w:pStyle w:val="Compact"/>
            </w:pPr>
            <w:r>
              <w:t xml:space="preserve">19</w:t>
            </w:r>
          </w:p>
        </w:tc>
        <w:tc>
          <w:tcPr/>
          <w:p>
            <w:pPr>
              <w:pStyle w:val="Compact"/>
            </w:pPr>
            <w:r>
              <w:t xml:space="preserve">Packaging cycle (30 s assumed; brief: workstation-dependent)</w:t>
            </w:r>
          </w:p>
        </w:tc>
        <w:tc>
          <w:tcPr/>
          <w:p>
            <w:pPr>
              <w:pStyle w:val="Compact"/>
            </w:pPr>
            <w:r>
              <w:t xml:space="preserve">6.3.17, 6.4</w:t>
            </w:r>
          </w:p>
        </w:tc>
        <w:tc>
          <w:tcPr/>
          <w:p>
            <w:pPr>
              <w:pStyle w:val="Compact"/>
            </w:pPr>
            <w:r>
              <w:t xml:space="preserve">Workstation design trial</w:t>
            </w:r>
          </w:p>
        </w:tc>
      </w:tr>
      <w:tr>
        <w:tc>
          <w:tcPr/>
          <w:p>
            <w:pPr>
              <w:pStyle w:val="Compact"/>
            </w:pPr>
            <w:r>
              <w:t xml:space="preserve">20</w:t>
            </w:r>
          </w:p>
        </w:tc>
        <w:tc>
          <w:tcPr/>
          <w:p>
            <w:pPr>
              <w:pStyle w:val="Compact"/>
            </w:pPr>
            <w:r>
              <w:t xml:space="preserve">Equipment-dependent &amp; QA operator allocation (pool of 4)</w:t>
            </w:r>
          </w:p>
        </w:tc>
        <w:tc>
          <w:tcPr/>
          <w:p>
            <w:pPr>
              <w:pStyle w:val="Compact"/>
            </w:pPr>
            <w:r>
              <w:t xml:space="preserve">6.4, 6.7</w:t>
            </w:r>
          </w:p>
        </w:tc>
        <w:tc>
          <w:tcPr/>
          <w:p>
            <w:pPr>
              <w:pStyle w:val="Compact"/>
            </w:pPr>
            <w:r>
              <w:t xml:space="preserve">Staffing plan</w:t>
            </w:r>
          </w:p>
        </w:tc>
      </w:tr>
      <w:tr>
        <w:tc>
          <w:tcPr/>
          <w:p>
            <w:pPr>
              <w:pStyle w:val="Compact"/>
            </w:pPr>
            <w:r>
              <w:t xml:space="preserve">21</w:t>
            </w:r>
          </w:p>
        </w:tc>
        <w:tc>
          <w:tcPr/>
          <w:p>
            <w:pPr>
              <w:pStyle w:val="Compact"/>
            </w:pPr>
            <w:r>
              <w:t xml:space="preserve">Dock leveller capacity/pit; door schedule</w:t>
            </w:r>
          </w:p>
        </w:tc>
        <w:tc>
          <w:tcPr/>
          <w:p>
            <w:pPr>
              <w:pStyle w:val="Compact"/>
            </w:pPr>
            <w:r>
              <w:t xml:space="preserve">6.5</w:t>
            </w:r>
          </w:p>
        </w:tc>
        <w:tc>
          <w:tcPr/>
          <w:p>
            <w:pPr>
              <w:pStyle w:val="Compact"/>
            </w:pPr>
            <w:r>
              <w:t xml:space="preserve">Supplier quotation</w:t>
            </w:r>
          </w:p>
        </w:tc>
      </w:tr>
      <w:tr>
        <w:tc>
          <w:tcPr/>
          <w:p>
            <w:pPr>
              <w:pStyle w:val="Compact"/>
            </w:pPr>
            <w:r>
              <w:t xml:space="preserve">22</w:t>
            </w:r>
          </w:p>
        </w:tc>
        <w:tc>
          <w:tcPr/>
          <w:p>
            <w:pPr>
              <w:pStyle w:val="Compact"/>
            </w:pPr>
            <w:r>
              <w:t xml:space="preserve">Cantilever arm capacity; pallet-rack bay ratings; sheet-stack stability</w:t>
            </w:r>
          </w:p>
        </w:tc>
        <w:tc>
          <w:tcPr/>
          <w:p>
            <w:pPr>
              <w:pStyle w:val="Compact"/>
            </w:pPr>
            <w:r>
              <w:t xml:space="preserve">6.6</w:t>
            </w:r>
          </w:p>
        </w:tc>
        <w:tc>
          <w:tcPr/>
          <w:p>
            <w:pPr>
              <w:pStyle w:val="Compact"/>
            </w:pPr>
            <w:r>
              <w:t xml:space="preserve">Racking supplier + SANS-type rack standards</w:t>
            </w:r>
          </w:p>
        </w:tc>
      </w:tr>
      <w:tr>
        <w:tc>
          <w:tcPr/>
          <w:p>
            <w:pPr>
              <w:pStyle w:val="Compact"/>
            </w:pPr>
            <w:r>
              <w:t xml:space="preserve">23</w:t>
            </w:r>
          </w:p>
        </w:tc>
        <w:tc>
          <w:tcPr/>
          <w:p>
            <w:pPr>
              <w:pStyle w:val="Compact"/>
            </w:pPr>
            <w:r>
              <w:t xml:space="preserve">Forklift model/capacity; aisle widths against turning data</w:t>
            </w:r>
          </w:p>
        </w:tc>
        <w:tc>
          <w:tcPr/>
          <w:p>
            <w:pPr>
              <w:pStyle w:val="Compact"/>
            </w:pPr>
            <w:r>
              <w:t xml:space="preserve">6.6</w:t>
            </w:r>
          </w:p>
        </w:tc>
        <w:tc>
          <w:tcPr/>
          <w:p>
            <w:pPr>
              <w:pStyle w:val="Compact"/>
            </w:pPr>
            <w:r>
              <w:t xml:space="preserve">Dealer datasheet</w:t>
            </w:r>
          </w:p>
        </w:tc>
      </w:tr>
      <w:tr>
        <w:tc>
          <w:tcPr/>
          <w:p>
            <w:pPr>
              <w:pStyle w:val="Compact"/>
            </w:pPr>
            <w:r>
              <w:t xml:space="preserve">24</w:t>
            </w:r>
          </w:p>
        </w:tc>
        <w:tc>
          <w:tcPr/>
          <w:p>
            <w:pPr>
              <w:pStyle w:val="Compact"/>
            </w:pPr>
            <w:r>
              <w:t xml:space="preserve">Skip/waste contractor and exchange cadence</w:t>
            </w:r>
          </w:p>
        </w:tc>
        <w:tc>
          <w:tcPr/>
          <w:p>
            <w:pPr>
              <w:pStyle w:val="Compact"/>
            </w:pPr>
            <w:r>
              <w:t xml:space="preserve">6.6.4</w:t>
            </w:r>
          </w:p>
        </w:tc>
        <w:tc>
          <w:tcPr/>
          <w:p>
            <w:pPr>
              <w:pStyle w:val="Compact"/>
            </w:pPr>
            <w:r>
              <w:t xml:space="preserve">Contract</w:t>
            </w:r>
          </w:p>
        </w:tc>
      </w:tr>
      <w:tr>
        <w:tc>
          <w:tcPr/>
          <w:p>
            <w:pPr>
              <w:pStyle w:val="Compact"/>
            </w:pPr>
            <w:r>
              <w:t xml:space="preserve">25</w:t>
            </w:r>
          </w:p>
        </w:tc>
        <w:tc>
          <w:tcPr/>
          <w:p>
            <w:pPr>
              <w:pStyle w:val="Compact"/>
            </w:pPr>
            <w:r>
              <w:t xml:space="preserve">First-aid, sanitary and occupancy provisions; IT/server needs</w:t>
            </w:r>
          </w:p>
        </w:tc>
        <w:tc>
          <w:tcPr/>
          <w:p>
            <w:pPr>
              <w:pStyle w:val="Compact"/>
            </w:pPr>
            <w:r>
              <w:t xml:space="preserve">6.7</w:t>
            </w:r>
          </w:p>
        </w:tc>
        <w:tc>
          <w:tcPr/>
          <w:p>
            <w:pPr>
              <w:pStyle w:val="Compact"/>
            </w:pPr>
            <w:r>
              <w:t xml:space="preserve">Detailed building design (regulatory)</w:t>
            </w:r>
          </w:p>
        </w:tc>
      </w:tr>
      <w:tr>
        <w:tc>
          <w:tcPr/>
          <w:p>
            <w:pPr>
              <w:pStyle w:val="Compact"/>
            </w:pPr>
            <w:r>
              <w:t xml:space="preserve">26</w:t>
            </w:r>
          </w:p>
        </w:tc>
        <w:tc>
          <w:tcPr/>
          <w:p>
            <w:pPr>
              <w:pStyle w:val="Compact"/>
            </w:pPr>
            <w:r>
              <w:t xml:space="preserve">Utility capacities (electrical, air, water); pre-treatment wet stage</w:t>
            </w:r>
          </w:p>
        </w:tc>
        <w:tc>
          <w:tcPr/>
          <w:p>
            <w:pPr>
              <w:pStyle w:val="Compact"/>
            </w:pPr>
            <w:r>
              <w:t xml:space="preserve">6.7.5</w:t>
            </w:r>
          </w:p>
        </w:tc>
        <w:tc>
          <w:tcPr/>
          <w:p>
            <w:pPr>
              <w:pStyle w:val="Compact"/>
            </w:pPr>
            <w:r>
              <w:t xml:space="preserve">Services engineer</w:t>
            </w:r>
          </w:p>
        </w:tc>
      </w:tr>
      <w:tr>
        <w:tc>
          <w:tcPr/>
          <w:p>
            <w:pPr>
              <w:pStyle w:val="Compact"/>
            </w:pPr>
            <w:r>
              <w:t xml:space="preserve">27</w:t>
            </w:r>
          </w:p>
        </w:tc>
        <w:tc>
          <w:tcPr/>
          <w:p>
            <w:pPr>
              <w:pStyle w:val="Compact"/>
            </w:pPr>
            <w:r>
              <w:t xml:space="preserve">Saw-strip, packaging-cell and oven-buffer corrections</w:t>
            </w:r>
          </w:p>
        </w:tc>
        <w:tc>
          <w:tcPr/>
          <w:p>
            <w:pPr>
              <w:pStyle w:val="Compact"/>
            </w:pPr>
            <w:r>
              <w:t xml:space="preserve">6.8</w:t>
            </w:r>
          </w:p>
        </w:tc>
        <w:tc>
          <w:tcPr/>
          <w:p>
            <w:pPr>
              <w:pStyle w:val="Compact"/>
            </w:pPr>
            <w:r>
              <w:t xml:space="preserve">Confirm at layout drawing stage</w:t>
            </w:r>
          </w:p>
        </w:tc>
      </w:tr>
      <w:tr>
        <w:tc>
          <w:tcPr/>
          <w:p>
            <w:pPr>
              <w:pStyle w:val="Compact"/>
            </w:pPr>
            <w:r>
              <w:t xml:space="preserve">28</w:t>
            </w:r>
          </w:p>
        </w:tc>
        <w:tc>
          <w:tcPr/>
          <w:p>
            <w:pPr>
              <w:pStyle w:val="Compact"/>
            </w:pPr>
            <w:r>
              <w:t xml:space="preserve">Practical erf size (yard, setbacks, landscaping)</w:t>
            </w:r>
          </w:p>
        </w:tc>
        <w:tc>
          <w:tcPr/>
          <w:p>
            <w:pPr>
              <w:pStyle w:val="Compact"/>
            </w:pPr>
            <w:r>
              <w:t xml:space="preserve">6.8</w:t>
            </w:r>
          </w:p>
        </w:tc>
        <w:tc>
          <w:tcPr/>
          <w:p>
            <w:pPr>
              <w:pStyle w:val="Compact"/>
            </w:pPr>
            <w:r>
              <w:t xml:space="preserve">Site selection / MFP</w:t>
            </w:r>
          </w:p>
        </w:tc>
      </w:tr>
    </w:tbl>
    <w:bookmarkEnd w:id="81"/>
    <w:bookmarkStart w:id="82" w:name="section-6-close-out"/>
    <w:p>
      <w:pPr>
        <w:pStyle w:val="Heading3"/>
      </w:pPr>
      <w:r>
        <w:t xml:space="preserve">Section 6 close-out</w:t>
      </w:r>
    </w:p>
    <w:p>
      <w:pPr>
        <w:pStyle w:val="FirstParagraph"/>
      </w:pPr>
      <w:r>
        <w:t xml:space="preserve">This chapter converted the DigMore brief into a complete, internally consistent set of design quantities: a takt of 15.83 s/shovel from 1 819 shovels/day; two-week raw-material stocks of 990 tubes and 240 sheets; seventeen specified processes resolved into 34 line machines and operators plus an ageing oven, blast installation and two enclosed powder lines; 43 production-related staff within a headcount of 60; a lean one-dock receiving/dispatch interface with segregated customer collection; 151.8 m² of storage served by a milk-run material-handling system; and a corrected building requirement of approximately 1 940 m² on an indicative 4 050 m² of building-plus-vehicle area, with a positioned 10 % expansion allowance. More important than the totals are the constraints the analysis attaches to them: the split-and-merge flow architecture (tube and sheet streams converging only at final assembly), the two bottleneck zones that anchor the floor plan, the buffer floor demanded by the batch oven, the services wall, the three separated extraction regimes, and the two-faced building (visitor front, industrial rear). The layout alternatives that follow are different geometric answers to these same constraints, and the evaluation matrix should score them on exactly the measures this chapter quantified: demand attainment at takt, flow distance and milk-run circuit length, hazard separation, storage and handling efficiency, site safety, expansion positioning and implementability. The Master Facility Plan then fixes the preferred answer at the dimensions recommended in Table 6.35.</w:t>
      </w:r>
    </w:p>
    <w:bookmarkEnd w:id="82"/>
    <w:bookmarkEnd w:id="83"/>
    <w:bookmarkStart w:id="84" w:name="references-section-6-market-examples"/>
    <w:p>
      <w:pPr>
        <w:pStyle w:val="Heading2"/>
      </w:pPr>
      <w:r>
        <w:t xml:space="preserve">References (Section 6 market examples)</w:t>
      </w:r>
    </w:p>
    <w:p>
      <w:pPr>
        <w:pStyle w:val="FirstParagraph"/>
      </w:pPr>
      <w:r>
        <w:t xml:space="preserve">All supplier sources below are cited as market examples for sizing, workstation design and illustration only — not procurement recommendations. All were accessed on 10 June 2026.</w:t>
      </w:r>
    </w:p>
    <w:p>
      <w:pPr>
        <w:pStyle w:val="BodyText"/>
      </w:pPr>
      <w:r>
        <w:t xml:space="preserve">AGME (n.d.)</w:t>
      </w:r>
      <w:r>
        <w:t xml:space="preserve"> </w:t>
      </w:r>
      <w:r>
        <w:rPr>
          <w:i/>
          <w:iCs/>
        </w:rPr>
        <w:t xml:space="preserve">Radial riveting machines</w:t>
      </w:r>
      <w:r>
        <w:t xml:space="preserve">. Available at: https://www.agme.net/en/riveting-machines/radial-riveting-machines (Accessed: 10 June 2026).</w:t>
      </w:r>
    </w:p>
    <w:p>
      <w:pPr>
        <w:pStyle w:val="BodyText"/>
      </w:pPr>
      <w:r>
        <w:t xml:space="preserve">Airblast AFC (n.d.)</w:t>
      </w:r>
      <w:r>
        <w:t xml:space="preserve"> </w:t>
      </w:r>
      <w:r>
        <w:rPr>
          <w:i/>
          <w:iCs/>
        </w:rPr>
        <w:t xml:space="preserve">Blast rooms</w:t>
      </w:r>
      <w:r>
        <w:t xml:space="preserve">. Available at: https://airblastafc.com/blast-solutions/blast-rooms/ (Accessed: 10 June 2026).</w:t>
      </w:r>
    </w:p>
    <w:p>
      <w:pPr>
        <w:pStyle w:val="BodyText"/>
      </w:pPr>
      <w:r>
        <w:t xml:space="preserve">Cold Saw Blade Store (n.d.)</w:t>
      </w:r>
      <w:r>
        <w:t xml:space="preserve"> </w:t>
      </w:r>
      <w:r>
        <w:rPr>
          <w:i/>
          <w:iCs/>
        </w:rPr>
        <w:t xml:space="preserve">Cold saw blade guide</w:t>
      </w:r>
      <w:r>
        <w:t xml:space="preserve">. Available at: https://coldsawbladestore.com/cold-saw-blade-guide/ (Accessed: 10 June 2026).</w:t>
      </w:r>
    </w:p>
    <w:p>
      <w:pPr>
        <w:pStyle w:val="BodyText"/>
      </w:pPr>
      <w:r>
        <w:t xml:space="preserve">Cotswold Machinery Sales (n.d.a)</w:t>
      </w:r>
      <w:r>
        <w:t xml:space="preserve"> </w:t>
      </w:r>
      <w:r>
        <w:rPr>
          <w:i/>
          <w:iCs/>
        </w:rPr>
        <w:t xml:space="preserve">ROSCAMAT Tiger electric tapping machine</w:t>
      </w:r>
      <w:r>
        <w:t xml:space="preserve">. Available at: https://www.cotswold-machinery-sales.co.uk/roscamat-tapping-machines/electric-tapping-machines/roscamat-tiger-electric-tapping-machine/ (Accessed: 10 June 2026).</w:t>
      </w:r>
    </w:p>
    <w:p>
      <w:pPr>
        <w:pStyle w:val="BodyText"/>
      </w:pPr>
      <w:r>
        <w:t xml:space="preserve">Cotswold Machinery Sales (n.d.b)</w:t>
      </w:r>
      <w:r>
        <w:t xml:space="preserve"> </w:t>
      </w:r>
      <w:r>
        <w:rPr>
          <w:i/>
          <w:iCs/>
        </w:rPr>
        <w:t xml:space="preserve">FX Bend 850</w:t>
      </w:r>
      <w:r>
        <w:t xml:space="preserve">. Available at: https://www.cotswold-machinery-sales.co.uk/euromac-bending-machines/electric-press-brakes/fx-bend-850/ (Accessed: 10 June 2026).</w:t>
      </w:r>
    </w:p>
    <w:p>
      <w:pPr>
        <w:pStyle w:val="BodyText"/>
      </w:pPr>
      <w:r>
        <w:t xml:space="preserve">Cotswold Machinery Sales (n.d.c)</w:t>
      </w:r>
      <w:r>
        <w:t xml:space="preserve"> </w:t>
      </w:r>
      <w:r>
        <w:rPr>
          <w:i/>
          <w:iCs/>
        </w:rPr>
        <w:t xml:space="preserve">VA Multi 220/6R notching machine</w:t>
      </w:r>
      <w:r>
        <w:t xml:space="preserve">. Available at: https://www.cotswold-machinery-sales.co.uk/euromac-bending-machines/notching-machines/va-multi-220-6r-notching-machine/ (Accessed: 10 June 2026).</w:t>
      </w:r>
    </w:p>
    <w:p>
      <w:pPr>
        <w:pStyle w:val="BodyText"/>
      </w:pPr>
      <w:r>
        <w:t xml:space="preserve">EC Hopkins (n.d.)</w:t>
      </w:r>
      <w:r>
        <w:t xml:space="preserve"> </w:t>
      </w:r>
      <w:r>
        <w:rPr>
          <w:i/>
          <w:iCs/>
        </w:rPr>
        <w:t xml:space="preserve">Fein GI75 abrasive belt grinder</w:t>
      </w:r>
      <w:r>
        <w:t xml:space="preserve">. Available at: https://www.echopkins.com/shop/fabrication/large-abrasive-machines/belt-grinders/pedestal/fein-gi75-abrasive-belt-grinder/ (Accessed: 10 June 2026).</w:t>
      </w:r>
    </w:p>
    <w:p>
      <w:pPr>
        <w:pStyle w:val="BodyText"/>
      </w:pPr>
      <w:r>
        <w:t xml:space="preserve">Euro Steel (n.d.)</w:t>
      </w:r>
      <w:r>
        <w:t xml:space="preserve"> </w:t>
      </w:r>
      <w:r>
        <w:rPr>
          <w:i/>
          <w:iCs/>
        </w:rPr>
        <w:t xml:space="preserve">Aluminium sheets</w:t>
      </w:r>
      <w:r>
        <w:t xml:space="preserve">. Available at: https://www.eurosteel.co.za/aluminium-sheets/ (Accessed: 10 June 2026).</w:t>
      </w:r>
    </w:p>
    <w:p>
      <w:pPr>
        <w:pStyle w:val="BodyText"/>
      </w:pPr>
      <w:r>
        <w:t xml:space="preserve">Hippo (n.d.)</w:t>
      </w:r>
      <w:r>
        <w:t xml:space="preserve"> </w:t>
      </w:r>
      <w:r>
        <w:rPr>
          <w:i/>
          <w:iCs/>
        </w:rPr>
        <w:t xml:space="preserve">Tube end former</w:t>
      </w:r>
      <w:r>
        <w:t xml:space="preserve">. Available at: https://www.hippobender.com/tube-end-former/ (Accessed: 10 June 2026).</w:t>
      </w:r>
    </w:p>
    <w:p>
      <w:pPr>
        <w:pStyle w:val="BodyText"/>
      </w:pPr>
      <w:r>
        <w:t xml:space="preserve">Krost Shelving and Racking (n.d.a)</w:t>
      </w:r>
      <w:r>
        <w:t xml:space="preserve"> </w:t>
      </w:r>
      <w:r>
        <w:rPr>
          <w:i/>
          <w:iCs/>
        </w:rPr>
        <w:t xml:space="preserve">Cantilever racking</w:t>
      </w:r>
      <w:r>
        <w:t xml:space="preserve">. Available at: https://www.krostshelving.com/warehouse-storage-solutions/industrial-racking-systems/cantilever-racking/ (Accessed: 10 June 2026).</w:t>
      </w:r>
    </w:p>
    <w:p>
      <w:pPr>
        <w:pStyle w:val="BodyText"/>
      </w:pPr>
      <w:r>
        <w:t xml:space="preserve">Krost Shelving and Racking (n.d.b)</w:t>
      </w:r>
      <w:r>
        <w:t xml:space="preserve"> </w:t>
      </w:r>
      <w:r>
        <w:rPr>
          <w:i/>
          <w:iCs/>
        </w:rPr>
        <w:t xml:space="preserve">Selective pallet racking</w:t>
      </w:r>
      <w:r>
        <w:t xml:space="preserve">. Available at: https://www.krostshelving.com/warehouse-storage-solutions-industrial-racking-systems/selective-pallet-racking/ (Accessed: 10 June 2026).</w:t>
      </w:r>
    </w:p>
    <w:p>
      <w:pPr>
        <w:pStyle w:val="BodyText"/>
      </w:pPr>
      <w:r>
        <w:t xml:space="preserve">Maxiflex (n.d.)</w:t>
      </w:r>
      <w:r>
        <w:t xml:space="preserve"> </w:t>
      </w:r>
      <w:r>
        <w:rPr>
          <w:i/>
          <w:iCs/>
        </w:rPr>
        <w:t xml:space="preserve">Industrial door and loading dock systems</w:t>
      </w:r>
      <w:r>
        <w:t xml:space="preserve">. Available at: https://www.maxiflex.co.za/ (Accessed: 10 June 2026).</w:t>
      </w:r>
    </w:p>
    <w:p>
      <w:pPr>
        <w:pStyle w:val="BodyText"/>
      </w:pPr>
      <w:r>
        <w:t xml:space="preserve">P.I. Marketing (n.d.)</w:t>
      </w:r>
      <w:r>
        <w:t xml:space="preserve"> </w:t>
      </w:r>
      <w:r>
        <w:rPr>
          <w:i/>
          <w:iCs/>
        </w:rPr>
        <w:t xml:space="preserve">Powder coating equipment and turnkey plants</w:t>
      </w:r>
      <w:r>
        <w:t xml:space="preserve">. Available at: https://www.pimarketing.co.za/ (Accessed: 10 June 2026).</w:t>
      </w:r>
    </w:p>
    <w:p>
      <w:pPr>
        <w:pStyle w:val="BodyText"/>
      </w:pPr>
      <w:r>
        <w:t xml:space="preserve">Premium Aluminium (n.d.)</w:t>
      </w:r>
      <w:r>
        <w:t xml:space="preserve"> </w:t>
      </w:r>
      <w:r>
        <w:rPr>
          <w:i/>
          <w:iCs/>
        </w:rPr>
        <w:t xml:space="preserve">Aluminium round tube</w:t>
      </w:r>
      <w:r>
        <w:t xml:space="preserve">. Available at: https://www.premiumaluminium.co.za/aluminium-round-tube/ (Accessed: 10 June 2026).</w:t>
      </w:r>
    </w:p>
    <w:p>
      <w:pPr>
        <w:pStyle w:val="BodyText"/>
      </w:pPr>
      <w:r>
        <w:t xml:space="preserve">ProfiFeed Technologies (n.d.)</w:t>
      </w:r>
      <w:r>
        <w:t xml:space="preserve"> </w:t>
      </w:r>
      <w:r>
        <w:rPr>
          <w:i/>
          <w:iCs/>
        </w:rPr>
        <w:t xml:space="preserve">Aluminium fully-automatic saw A420</w:t>
      </w:r>
      <w:r>
        <w:t xml:space="preserve">. Available at: https://profifeedtech.com/products/aluminium-fully-automatic-saw-a420/ (Accessed: 10 June 2026).</w:t>
      </w:r>
    </w:p>
    <w:p>
      <w:pPr>
        <w:pStyle w:val="BodyText"/>
      </w:pPr>
      <w:r>
        <w:t xml:space="preserve">Profimach (n.d.)</w:t>
      </w:r>
      <w:r>
        <w:t xml:space="preserve"> </w:t>
      </w:r>
      <w:r>
        <w:rPr>
          <w:i/>
          <w:iCs/>
        </w:rPr>
        <w:t xml:space="preserve">2-roll thread roll machines — PTR series</w:t>
      </w:r>
      <w:r>
        <w:t xml:space="preserve">. Available at: https://profimach.com/special-machine/2-roll-thread-roll-machines-ptr-series (Accessed: 10 June 2026).</w:t>
      </w:r>
    </w:p>
    <w:p>
      <w:pPr>
        <w:pStyle w:val="BodyText"/>
      </w:pPr>
      <w:r>
        <w:t xml:space="preserve">Stamtec (n.d.)</w:t>
      </w:r>
      <w:r>
        <w:t xml:space="preserve"> </w:t>
      </w:r>
      <w:r>
        <w:rPr>
          <w:i/>
          <w:iCs/>
        </w:rPr>
        <w:t xml:space="preserve">OCP series gap frame press</w:t>
      </w:r>
      <w:r>
        <w:t xml:space="preserve">. Available at: https://www.stamtec.com/presses/mechanical-presses/1-point-gap-frame-press/ocp-series-gap-frame-press (Accessed: 10 June 2026).</w:t>
      </w:r>
    </w:p>
    <w:p>
      <w:pPr>
        <w:pStyle w:val="BodyText"/>
      </w:pPr>
      <w:r>
        <w:t xml:space="preserve">Toyota Forklift South Africa (n.d.)</w:t>
      </w:r>
      <w:r>
        <w:t xml:space="preserve"> </w:t>
      </w:r>
      <w:r>
        <w:rPr>
          <w:i/>
          <w:iCs/>
        </w:rPr>
        <w:t xml:space="preserve">Materials handling equipment</w:t>
      </w:r>
      <w:r>
        <w:t xml:space="preserve">. Available at: https://www.toyotaforklift.co.za/ (Accessed: 10 June 2026).</w:t>
      </w:r>
    </w:p>
    <w:p>
      <w:pPr>
        <w:pStyle w:val="BodyText"/>
      </w:pPr>
      <w:r>
        <w:t xml:space="preserve">Wisconsin Oven (n.d.)</w:t>
      </w:r>
      <w:r>
        <w:t xml:space="preserve"> </w:t>
      </w:r>
      <w:r>
        <w:rPr>
          <w:i/>
          <w:iCs/>
        </w:rPr>
        <w:t xml:space="preserve">Aluminium aging batch ovens</w:t>
      </w:r>
      <w:r>
        <w:t xml:space="preserve">. Available at: https://www.wisoven.com/products/batch-ovens/aluminum-age-ovens (Accessed: 10 June 2026).</w:t>
      </w:r>
    </w:p>
    <w:bookmarkEnd w:id="84"/>
    <w:bookmarkEnd w:id="8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i w:val="0"/>
      <w:color w:val="000000"/>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i w:val="0"/>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Arial" w:hAnsi="Arial"/>
      <w:b w:val="0"/>
      <w:bCs/>
      <w:i/>
      <w:color w:val="6A1B9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svg" /><Relationship Type="http://schemas.openxmlformats.org/officeDocument/2006/relationships/image" Id="rId30" Target="media/rId30.svg" /><Relationship Type="http://schemas.openxmlformats.org/officeDocument/2006/relationships/image" Id="rId40" Target="media/rId40.svg" /><Relationship Type="http://schemas.openxmlformats.org/officeDocument/2006/relationships/image" Id="rId60" Target="media/rId60.svg" /><Relationship Type="http://schemas.openxmlformats.org/officeDocument/2006/relationships/image" Id="rId54" Target="media/rId54.svg" /><Relationship Type="http://schemas.openxmlformats.org/officeDocument/2006/relationships/image" Id="rId21" Target="media/rId21.png" /><Relationship Type="http://schemas.openxmlformats.org/officeDocument/2006/relationships/image" Id="rId33" Target="media/rId33.png" /><Relationship Type="http://schemas.openxmlformats.org/officeDocument/2006/relationships/image" Id="rId43" Target="media/rId43.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hyperlink" Id="rId68" Target="https://www.toyotaforklift.co.za/" TargetMode="External" /></Relationships>
</file>

<file path=word/_rels/footnotes.xml.rels><?xml version="1.0" encoding="UTF-8"?><Relationships xmlns="http://schemas.openxmlformats.org/package/2006/relationships"><Relationship Type="http://schemas.openxmlformats.org/officeDocument/2006/relationships/hyperlink" Id="rId68" Target="https://www.toyotaforklift.co.z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2026-06-10T13:54:11Z</dcterms:created>
  <dcterms:modified xsi:type="dcterms:W3CDTF">2026-06-10T13:54:11Z</dcterms:modified>
</cp:coreProperties>
</file>

<file path=docProps/custom.xml><?xml version="1.0" encoding="utf-8"?>
<Properties xmlns="http://schemas.openxmlformats.org/officeDocument/2006/custom-properties" xmlns:vt="http://schemas.openxmlformats.org/officeDocument/2006/docPropsVTypes"/>
</file>