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1F4E79"/>
          <w:sz w:val="30"/>
          <w:szCs w:val="30"/>
        </w:rPr>
        <w:t xml:space="preserve">DigMore Folding Mini Shovel: Capacity and Demand Analysis</w:t>
      </w:r>
    </w:p>
    <w:p>
      <w:pPr>
        <w:spacing w:after="160"/>
        <w:jc w:val="center"/>
      </w:pPr>
      <w:r>
        <w:rPr>
          <w:rFonts w:ascii="Arial" w:cs="Arial" w:eastAsia="Arial" w:hAnsi="Arial"/>
          <w:color w:val="595959"/>
          <w:sz w:val="18"/>
          <w:szCs w:val="18"/>
        </w:rPr>
        <w:t xml:space="preserve">Section 5 (draft). Detailed calculations are held in the capacity workbook (DigMore_Facility_Calculations.xlsx).</w:t>
      </w:r>
    </w:p>
    <w:p>
      <w:pPr>
        <w:pStyle w:val="Heading1"/>
      </w:pPr>
      <w:r>
        <w:t xml:space="preserve">5   Capacity and Demand Analysis</w:t>
      </w:r>
    </w:p>
    <w:p>
      <w:pPr>
        <w:pStyle w:val="Heading2"/>
      </w:pPr>
      <w:r>
        <w:t xml:space="preserve">5.1   Production requirement</w:t>
      </w:r>
    </w:p>
    <w:p>
      <w:pPr>
        <w:spacing w:after="130" w:line="276"/>
        <w:jc w:val="both"/>
      </w:pPr>
      <w:r>
        <w:rPr>
          <w:rFonts w:ascii="Arial" w:cs="Arial" w:eastAsia="Arial" w:hAnsi="Arial"/>
          <w:sz w:val="22"/>
          <w:szCs w:val="22"/>
        </w:rPr>
        <w:t xml:space="preserve">The facility must deliver 1 819 good shovels per day (400 000 / 220) within 480 effective minutes, a takt of 15.84 s per shovel. Each shovel needs two handle sections (back and middle, cut from tube) and two stamped sheet parts (shovel head and hinge connector). The 5 percent scrap at tube cutting and sheet stamping inflates those two steps to a gross requirement, as shown in Table 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900"/>
        <w:gridCol w:w="2226"/>
      </w:tblGrid>
      <w:tr>
        <w:trPr>
          <w:tblHeader/>
        </w:trPr>
        <w:tc>
          <w:tcPr>
            <w:tcW w:type="dxa" w:w="34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left"/>
            </w:pPr>
            <w:r>
              <w:rPr>
                <w:rFonts w:ascii="Arial" w:cs="Arial" w:eastAsia="Arial" w:hAnsi="Arial"/>
                <w:b/>
                <w:bCs/>
                <w:color w:val="FFFFFF"/>
                <w:sz w:val="18"/>
                <w:szCs w:val="18"/>
              </w:rPr>
              <w:t xml:space="preserve">Item</w:t>
            </w:r>
          </w:p>
        </w:tc>
        <w:tc>
          <w:tcPr>
            <w:tcW w:type="dxa" w:w="15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center"/>
            </w:pPr>
            <w:r>
              <w:rPr>
                <w:rFonts w:ascii="Arial" w:cs="Arial" w:eastAsia="Arial" w:hAnsi="Arial"/>
                <w:b/>
                <w:bCs/>
                <w:color w:val="FFFFFF"/>
                <w:sz w:val="18"/>
                <w:szCs w:val="18"/>
              </w:rPr>
              <w:t xml:space="preserve">Per shovel</w:t>
            </w:r>
          </w:p>
        </w:tc>
        <w:tc>
          <w:tcPr>
            <w:tcW w:type="dxa" w:w="19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center"/>
            </w:pPr>
            <w:r>
              <w:rPr>
                <w:rFonts w:ascii="Arial" w:cs="Arial" w:eastAsia="Arial" w:hAnsi="Arial"/>
                <w:b/>
                <w:bCs/>
                <w:color w:val="FFFFFF"/>
                <w:sz w:val="18"/>
                <w:szCs w:val="18"/>
              </w:rPr>
              <w:t xml:space="preserve">Good per day</w:t>
            </w:r>
          </w:p>
        </w:tc>
        <w:tc>
          <w:tcPr>
            <w:tcW w:type="dxa" w:w="22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center"/>
            </w:pPr>
            <w:r>
              <w:rPr>
                <w:rFonts w:ascii="Arial" w:cs="Arial" w:eastAsia="Arial" w:hAnsi="Arial"/>
                <w:b/>
                <w:bCs/>
                <w:color w:val="FFFFFF"/>
                <w:sz w:val="18"/>
                <w:szCs w:val="18"/>
              </w:rPr>
              <w:t xml:space="preserve">Gross per day (scrap step)</w:t>
            </w:r>
          </w:p>
        </w:tc>
      </w:tr>
      <w:tr>
        <w:tc>
          <w:tcPr>
            <w:tcW w:type="dxa" w:w="34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Back handle section (tube)</w:t>
            </w:r>
          </w:p>
        </w:tc>
        <w:tc>
          <w:tcPr>
            <w:tcW w:type="dxa" w:w="1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2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w:t>
            </w:r>
          </w:p>
        </w:tc>
      </w:tr>
      <w:tr>
        <w:tc>
          <w:tcPr>
            <w:tcW w:type="dxa" w:w="34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Middle handle section (tube)</w:t>
            </w:r>
          </w:p>
        </w:tc>
        <w:tc>
          <w:tcPr>
            <w:tcW w:type="dxa" w:w="1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2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w:t>
            </w:r>
          </w:p>
        </w:tc>
      </w:tr>
      <w:tr>
        <w:tc>
          <w:tcPr>
            <w:tcW w:type="dxa" w:w="34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Handle sections cut (tube)</w:t>
            </w:r>
          </w:p>
        </w:tc>
        <w:tc>
          <w:tcPr>
            <w:tcW w:type="dxa" w:w="1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2</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3 638</w:t>
            </w:r>
          </w:p>
        </w:tc>
        <w:tc>
          <w:tcPr>
            <w:tcW w:type="dxa" w:w="2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3 830</w:t>
            </w:r>
          </w:p>
        </w:tc>
      </w:tr>
      <w:tr>
        <w:tc>
          <w:tcPr>
            <w:tcW w:type="dxa" w:w="34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Shovel head (sheet, stamped)</w:t>
            </w:r>
          </w:p>
        </w:tc>
        <w:tc>
          <w:tcPr>
            <w:tcW w:type="dxa" w:w="1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2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1 915</w:t>
            </w:r>
          </w:p>
        </w:tc>
      </w:tr>
      <w:tr>
        <w:tc>
          <w:tcPr>
            <w:tcW w:type="dxa" w:w="34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Hinge connector (sheet, stamped)</w:t>
            </w:r>
          </w:p>
        </w:tc>
        <w:tc>
          <w:tcPr>
            <w:tcW w:type="dxa" w:w="15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9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22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1 915</w:t>
            </w:r>
          </w:p>
        </w:tc>
      </w:tr>
      <w:tr>
        <w:tc>
          <w:tcPr>
            <w:tcW w:type="dxa" w:w="34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Finished shovels</w:t>
            </w:r>
          </w:p>
        </w:tc>
        <w:tc>
          <w:tcPr>
            <w:tcW w:type="dxa" w:w="15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9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22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w:t>
            </w:r>
          </w:p>
        </w:tc>
      </w:tr>
    </w:tbl>
    <w:p>
      <w:pPr>
        <w:spacing w:after="130" w:before="40"/>
      </w:pPr>
      <w:r>
        <w:rPr>
          <w:rFonts w:ascii="Arial" w:cs="Arial" w:eastAsia="Arial" w:hAnsi="Arial"/>
          <w:i/>
          <w:iCs/>
          <w:color w:val="595959"/>
          <w:sz w:val="18"/>
          <w:szCs w:val="18"/>
        </w:rPr>
        <w:t xml:space="preserve">Table 5.1: Part-level daily requirement.</w:t>
      </w:r>
    </w:p>
    <w:p>
      <w:pPr>
        <w:pStyle w:val="Heading2"/>
      </w:pPr>
      <w:r>
        <w:t xml:space="preserve">5.2   Method and assumptions</w:t>
      </w:r>
    </w:p>
    <w:p>
      <w:pPr>
        <w:spacing w:after="130" w:line="276"/>
        <w:jc w:val="both"/>
      </w:pPr>
      <w:r>
        <w:rPr>
          <w:rFonts w:ascii="Arial" w:cs="Arial" w:eastAsia="Arial" w:hAnsi="Arial"/>
          <w:sz w:val="22"/>
          <w:szCs w:val="22"/>
        </w:rPr>
        <w:t xml:space="preserve">For each process the daily process time equals the operations per day multiplied by the cycle time. Operations per day equal the gross daily quantity divided by the pieces produced per operation, which is one except at tube cutting, where the chosen saw cuts a designer-assumed number of pipes per cut. The number of machines or stations equals the process time divided by the available time per machine, rounded up. The available time is the 480 effective minutes the brief defines, the same basis as the takt; an availability allowance can be applied later as a sensitivity. Operators are taken at one per machine as a baseline. Processing times are exactly as given in the 2026 brief; heat treatment, sandblasting and powder coating carry no brief time and are sized separately in 5.5.</w:t>
      </w:r>
    </w:p>
    <w:p>
      <w:pPr>
        <w:pStyle w:val="Heading2"/>
      </w:pPr>
      <w:r>
        <w:t xml:space="preserve">5.3   Per-process capacity</w:t>
      </w:r>
    </w:p>
    <w:p>
      <w:pPr>
        <w:spacing w:after="130" w:line="276"/>
        <w:jc w:val="both"/>
      </w:pPr>
      <w:r>
        <w:rPr>
          <w:rFonts w:ascii="Arial" w:cs="Arial" w:eastAsia="Arial" w:hAnsi="Arial"/>
          <w:sz w:val="22"/>
          <w:szCs w:val="22"/>
        </w:rPr>
        <w:t xml:space="preserve">Table 5.2 gives the result. At the baseline staffing the line processes require 34 machines or stations and 34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300"/>
        <w:gridCol w:w="1100"/>
        <w:gridCol w:w="1100"/>
        <w:gridCol w:w="1426"/>
      </w:tblGrid>
      <w:tr>
        <w:trPr>
          <w:tblHeader/>
        </w:trPr>
        <w:tc>
          <w:tcPr>
            <w:tcW w:type="dxa" w:w="30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left"/>
            </w:pPr>
            <w:r>
              <w:rPr>
                <w:rFonts w:ascii="Arial" w:cs="Arial" w:eastAsia="Arial" w:hAnsi="Arial"/>
                <w:b/>
                <w:bCs/>
                <w:color w:val="FFFFFF"/>
                <w:sz w:val="18"/>
                <w:szCs w:val="18"/>
              </w:rPr>
              <w:t xml:space="preserve">Process</w:t>
            </w:r>
          </w:p>
        </w:tc>
        <w:tc>
          <w:tcPr>
            <w:tcW w:type="dxa" w:w="11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center"/>
            </w:pPr>
            <w:r>
              <w:rPr>
                <w:rFonts w:ascii="Arial" w:cs="Arial" w:eastAsia="Arial" w:hAnsi="Arial"/>
                <w:b/>
                <w:bCs/>
                <w:color w:val="FFFFFF"/>
                <w:sz w:val="18"/>
                <w:szCs w:val="18"/>
              </w:rPr>
              <w:t xml:space="preserve">Gross/day</w:t>
            </w:r>
          </w:p>
        </w:tc>
        <w:tc>
          <w:tcPr>
            <w:tcW w:type="dxa" w:w="13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center"/>
            </w:pPr>
            <w:r>
              <w:rPr>
                <w:rFonts w:ascii="Arial" w:cs="Arial" w:eastAsia="Arial" w:hAnsi="Arial"/>
                <w:b/>
                <w:bCs/>
                <w:color w:val="FFFFFF"/>
                <w:sz w:val="18"/>
                <w:szCs w:val="18"/>
              </w:rPr>
              <w:t xml:space="preserve">Time (min/day)</w:t>
            </w:r>
          </w:p>
        </w:tc>
        <w:tc>
          <w:tcPr>
            <w:tcW w:type="dxa" w:w="11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center"/>
            </w:pPr>
            <w:r>
              <w:rPr>
                <w:rFonts w:ascii="Arial" w:cs="Arial" w:eastAsia="Arial" w:hAnsi="Arial"/>
                <w:b/>
                <w:bCs/>
                <w:color w:val="FFFFFF"/>
                <w:sz w:val="18"/>
                <w:szCs w:val="18"/>
              </w:rPr>
              <w:t xml:space="preserve">Machines</w:t>
            </w:r>
          </w:p>
        </w:tc>
        <w:tc>
          <w:tcPr>
            <w:tcW w:type="dxa" w:w="11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center"/>
            </w:pPr>
            <w:r>
              <w:rPr>
                <w:rFonts w:ascii="Arial" w:cs="Arial" w:eastAsia="Arial" w:hAnsi="Arial"/>
                <w:b/>
                <w:bCs/>
                <w:color w:val="FFFFFF"/>
                <w:sz w:val="18"/>
                <w:szCs w:val="18"/>
              </w:rPr>
              <w:t xml:space="preserve">Util.</w:t>
            </w:r>
          </w:p>
        </w:tc>
        <w:tc>
          <w:tcPr>
            <w:tcW w:type="dxa" w:w="14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center"/>
            </w:pPr>
            <w:r>
              <w:rPr>
                <w:rFonts w:ascii="Arial" w:cs="Arial" w:eastAsia="Arial" w:hAnsi="Arial"/>
                <w:b/>
                <w:bCs/>
                <w:color w:val="FFFFFF"/>
                <w:sz w:val="18"/>
                <w:szCs w:val="18"/>
              </w:rPr>
              <w:t xml:space="preserve">Operators</w:t>
            </w:r>
          </w:p>
        </w:tc>
      </w:tr>
      <w:tr>
        <w:tc>
          <w:tcPr>
            <w:tcW w:type="dxa" w:w="3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Cut handle</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3 830</w:t>
            </w:r>
          </w:p>
        </w:tc>
        <w:tc>
          <w:tcPr>
            <w:tcW w:type="dxa" w:w="1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958</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2</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100%</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2</w:t>
            </w:r>
          </w:p>
        </w:tc>
      </w:tr>
      <w:tr>
        <w:tc>
          <w:tcPr>
            <w:tcW w:type="dxa" w:w="3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Internal thread (middle)</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606</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2</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63%</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2</w:t>
            </w:r>
          </w:p>
        </w:tc>
      </w:tr>
      <w:tr>
        <w:tc>
          <w:tcPr>
            <w:tcW w:type="dxa" w:w="3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Stamp / narrow end (grip)</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152</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32%</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r>
      <w:tr>
        <w:tc>
          <w:tcPr>
            <w:tcW w:type="dxa" w:w="3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Knurl + external thread (grip)</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4</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95%</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4</w:t>
            </w:r>
          </w:p>
        </w:tc>
      </w:tr>
      <w:tr>
        <w:tc>
          <w:tcPr>
            <w:tcW w:type="dxa" w:w="3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Stamp shovel head</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1 915</w:t>
            </w:r>
          </w:p>
        </w:tc>
        <w:tc>
          <w:tcPr>
            <w:tcW w:type="dxa" w:w="1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64</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13%</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r>
      <w:tr>
        <w:tc>
          <w:tcPr>
            <w:tcW w:type="dxa" w:w="3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Shape / bend head</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61</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13%</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r>
      <w:tr>
        <w:tc>
          <w:tcPr>
            <w:tcW w:type="dxa" w:w="3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Sharpen blade</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3 638</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8</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95%</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8</w:t>
            </w:r>
          </w:p>
        </w:tc>
      </w:tr>
      <w:tr>
        <w:tc>
          <w:tcPr>
            <w:tcW w:type="dxa" w:w="3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Serrate edge</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4</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95%</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4</w:t>
            </w:r>
          </w:p>
        </w:tc>
      </w:tr>
      <w:tr>
        <w:tc>
          <w:tcPr>
            <w:tcW w:type="dxa" w:w="3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Stamp hinge connector</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1 915</w:t>
            </w:r>
          </w:p>
        </w:tc>
        <w:tc>
          <w:tcPr>
            <w:tcW w:type="dxa" w:w="1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64</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13%</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r>
      <w:tr>
        <w:tc>
          <w:tcPr>
            <w:tcW w:type="dxa" w:w="3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Bend hinge connector</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152</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32%</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r>
      <w:tr>
        <w:tc>
          <w:tcPr>
            <w:tcW w:type="dxa" w:w="3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Rivet hinge to head</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152</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32%</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w:t>
            </w:r>
          </w:p>
        </w:tc>
      </w:tr>
      <w:tr>
        <w:tc>
          <w:tcPr>
            <w:tcW w:type="dxa" w:w="3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Hand polish / deburr</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4</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95%</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4</w:t>
            </w:r>
          </w:p>
        </w:tc>
      </w:tr>
      <w:tr>
        <w:tc>
          <w:tcPr>
            <w:tcW w:type="dxa" w:w="3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Final assembly</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910</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2</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95%</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2</w:t>
            </w:r>
          </w:p>
        </w:tc>
      </w:tr>
      <w:tr>
        <w:tc>
          <w:tcPr>
            <w:tcW w:type="dxa" w:w="30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Packaging (hand + visual check)</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1 819</w:t>
            </w:r>
          </w:p>
        </w:tc>
        <w:tc>
          <w:tcPr>
            <w:tcW w:type="dxa" w:w="13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910</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2</w:t>
            </w:r>
          </w:p>
        </w:tc>
        <w:tc>
          <w:tcPr>
            <w:tcW w:type="dxa" w:w="1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95%</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2</w:t>
            </w:r>
          </w:p>
        </w:tc>
      </w:tr>
      <w:tr>
        <w:tc>
          <w:tcPr>
            <w:tcW w:type="dxa" w:w="30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TOTAL (line processes)</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
            </w:r>
          </w:p>
        </w:tc>
        <w:tc>
          <w:tcPr>
            <w:tcW w:type="dxa" w:w="13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34</w:t>
            </w:r>
          </w:p>
        </w:tc>
        <w:tc>
          <w:tcPr>
            <w:tcW w:type="dxa" w:w="1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center"/>
            </w:pPr>
            <w:r>
              <w:rPr>
                <w:rFonts w:ascii="Arial" w:cs="Arial" w:eastAsia="Arial" w:hAnsi="Arial"/>
                <w:b w:val="false"/>
                <w:bCs w:val="false"/>
                <w:color w:val="000000"/>
                <w:sz w:val="18"/>
                <w:szCs w:val="18"/>
              </w:rPr>
              <w:t xml:space="preserve">34</w:t>
            </w:r>
          </w:p>
        </w:tc>
      </w:tr>
    </w:tbl>
    <w:p>
      <w:pPr>
        <w:spacing w:after="130" w:before="40"/>
      </w:pPr>
      <w:r>
        <w:rPr>
          <w:rFonts w:ascii="Arial" w:cs="Arial" w:eastAsia="Arial" w:hAnsi="Arial"/>
          <w:i/>
          <w:iCs/>
          <w:color w:val="595959"/>
          <w:sz w:val="18"/>
          <w:szCs w:val="18"/>
        </w:rPr>
        <w:t xml:space="preserve">Table 5.2: Per-process machine, utilisation and operator requirement (available time 480 min/machine/day).</w:t>
      </w:r>
    </w:p>
    <w:p>
      <w:pPr>
        <w:pStyle w:val="Heading2"/>
      </w:pPr>
      <w:r>
        <w:t xml:space="preserve">5.4   Bottleneck analysis</w:t>
      </w:r>
    </w:p>
    <w:p>
      <w:pPr>
        <w:spacing w:after="130" w:line="276"/>
        <w:jc w:val="both"/>
      </w:pPr>
      <w:r>
        <w:rPr>
          <w:rFonts w:ascii="Arial" w:cs="Arial" w:eastAsia="Arial" w:hAnsi="Arial"/>
          <w:sz w:val="22"/>
          <w:szCs w:val="22"/>
        </w:rPr>
        <w:t xml:space="preserve">The slow manual finishing steps dominate capacity. Sharpening the blade at 2 min per shovel needs 8 stations at 95 percent utilisation and is the critical bottleneck. Knurling with the external thread, serrating, and hand polishing, each effectively 1 min per unit, need 4 stations each. Final assembly and packaging need 2 each, and tube cutting needs 2 at one pipe per cut. By contrast, the stamping, bending and riveting steps each need only one machine. This confirms the brief's expectation that changes are required: the line cannot meet takt with a single machine per process, so parallel stations or faster equipment are needed at the finishing operations.</w:t>
      </w:r>
    </w:p>
    <w:p>
      <w:pPr>
        <w:pStyle w:val="Heading2"/>
      </w:pPr>
      <w:r>
        <w:t xml:space="preserve">5.5   Equipment-dependent processes</w:t>
      </w:r>
    </w:p>
    <w:p>
      <w:pPr>
        <w:spacing w:after="130" w:line="276"/>
        <w:jc w:val="both"/>
      </w:pPr>
      <w:r>
        <w:rPr>
          <w:rFonts w:ascii="Arial" w:cs="Arial" w:eastAsia="Arial" w:hAnsi="Arial"/>
          <w:sz w:val="22"/>
          <w:szCs w:val="22"/>
        </w:rPr>
        <w:t xml:space="preserve">Heat treatment is a T6 artificial-ageing batch operation of about 5 to 8 hours. One ageing oven sized to roughly one day of subassemblies (about 1 819) is assumed, running across and after the shift; the size and count are supplier-based and to be verified. Sandblasting uses an enclosed, extracted booth or cabinet whose throughput and number are supplier-based estimates required. Powder coating is a conveyorised, enclosed line. At a typical 600 parts per hour, the daily load of about 5 457 coated items (two handle sections and one subassembly per shovel) needs about 9.1 hours, which exceeds the 8 productive hours of a shift, so a faster line of about 680 parts per hour or a second line is required.</w:t>
      </w:r>
    </w:p>
    <w:p>
      <w:pPr>
        <w:pStyle w:val="Heading2"/>
      </w:pPr>
      <w:r>
        <w:t xml:space="preserve">5.6   Recommended machinery and improvement levers</w:t>
      </w:r>
    </w:p>
    <w:p>
      <w:pPr>
        <w:spacing w:after="130" w:line="276"/>
        <w:jc w:val="both"/>
      </w:pPr>
      <w:r>
        <w:rPr>
          <w:rFonts w:ascii="Arial" w:cs="Arial" w:eastAsia="Arial" w:hAnsi="Arial"/>
          <w:sz w:val="22"/>
          <w:szCs w:val="22"/>
        </w:rPr>
        <w:t xml:space="preserve">Table 5.3 lists the recommended machine types. Three levers remove most of the bottleneck and are recommended for the critical finishing steps.</w:t>
      </w:r>
    </w:p>
    <w:p>
      <w:pPr>
        <w:pStyle w:val="ListParagraph"/>
        <w:numPr>
          <w:ilvl w:val="0"/>
          <w:numId w:val="2"/>
        </w:numPr>
        <w:spacing w:after="30" w:line="264"/>
        <w:jc w:val="both"/>
      </w:pPr>
      <w:r>
        <w:rPr>
          <w:rFonts w:ascii="Arial" w:cs="Arial" w:eastAsia="Arial" w:hAnsi="Arial"/>
          <w:sz w:val="22"/>
          <w:szCs w:val="22"/>
        </w:rPr>
        <w:t xml:space="preserve">Replace the 1 min manual knurling and threading of the grip with a thread-rolling machine (typically 15 to 60 or more parts per minute), which collapses that station count.</w:t>
      </w:r>
    </w:p>
    <w:p>
      <w:pPr>
        <w:pStyle w:val="ListParagraph"/>
        <w:numPr>
          <w:ilvl w:val="0"/>
          <w:numId w:val="2"/>
        </w:numPr>
        <w:spacing w:after="30" w:line="264"/>
        <w:jc w:val="both"/>
      </w:pPr>
      <w:r>
        <w:rPr>
          <w:rFonts w:ascii="Arial" w:cs="Arial" w:eastAsia="Arial" w:hAnsi="Arial"/>
          <w:sz w:val="22"/>
          <w:szCs w:val="22"/>
        </w:rPr>
        <w:t xml:space="preserve">Automate blade sharpening and serrating with powered grinding and serrating to cut the 8 and 4 stations driven by the 2 min and 1 min manual times.</w:t>
      </w:r>
    </w:p>
    <w:p>
      <w:pPr>
        <w:pStyle w:val="ListParagraph"/>
        <w:numPr>
          <w:ilvl w:val="0"/>
          <w:numId w:val="2"/>
        </w:numPr>
        <w:spacing w:after="30" w:line="264"/>
        <w:jc w:val="both"/>
      </w:pPr>
      <w:r>
        <w:rPr>
          <w:rFonts w:ascii="Arial" w:cs="Arial" w:eastAsia="Arial" w:hAnsi="Arial"/>
          <w:sz w:val="22"/>
          <w:szCs w:val="22"/>
        </w:rPr>
        <w:t xml:space="preserve">Specify an automatic cold saw with bundle or multi-bar cutting so that more than one pipe is cut per stroke, reducing the cutting saws.</w:t>
      </w:r>
    </w:p>
    <w:p>
      <w:pPr>
        <w:spacing w:after="130" w:line="276"/>
        <w:jc w:val="both"/>
      </w:pPr>
      <w:r>
        <w:rPr>
          <w:rFonts w:ascii="Arial" w:cs="Arial" w:eastAsia="Arial" w:hAnsi="Arial"/>
          <w:sz w:val="22"/>
          <w:szCs w:val="22"/>
        </w:rPr>
        <w:t xml:space="preserve">With these changes, and parallel stations where still needed, the line meets the 15.84 s takt. No machine dimensions or supplier specifications are fixed here; types are recommended and specific values are to be confirmed with suppliers.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650"/>
        <w:gridCol w:w="3100"/>
        <w:gridCol w:w="1426"/>
      </w:tblGrid>
      <w:tr>
        <w:trPr>
          <w:tblHeader/>
        </w:trPr>
        <w:tc>
          <w:tcPr>
            <w:tcW w:type="dxa" w:w="18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left"/>
            </w:pPr>
            <w:r>
              <w:rPr>
                <w:rFonts w:ascii="Arial" w:cs="Arial" w:eastAsia="Arial" w:hAnsi="Arial"/>
                <w:b/>
                <w:bCs/>
                <w:color w:val="FFFFFF"/>
                <w:sz w:val="18"/>
                <w:szCs w:val="18"/>
              </w:rPr>
              <w:t xml:space="preserve">Process / area</w:t>
            </w:r>
          </w:p>
        </w:tc>
        <w:tc>
          <w:tcPr>
            <w:tcW w:type="dxa" w:w="265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left"/>
            </w:pPr>
            <w:r>
              <w:rPr>
                <w:rFonts w:ascii="Arial" w:cs="Arial" w:eastAsia="Arial" w:hAnsi="Arial"/>
                <w:b/>
                <w:bCs/>
                <w:color w:val="FFFFFF"/>
                <w:sz w:val="18"/>
                <w:szCs w:val="18"/>
              </w:rPr>
              <w:t xml:space="preserve">Recommended machine type</w:t>
            </w:r>
          </w:p>
        </w:tc>
        <w:tc>
          <w:tcPr>
            <w:tcW w:type="dxa" w:w="3100"/>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left"/>
            </w:pPr>
            <w:r>
              <w:rPr>
                <w:rFonts w:ascii="Arial" w:cs="Arial" w:eastAsia="Arial" w:hAnsi="Arial"/>
                <w:b/>
                <w:bCs/>
                <w:color w:val="FFFFFF"/>
                <w:sz w:val="18"/>
                <w:szCs w:val="18"/>
              </w:rPr>
              <w:t xml:space="preserve">Source / throughput note</w:t>
            </w:r>
          </w:p>
        </w:tc>
        <w:tc>
          <w:tcPr>
            <w:tcW w:type="dxa" w:w="1426"/>
            <w:tcBorders>
              <w:top w:val="single" w:color="B8B8B8" w:sz="1"/>
              <w:left w:val="single" w:color="B8B8B8" w:sz="1"/>
              <w:bottom w:val="single" w:color="B8B8B8" w:sz="1"/>
              <w:right w:val="single" w:color="B8B8B8" w:sz="1"/>
            </w:tcBorders>
            <w:shd w:fill="1F4E79" w:val="clear"/>
            <w:tcMar>
              <w:top w:type="dxa" w:w="50"/>
              <w:left w:type="dxa" w:w="100"/>
              <w:bottom w:type="dxa" w:w="50"/>
              <w:right w:type="dxa" w:w="100"/>
            </w:tcMar>
          </w:tcPr>
          <w:p>
            <w:pPr>
              <w:spacing w:after="0" w:line="234"/>
              <w:jc w:val="left"/>
            </w:pPr>
            <w:r>
              <w:rPr>
                <w:rFonts w:ascii="Arial" w:cs="Arial" w:eastAsia="Arial" w:hAnsi="Arial"/>
                <w:b/>
                <w:bCs/>
                <w:color w:val="FFFFFF"/>
                <w:sz w:val="18"/>
                <w:szCs w:val="18"/>
              </w:rPr>
              <w:t xml:space="preserve">Status</w:t>
            </w:r>
          </w:p>
        </w:tc>
      </w:tr>
      <w:tr>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Cut handle</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Automatic non-ferrous circular cold saw, auto bar-feed, bundle / multi-bar cutting</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Automatic aluminium cold saws; bundle cutting available (Addison Saws; Profifeed A550)</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Type set; specs to verify</w:t>
            </w:r>
          </w:p>
        </w:tc>
      </w:tr>
      <w:tr>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Threads + knurl</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Thread-rolling machine and dedicated knurling head</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15 to 60+ parts/min typical (PowerTransmission; IQS Directory)</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Type set; specs to verify</w:t>
            </w:r>
          </w:p>
        </w:tc>
      </w:tr>
      <w:tr>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Stamping (head, hinge, narrow end)</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Mechanical power press with progressive die</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Standard sheet / tube forming</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Type set; specs to verify</w:t>
            </w:r>
          </w:p>
        </w:tc>
      </w:tr>
      <w:tr>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Bending</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Press brake</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Standard</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Type set; specs to verify</w:t>
            </w:r>
          </w:p>
        </w:tc>
      </w:tr>
      <w:tr>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Sharpen / serrate</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Automated grinding / serrating machine</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Replaces 2 min and 1 min manual steps</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Type set; specs to verify</w:t>
            </w:r>
          </w:p>
        </w:tc>
      </w:tr>
      <w:tr>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Rivet</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Pneumatic / hydraulic riveting machine</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Standard</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Type set; specs to verify</w:t>
            </w:r>
          </w:p>
        </w:tc>
      </w:tr>
      <w:tr>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Heat treat</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T6 artificial-ageing batch oven</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5 to 8 h cycle (ARC; Aluminium-guide)</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Supplier-based; verify</w:t>
            </w:r>
          </w:p>
        </w:tc>
      </w:tr>
      <w:tr>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Sandblast</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Enclosed blast cabinet / booth with extraction</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Equipment-dependent</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Supplier-based; verify</w:t>
            </w:r>
          </w:p>
        </w:tc>
      </w:tr>
      <w:tr>
        <w:tc>
          <w:tcPr>
            <w:tcW w:type="dxa" w:w="18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Powder coat</w:t>
            </w:r>
          </w:p>
        </w:tc>
        <w:tc>
          <w:tcPr>
            <w:tcW w:type="dxa" w:w="265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Conveyorised powder line (booth + curing oven), enclosed</w:t>
            </w:r>
          </w:p>
        </w:tc>
        <w:tc>
          <w:tcPr>
            <w:tcW w:type="dxa" w:w="3100"/>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~600 parts/h; thin-sheet cure ~10 to 20 min (The Fabricator; Clear Powder Coating Line)</w:t>
            </w:r>
          </w:p>
        </w:tc>
        <w:tc>
          <w:tcPr>
            <w:tcW w:type="dxa" w:w="1426"/>
            <w:tcBorders>
              <w:top w:val="single" w:color="B8B8B8" w:sz="1"/>
              <w:left w:val="single" w:color="B8B8B8" w:sz="1"/>
              <w:bottom w:val="single" w:color="B8B8B8" w:sz="1"/>
              <w:right w:val="single" w:color="B8B8B8" w:sz="1"/>
            </w:tcBorders>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Need ~760/h or 2 lines</w:t>
            </w:r>
          </w:p>
        </w:tc>
      </w:tr>
      <w:tr>
        <w:tc>
          <w:tcPr>
            <w:tcW w:type="dxa" w:w="18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Assembly / packaging</w:t>
            </w:r>
          </w:p>
        </w:tc>
        <w:tc>
          <w:tcPr>
            <w:tcW w:type="dxa" w:w="265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Manual workstations</w:t>
            </w:r>
          </w:p>
        </w:tc>
        <w:tc>
          <w:tcPr>
            <w:tcW w:type="dxa" w:w="3100"/>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Brief: by hand, with final visual check</w:t>
            </w:r>
          </w:p>
        </w:tc>
        <w:tc>
          <w:tcPr>
            <w:tcW w:type="dxa" w:w="1426"/>
            <w:tcBorders>
              <w:top w:val="single" w:color="B8B8B8" w:sz="1"/>
              <w:left w:val="single" w:color="B8B8B8" w:sz="1"/>
              <w:bottom w:val="single" w:color="B8B8B8" w:sz="1"/>
              <w:right w:val="single" w:color="B8B8B8" w:sz="1"/>
            </w:tcBorders>
            <w:shd w:fill="EAF0F6" w:val="clear"/>
            <w:tcMar>
              <w:top w:type="dxa" w:w="50"/>
              <w:left w:type="dxa" w:w="100"/>
              <w:bottom w:type="dxa" w:w="50"/>
              <w:right w:type="dxa" w:w="100"/>
            </w:tcMar>
          </w:tcPr>
          <w:p>
            <w:pPr>
              <w:spacing w:after="0" w:line="234"/>
              <w:jc w:val="left"/>
            </w:pPr>
            <w:r>
              <w:rPr>
                <w:rFonts w:ascii="Arial" w:cs="Arial" w:eastAsia="Arial" w:hAnsi="Arial"/>
                <w:b w:val="false"/>
                <w:bCs w:val="false"/>
                <w:color w:val="000000"/>
                <w:sz w:val="18"/>
                <w:szCs w:val="18"/>
              </w:rPr>
              <w:t xml:space="preserve">Stations from 5.3</w:t>
            </w:r>
          </w:p>
        </w:tc>
      </w:tr>
    </w:tbl>
    <w:p>
      <w:pPr>
        <w:spacing w:after="130" w:before="40"/>
      </w:pPr>
      <w:r>
        <w:rPr>
          <w:rFonts w:ascii="Arial" w:cs="Arial" w:eastAsia="Arial" w:hAnsi="Arial"/>
          <w:i/>
          <w:iCs/>
          <w:color w:val="595959"/>
          <w:sz w:val="18"/>
          <w:szCs w:val="18"/>
        </w:rPr>
        <w:t xml:space="preserve">Table 5.3: Recommended machinery for critical processes (types only; no dimensions invented).</w:t>
      </w:r>
    </w:p>
    <w:p>
      <w:pPr>
        <w:pStyle w:val="Heading2"/>
      </w:pPr>
      <w:r>
        <w:t xml:space="preserve">5.7   Raw material throughput</w:t>
      </w:r>
    </w:p>
    <w:p>
      <w:pPr>
        <w:spacing w:after="130" w:line="276"/>
        <w:jc w:val="both"/>
      </w:pPr>
      <w:r>
        <w:rPr>
          <w:rFonts w:ascii="Arial" w:cs="Arial" w:eastAsia="Arial" w:hAnsi="Arial"/>
          <w:sz w:val="22"/>
          <w:szCs w:val="22"/>
        </w:rPr>
        <w:t xml:space="preserve">At two 150 mm sections per shovel and a designer-assumed 6 m tube (about 40 sections per tube), the plant consumes about 96 tubes per day, or about 960 tubes for the two-week raw-material buffer. Sheet stamping needs about 3 830 blanks per day for the head and hinge, scrap-adjusted; the number of sheets per day follows once the blank size and nesting are fixed. The three-dimensional storage footprint for these materials is sized in the storage design.</w:t>
      </w:r>
    </w:p>
    <w:p>
      <w:pPr>
        <w:pStyle w:val="Heading2"/>
      </w:pPr>
      <w:r>
        <w:t xml:space="preserve">5.8   Labour summary</w:t>
      </w:r>
    </w:p>
    <w:p>
      <w:pPr>
        <w:spacing w:after="130" w:line="276"/>
        <w:jc w:val="both"/>
      </w:pPr>
      <w:r>
        <w:rPr>
          <w:rFonts w:ascii="Arial" w:cs="Arial" w:eastAsia="Arial" w:hAnsi="Arial"/>
          <w:sz w:val="22"/>
          <w:szCs w:val="22"/>
        </w:rPr>
        <w:t xml:space="preserve">At one operator per machine the line processes need about 34 operators, before material handling, the equipment-dependent areas and support staff. Because this count is driven almost entirely by the manual finishing steps, adopting the recommended thread-rolling and automated grinding equipment materially reduces both the machine and operator counts; the final figures are confirmed once equipment is selected. The corresponding workstation layout and space follow in the layout and space-planning sections.</w:t>
      </w:r>
    </w:p>
    <w:p>
      <w:pPr>
        <w:pStyle w:val="Heading2"/>
      </w:pPr>
      <w:r>
        <w:t xml:space="preserve">5.9   Sources</w:t>
      </w:r>
    </w:p>
    <w:p>
      <w:pPr>
        <w:spacing w:after="130" w:line="276"/>
        <w:jc w:val="both"/>
      </w:pPr>
      <w:r>
        <w:rPr>
          <w:rFonts w:ascii="Arial" w:cs="Arial" w:eastAsia="Arial" w:hAnsi="Arial"/>
          <w:sz w:val="22"/>
          <w:szCs w:val="22"/>
        </w:rPr>
        <w:t xml:space="preserve">Machinery types and throughput ranges above are drawn from the following equipment references:</w:t>
      </w:r>
    </w:p>
    <w:p>
      <w:pPr>
        <w:spacing w:after="20"/>
      </w:pPr>
      <w:hyperlink w:history="1" r:id="rIdcwlo-hw9fsyryv75nv2hl">
        <w:r>
          <w:rPr>
            <w:rStyle w:val="Hyperlink"/>
            <w:rFonts w:ascii="Arial" w:cs="Arial" w:eastAsia="Arial" w:hAnsi="Arial"/>
            <w:sz w:val="18"/>
            <w:szCs w:val="18"/>
          </w:rPr>
          <w:t xml:space="preserve">https://www.addisonsaws.co.uk/product-category/pvc-and-aluminium-machinery/aluminium-saws/automatic-aluminium-saws/</w:t>
        </w:r>
      </w:hyperlink>
    </w:p>
    <w:p>
      <w:pPr>
        <w:spacing w:after="20"/>
      </w:pPr>
      <w:hyperlink w:history="1" r:id="rId0iierj3c-9lnoqvz_7q0d">
        <w:r>
          <w:rPr>
            <w:rStyle w:val="Hyperlink"/>
            <w:rFonts w:ascii="Arial" w:cs="Arial" w:eastAsia="Arial" w:hAnsi="Arial"/>
            <w:sz w:val="18"/>
            <w:szCs w:val="18"/>
          </w:rPr>
          <w:t xml:space="preserve">https://profifeedtech.com/products/aluminium-fully-automatic-saw-a550/</w:t>
        </w:r>
      </w:hyperlink>
    </w:p>
    <w:p>
      <w:pPr>
        <w:spacing w:after="20"/>
      </w:pPr>
      <w:hyperlink w:history="1" r:id="rIdbwfs7glkeuixc_s6ighsc">
        <w:r>
          <w:rPr>
            <w:rStyle w:val="Hyperlink"/>
            <w:rFonts w:ascii="Arial" w:cs="Arial" w:eastAsia="Arial" w:hAnsi="Arial"/>
            <w:sz w:val="18"/>
            <w:szCs w:val="18"/>
          </w:rPr>
          <w:t xml:space="preserve">https://www.powertransmission.com/precision-thread-rolling-process-for-high-accuracy-lead-screws-actuator-screws-and-power-transmission-components</w:t>
        </w:r>
      </w:hyperlink>
    </w:p>
    <w:p>
      <w:pPr>
        <w:spacing w:after="20"/>
      </w:pPr>
      <w:hyperlink w:history="1" r:id="rIdtjsck4s5kvt6osn8tdw8o">
        <w:r>
          <w:rPr>
            <w:rStyle w:val="Hyperlink"/>
            <w:rFonts w:ascii="Arial" w:cs="Arial" w:eastAsia="Arial" w:hAnsi="Arial"/>
            <w:sz w:val="18"/>
            <w:szCs w:val="18"/>
          </w:rPr>
          <w:t xml:space="preserve">https://www.iqsdirectory.com/articles/screw-machine-product/thread-rolling.html</w:t>
        </w:r>
      </w:hyperlink>
    </w:p>
    <w:p>
      <w:pPr>
        <w:spacing w:after="20"/>
      </w:pPr>
      <w:hyperlink w:history="1" r:id="rId5fk5nddj9lzmdx40rzq4p">
        <w:r>
          <w:rPr>
            <w:rStyle w:val="Hyperlink"/>
            <w:rFonts w:ascii="Arial" w:cs="Arial" w:eastAsia="Arial" w:hAnsi="Arial"/>
            <w:sz w:val="18"/>
            <w:szCs w:val="18"/>
          </w:rPr>
          <w:t xml:space="preserve">https://www.thefabricator.com/thefabricator/article/finishing/an-overview-of-a-powder-coating-line-for-fabricators</w:t>
        </w:r>
      </w:hyperlink>
    </w:p>
    <w:p>
      <w:pPr>
        <w:spacing w:after="20"/>
      </w:pPr>
      <w:hyperlink w:history="1" r:id="rIdkwyjr2txdd12h2lbmk6g6">
        <w:r>
          <w:rPr>
            <w:rStyle w:val="Hyperlink"/>
            <w:rFonts w:ascii="Arial" w:cs="Arial" w:eastAsia="Arial" w:hAnsi="Arial"/>
            <w:sz w:val="18"/>
            <w:szCs w:val="18"/>
          </w:rPr>
          <w:t xml:space="preserve">https://www.clearpowdercoatingline.com/choosing-the-right-conveyor-speed-for-your-powder-coating-line/</w:t>
        </w:r>
      </w:hyperlink>
    </w:p>
    <w:p>
      <w:pPr>
        <w:spacing w:after="20"/>
      </w:pPr>
      <w:hyperlink w:history="1" r:id="rIdmzff4jxe_qnmwc67tpo1s">
        <w:r>
          <w:rPr>
            <w:rStyle w:val="Hyperlink"/>
            <w:rFonts w:ascii="Arial" w:cs="Arial" w:eastAsia="Arial" w:hAnsi="Arial"/>
            <w:sz w:val="18"/>
            <w:szCs w:val="18"/>
          </w:rPr>
          <w:t xml:space="preserve">https://www.arccaptain.com/blogs/news/t6-heat-treatment-for-aluminum-alloy</w:t>
        </w:r>
      </w:hyperlink>
    </w:p>
    <w:p>
      <w:pPr>
        <w:spacing w:after="20"/>
      </w:pPr>
      <w:hyperlink w:history="1" r:id="rIde5kfncdjdxjqd_qjpwqpf">
        <w:r>
          <w:rPr>
            <w:rStyle w:val="Hyperlink"/>
            <w:rFonts w:ascii="Arial" w:cs="Arial" w:eastAsia="Arial" w:hAnsi="Arial"/>
            <w:sz w:val="18"/>
            <w:szCs w:val="18"/>
          </w:rPr>
          <w:t xml:space="preserve">https://aluminium-guide.com/aluminium-ageing-ovens/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90" w:before="1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wlo-hw9fsyryv75nv2hl" Type="http://schemas.openxmlformats.org/officeDocument/2006/relationships/hyperlink" Target="https://www.addisonsaws.co.uk/product-category/pvc-and-aluminium-machinery/aluminium-saws/automatic-aluminium-saws/" TargetMode="External"/><Relationship Id="rId0iierj3c-9lnoqvz_7q0d" Type="http://schemas.openxmlformats.org/officeDocument/2006/relationships/hyperlink" Target="https://profifeedtech.com/products/aluminium-fully-automatic-saw-a550/" TargetMode="External"/><Relationship Id="rIdbwfs7glkeuixc_s6ighsc" Type="http://schemas.openxmlformats.org/officeDocument/2006/relationships/hyperlink" Target="https://www.powertransmission.com/precision-thread-rolling-process-for-high-accuracy-lead-screws-actuator-screws-and-power-transmission-components" TargetMode="External"/><Relationship Id="rIdtjsck4s5kvt6osn8tdw8o" Type="http://schemas.openxmlformats.org/officeDocument/2006/relationships/hyperlink" Target="https://www.iqsdirectory.com/articles/screw-machine-product/thread-rolling.html" TargetMode="External"/><Relationship Id="rId5fk5nddj9lzmdx40rzq4p" Type="http://schemas.openxmlformats.org/officeDocument/2006/relationships/hyperlink" Target="https://www.thefabricator.com/thefabricator/article/finishing/an-overview-of-a-powder-coating-line-for-fabricators" TargetMode="External"/><Relationship Id="rIdkwyjr2txdd12h2lbmk6g6" Type="http://schemas.openxmlformats.org/officeDocument/2006/relationships/hyperlink" Target="https://www.clearpowdercoatingline.com/choosing-the-right-conveyor-speed-for-your-powder-coating-line/" TargetMode="External"/><Relationship Id="rIdmzff4jxe_qnmwc67tpo1s" Type="http://schemas.openxmlformats.org/officeDocument/2006/relationships/hyperlink" Target="https://www.arccaptain.com/blogs/news/t6-heat-treatment-for-aluminum-alloy" TargetMode="External"/><Relationship Id="rIde5kfncdjdxjqd_qjpwqpf" Type="http://schemas.openxmlformats.org/officeDocument/2006/relationships/hyperlink" Target="https://aluminium-guide.com/aluminium-ageing-oven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DigMore Section 5 Capacity Analysis</dc:title>
  <dc:creator>DigMore Facility Design</dc:creator>
  <cp:lastModifiedBy>Un-named</cp:lastModifiedBy>
  <cp:revision>1</cp:revision>
  <dcterms:created xsi:type="dcterms:W3CDTF">2026-06-08T13:24:14.940Z</dcterms:created>
  <dcterms:modified xsi:type="dcterms:W3CDTF">2026-06-08T13:24:14.959Z</dcterms:modified>
</cp:coreProperties>
</file>

<file path=docProps/custom.xml><?xml version="1.0" encoding="utf-8"?>
<Properties xmlns="http://schemas.openxmlformats.org/officeDocument/2006/custom-properties" xmlns:vt="http://schemas.openxmlformats.org/officeDocument/2006/docPropsVTypes"/>
</file>