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FreshMart Supermarkets: Why Is Our Basket Getting Smaller?</w:t>
      </w:r>
    </w:p>
    <w:p>
      <w:pPr/>
      <w:r>
        <w:rPr>
          <w:i/>
        </w:rPr>
        <w:t xml:space="preserve">Business analysis report for the Head of Retail Operations and the steering group. Data: FreshMart 2025 extract (64,330 transactions, 42 stores). Supporting analysis: FreshMart_Basket_Analysis.ipynb.</w:t>
      </w:r>
    </w:p>
    <w:p>
      <w:pPr>
        <w:pStyle w:val="Heading2"/>
      </w:pPr>
      <w:r>
        <w:t xml:space="preserve">1. Executive summary</w:t>
      </w:r>
    </w:p>
    <w:p>
      <w:pPr/>
      <w:r>
        <w:t xml:space="preserve">Leadership reported that footfall is up while sales are flat, and that baskets feel smaller. The data confirms it, and shows where it comes from.</w:t>
      </w:r>
    </w:p>
    <w:p>
      <w:pPr>
        <w:pStyle w:val="ListParagraph"/>
        <w:numPr>
          <w:ilvl w:val="0"/>
          <w:numId w:val="2"/>
        </w:numPr>
      </w:pPr>
      <w:r>
        <w:rPr>
          <w:b/>
        </w:rPr>
        <w:t xml:space="preserve">The decline is real.</w:t>
      </w:r>
      <w:r>
        <w:t xml:space="preserve"> Comparing January to June (H1) with July to December (H2) 2025, trips rose 6.8% (31,109 to 33,221), the average basket fell 10.0% (R290 to R261) and sample revenue fell 3.9% (R9.02M to R8.67M).</w:t>
      </w:r>
    </w:p>
    <w:p>
      <w:pPr>
        <w:pStyle w:val="ListParagraph"/>
        <w:numPr>
          <w:ilvl w:val="0"/>
          <w:numId w:val="2"/>
        </w:numPr>
      </w:pPr>
      <w:r>
        <w:rPr>
          <w:b/>
        </w:rPr>
        <w:t xml:space="preserve">Shoppers are not buying cheaper items. They are making more small trips.</w:t>
      </w:r>
      <w:r>
        <w:t xml:space="preserve"> Rand per item rose 1.6%. Big-shop baskets (9+ items) barely moved (R413 to R408) and top-up baskets (8 items or fewer) did not move at all (R90). What changed is the share of trips that are top-ups: 38% in H1, 46% in H2, and 35% in January to 50% in December. About </w:t>
      </w:r>
      <w:r>
        <w:rPr>
          <w:b/>
        </w:rPr>
        <w:t xml:space="preserve">91% of the fall in the average basket is this mix shift.</w:t>
      </w:r>
    </w:p>
    <w:p>
      <w:pPr>
        <w:pStyle w:val="ListParagraph"/>
        <w:numPr>
          <w:ilvl w:val="0"/>
          <w:numId w:val="2"/>
        </w:numPr>
      </w:pPr>
      <w:r>
        <w:rPr>
          <w:b/>
        </w:rPr>
        <w:t xml:space="preserve">A nearby discounter is the sharpest driver.</w:t>
      </w:r>
      <w:r>
        <w:t xml:space="preserve"> At the 12 stores where a discounter opened within 2 km, baskets fell about </w:t>
      </w:r>
      <w:r>
        <w:rPr>
          <w:b/>
        </w:rPr>
        <w:t xml:space="preserve">R46 more</w:t>
      </w:r>
      <w:r>
        <w:t xml:space="preserve"> than at comparable stores over the same dates. All 12 stores fell more than control, and the drop lands at the opening date.</w:t>
      </w:r>
    </w:p>
    <w:p>
      <w:pPr>
        <w:pStyle w:val="ListParagraph"/>
        <w:numPr>
          <w:ilvl w:val="0"/>
          <w:numId w:val="2"/>
        </w:numPr>
      </w:pPr>
      <w:r>
        <w:rPr>
          <w:b/>
        </w:rPr>
        <w:t xml:space="preserve">Competition is not the whole story.</w:t>
      </w:r>
      <w:r>
        <w:t xml:space="preserve"> The 30 stores with no competitor still saw top-up share rise from 36% to 48%. The data cannot explain this chain-wide drift.</w:t>
      </w:r>
    </w:p>
    <w:p>
      <w:pPr>
        <w:pStyle w:val="ListParagraph"/>
        <w:numPr>
          <w:ilvl w:val="0"/>
          <w:numId w:val="2"/>
        </w:numPr>
      </w:pPr>
      <w:r>
        <w:rPr>
          <w:b/>
        </w:rPr>
        <w:t xml:space="preserve">Weekend stockouts are a real but small problem.</w:t>
      </w:r>
      <w:r>
        <w:t xml:space="preserve"> Household Cleaning ran out on 119 weekend store-days at 6 stores. Baskets on those days were about R32 (12%) smaller, but only 0.9% of trips were affected.</w:t>
      </w:r>
    </w:p>
    <w:p>
      <w:pPr/>
      <w:r>
        <w:rPr>
          <w:b/>
        </w:rPr>
        <w:t xml:space="preserve">We recommend three actions:</w:t>
      </w:r>
      <w:r>
        <w:t xml:space="preserve"> (1) defend big shops at the 12 exposed stores with a tested offer, (2) close the weekend replenishment gap, and (3) set up a competitor early-warning watchlist and fix loyalty ID capture. Section 7 gives impact, effort, owners and risks, and Section 8 explains how to test and monitor them.</w:t>
      </w:r>
    </w:p>
    <w:p>
      <w:pPr>
        <w:pStyle w:val="Heading2"/>
      </w:pPr>
      <w:r>
        <w:t xml:space="preserve">2. Problem definition and scope</w:t>
      </w:r>
    </w:p>
    <w:p>
      <w:pPr>
        <w:pStyle w:val="Heading3"/>
      </w:pPr>
      <w:r>
        <w:t xml:space="preserve">2.1 From a hunch to measurable problem statements</w:t>
      </w:r>
    </w:p>
    <w:p>
      <w:pPr/>
      <w:r>
        <w:t xml:space="preserve">The brief, 'people are buying less per visit', is too vague to act on. We turned it into three questions:</w:t>
      </w:r>
    </w:p>
    <w:p>
      <w:pPr>
        <w:pStyle w:val="ListParagraph"/>
        <w:numPr>
          <w:ilvl w:val="0"/>
          <w:numId w:val="3"/>
        </w:numPr>
      </w:pPr>
      <w:r>
        <w:rPr>
          <w:b/>
        </w:rPr>
        <w:t xml:space="preserve">Size:</w:t>
      </w:r>
      <w:r>
        <w:t xml:space="preserve"> Did the average basket value and the items per trip fall between H1 and H2 2025, and by how much?</w:t>
      </w:r>
    </w:p>
    <w:p>
      <w:pPr>
        <w:pStyle w:val="ListParagraph"/>
        <w:numPr>
          <w:ilvl w:val="0"/>
          <w:numId w:val="3"/>
        </w:numPr>
      </w:pPr>
      <w:r>
        <w:rPr>
          <w:b/>
        </w:rPr>
        <w:t xml:space="preserve">Location:</w:t>
      </w:r>
      <w:r>
        <w:t xml:space="preserve"> Is the fall chain-wide, or concentrated in particular stores, formats, provinces, customer groups, days or trip types?</w:t>
      </w:r>
    </w:p>
    <w:p>
      <w:pPr>
        <w:pStyle w:val="ListParagraph"/>
        <w:numPr>
          <w:ilvl w:val="0"/>
          <w:numId w:val="3"/>
        </w:numPr>
      </w:pPr>
      <w:r>
        <w:rPr>
          <w:b/>
        </w:rPr>
        <w:t xml:space="preserve">Cause and action:</w:t>
      </w:r>
      <w:r>
        <w:t xml:space="preserve"> What explains the fall, and which interventions would recover the lost value?</w:t>
      </w:r>
    </w:p>
    <w:p>
      <w:pPr>
        <w:pStyle w:val="Heading3"/>
      </w:pPr>
      <w:r>
        <w:t xml:space="preserve">2.2 Metric definitions</w:t>
      </w:r>
    </w:p>
    <w:tbl>
      <w:tblPr>
        <w:tblStyle w:val="TableGrid"/>
        <w:tblW w:w="0" w:type="auto"/>
        <w:tblLayout w:type="fixed"/>
        <w:tblLook w:val="04A0" w:firstRow="1" w:lastRow="0" w:firstColumn="0" w:lastColumn="0" w:noHBand="0" w:noVBand="1"/>
      </w:tblPr>
      <w:tblGrid>
        <w:gridCol w:w="2802"/>
        <w:gridCol w:w="6557"/>
      </w:tblGrid>
      <w:tr>
        <w:trPr>
          <w:tblHeader/>
        </w:trPr>
        <w:tc>
          <w:tcPr>
            <w:tcW w:w="2802" w:type="dxa"/>
            <w:shd w:val="clear" w:color="auto" w:fill="F2F2F2"/>
          </w:tcPr>
          <w:p>
            <w:pPr/>
            <w:r>
              <w:t xml:space="preserve">Metric</w:t>
            </w:r>
          </w:p>
        </w:tc>
        <w:tc>
          <w:tcPr>
            <w:tcW w:w="6557" w:type="dxa"/>
            <w:shd w:val="clear" w:color="auto" w:fill="F2F2F2"/>
          </w:tcPr>
          <w:p>
            <w:pPr/>
            <w:r>
              <w:t xml:space="preserve">Definition</w:t>
            </w:r>
          </w:p>
        </w:tc>
      </w:tr>
      <w:tr>
        <w:tc>
          <w:tcPr>
            <w:tcW w:w="2802" w:type="dxa"/>
          </w:tcPr>
          <w:p>
            <w:pPr/>
            <w:r>
              <w:t xml:space="preserve">Basket value</w:t>
            </w:r>
          </w:p>
        </w:tc>
        <w:tc>
          <w:tcPr>
            <w:tcW w:w="6557" w:type="dxa"/>
          </w:tcPr>
          <w:p>
            <w:pPr/>
            <w:r>
              <w:t xml:space="preserve">basket_value_zar for one transaction (rand)</w:t>
            </w:r>
          </w:p>
        </w:tc>
      </w:tr>
      <w:tr>
        <w:tc>
          <w:tcPr>
            <w:tcW w:w="2802" w:type="dxa"/>
          </w:tcPr>
          <w:p>
            <w:pPr/>
            <w:r>
              <w:t xml:space="preserve">Items per basket</w:t>
            </w:r>
          </w:p>
        </w:tc>
        <w:tc>
          <w:tcPr>
            <w:tcW w:w="6557" w:type="dxa"/>
          </w:tcPr>
          <w:p>
            <w:pPr/>
            <w:r>
              <w:t xml:space="preserve">num_items for one transaction</w:t>
            </w:r>
          </w:p>
        </w:tc>
      </w:tr>
      <w:tr>
        <w:tc>
          <w:tcPr>
            <w:tcW w:w="2802" w:type="dxa"/>
          </w:tcPr>
          <w:p>
            <w:pPr/>
            <w:r>
              <w:t xml:space="preserve">Trips</w:t>
            </w:r>
          </w:p>
        </w:tc>
        <w:tc>
          <w:tcPr>
            <w:tcW w:w="6557" w:type="dxa"/>
          </w:tcPr>
          <w:p>
            <w:pPr/>
            <w:r>
              <w:t xml:space="preserve">Count of transactions</w:t>
            </w:r>
          </w:p>
        </w:tc>
      </w:tr>
      <w:tr>
        <w:tc>
          <w:tcPr>
            <w:tcW w:w="2802" w:type="dxa"/>
          </w:tcPr>
          <w:p>
            <w:pPr/>
            <w:r>
              <w:t xml:space="preserve">Revenue (sample)</w:t>
            </w:r>
          </w:p>
        </w:tc>
        <w:tc>
          <w:tcPr>
            <w:tcW w:w="6557" w:type="dxa"/>
          </w:tcPr>
          <w:p>
            <w:pPr/>
            <w:r>
              <w:t xml:space="preserve">Sum of basket value in the extract. The file is a sample, so this is used for comparison, not as FreshMart's total turnover</w:t>
            </w:r>
          </w:p>
        </w:tc>
      </w:tr>
      <w:tr>
        <w:tc>
          <w:tcPr>
            <w:tcW w:w="2802" w:type="dxa"/>
          </w:tcPr>
          <w:p>
            <w:pPr/>
            <w:r>
              <w:t xml:space="preserve">Rand per item</w:t>
            </w:r>
          </w:p>
        </w:tc>
        <w:tc>
          <w:tcPr>
            <w:tcW w:w="6557" w:type="dxa"/>
          </w:tcPr>
          <w:p>
            <w:pPr/>
            <w:r>
              <w:t xml:space="preserve">Basket value divided by items. Tests whether shoppers trade down</w:t>
            </w:r>
          </w:p>
        </w:tc>
      </w:tr>
      <w:tr>
        <w:tc>
          <w:tcPr>
            <w:tcW w:w="2802" w:type="dxa"/>
          </w:tcPr>
          <w:p>
            <w:pPr/>
            <w:r>
              <w:t xml:space="preserve">Top-up trip</w:t>
            </w:r>
          </w:p>
        </w:tc>
        <w:tc>
          <w:tcPr>
            <w:tcW w:w="6557" w:type="dxa"/>
          </w:tcPr>
          <w:p>
            <w:pPr/>
            <w:r>
              <w:t xml:space="preserve">Basket of 8 items or fewer</w:t>
            </w:r>
          </w:p>
        </w:tc>
      </w:tr>
      <w:tr>
        <w:tc>
          <w:tcPr>
            <w:tcW w:w="2802" w:type="dxa"/>
          </w:tcPr>
          <w:p>
            <w:pPr/>
            <w:r>
              <w:t xml:space="preserve">Big shop</w:t>
            </w:r>
          </w:p>
        </w:tc>
        <w:tc>
          <w:tcPr>
            <w:tcW w:w="6557" w:type="dxa"/>
          </w:tcPr>
          <w:p>
            <w:pPr/>
            <w:r>
              <w:t xml:space="preserve">Basket of 9 items or more</w:t>
            </w:r>
          </w:p>
        </w:tc>
      </w:tr>
      <w:tr>
        <w:tc>
          <w:tcPr>
            <w:tcW w:w="2802" w:type="dxa"/>
          </w:tcPr>
          <w:p>
            <w:pPr/>
            <w:r>
              <w:t xml:space="preserve">H1 / H2</w:t>
            </w:r>
          </w:p>
        </w:tc>
        <w:tc>
          <w:tcPr>
            <w:tcW w:w="6557" w:type="dxa"/>
          </w:tcPr>
          <w:p>
            <w:pPr/>
            <w:r>
              <w:t xml:space="preserve">January to June / July to December 2025</w:t>
            </w:r>
          </w:p>
        </w:tc>
      </w:tr>
    </w:tbl>
    <w:p>
      <w:pPr/>
      <w:r>
        <w:t xml:space="preserve">We measure basket size in both rand and items, because they can move in different directions. The 8-item cut-off sits in the gap between the two humps of the basket distribution (a small-basket hump and a big-shop hump).</w:t>
      </w:r>
    </w:p>
    <w:p>
      <w:pPr>
        <w:pStyle w:val="Heading3"/>
      </w:pPr>
      <w:r>
        <w:t xml:space="preserve">2.3 The arithmetic of the paradox</w:t>
      </w:r>
    </w:p>
    <w:p>
      <w:pPr/>
      <w:r>
        <w:t xml:space="preserve">Revenue equals trips multiplied by the average basket. Trips up 6.8% and basket down 10.0% gives 1.068 x 0.900 = 0.961, which is a 3.9% fall in revenue. So 'footfall up, sales flat or down' means each trip is worth less, or the kind of trip is changing. Both are measurable here.</w:t>
      </w:r>
    </w:p>
    <w:p>
      <w:pPr>
        <w:pStyle w:val="Heading3"/>
      </w:pPr>
      <w:r>
        <w:t xml:space="preserve">2.4 Is the effect real? Quantified</w:t>
      </w:r>
    </w:p>
    <w:tbl>
      <w:tblPr>
        <w:tblStyle w:val="TableGrid"/>
        <w:tblW w:w="0" w:type="auto"/>
        <w:tblLayout w:type="fixed"/>
        <w:tblLook w:val="04A0" w:firstRow="1" w:lastRow="0" w:firstColumn="0" w:lastColumn="0" w:noHBand="0" w:noVBand="1"/>
      </w:tblPr>
      <w:tblGrid>
        <w:gridCol w:w="4331"/>
        <w:gridCol w:w="1629"/>
        <w:gridCol w:w="1629"/>
        <w:gridCol w:w="1769"/>
      </w:tblGrid>
      <w:tr>
        <w:trPr>
          <w:tblHeader/>
        </w:trPr>
        <w:tc>
          <w:tcPr>
            <w:tcW w:w="4331" w:type="dxa"/>
            <w:shd w:val="clear" w:color="auto" w:fill="F2F2F2"/>
          </w:tcPr>
          <w:p>
            <w:pPr/>
          </w:p>
        </w:tc>
        <w:tc>
          <w:tcPr>
            <w:tcW w:w="1629" w:type="dxa"/>
            <w:shd w:val="clear" w:color="auto" w:fill="F2F2F2"/>
          </w:tcPr>
          <w:p>
            <w:pPr/>
            <w:r>
              <w:t xml:space="preserve">H1</w:t>
            </w:r>
          </w:p>
        </w:tc>
        <w:tc>
          <w:tcPr>
            <w:tcW w:w="1629" w:type="dxa"/>
            <w:shd w:val="clear" w:color="auto" w:fill="F2F2F2"/>
          </w:tcPr>
          <w:p>
            <w:pPr/>
            <w:r>
              <w:t xml:space="preserve">H2</w:t>
            </w:r>
          </w:p>
        </w:tc>
        <w:tc>
          <w:tcPr>
            <w:tcW w:w="1769" w:type="dxa"/>
            <w:shd w:val="clear" w:color="auto" w:fill="F2F2F2"/>
          </w:tcPr>
          <w:p>
            <w:pPr/>
            <w:r>
              <w:t xml:space="preserve">Change</w:t>
            </w:r>
          </w:p>
        </w:tc>
      </w:tr>
      <w:tr>
        <w:tc>
          <w:tcPr>
            <w:tcW w:w="4331" w:type="dxa"/>
          </w:tcPr>
          <w:p>
            <w:pPr/>
            <w:r>
              <w:t xml:space="preserve">Trips</w:t>
            </w:r>
          </w:p>
        </w:tc>
        <w:tc>
          <w:tcPr>
            <w:tcW w:w="1629" w:type="dxa"/>
          </w:tcPr>
          <w:p>
            <w:pPr/>
            <w:r>
              <w:t xml:space="preserve">31,109</w:t>
            </w:r>
          </w:p>
        </w:tc>
        <w:tc>
          <w:tcPr>
            <w:tcW w:w="1629" w:type="dxa"/>
          </w:tcPr>
          <w:p>
            <w:pPr/>
            <w:r>
              <w:t xml:space="preserve">33,221</w:t>
            </w:r>
          </w:p>
        </w:tc>
        <w:tc>
          <w:tcPr>
            <w:tcW w:w="1769" w:type="dxa"/>
          </w:tcPr>
          <w:p>
            <w:pPr/>
            <w:r>
              <w:t xml:space="preserve">+6.8%</w:t>
            </w:r>
          </w:p>
        </w:tc>
      </w:tr>
      <w:tr>
        <w:tc>
          <w:tcPr>
            <w:tcW w:w="4331" w:type="dxa"/>
          </w:tcPr>
          <w:p>
            <w:pPr/>
            <w:r>
              <w:t xml:space="preserve">Average basket (R)</w:t>
            </w:r>
          </w:p>
        </w:tc>
        <w:tc>
          <w:tcPr>
            <w:tcW w:w="1629" w:type="dxa"/>
          </w:tcPr>
          <w:p>
            <w:pPr/>
            <w:r>
              <w:t xml:space="preserve">290.0</w:t>
            </w:r>
          </w:p>
        </w:tc>
        <w:tc>
          <w:tcPr>
            <w:tcW w:w="1629" w:type="dxa"/>
          </w:tcPr>
          <w:p>
            <w:pPr/>
            <w:r>
              <w:t xml:space="preserve">261.1</w:t>
            </w:r>
          </w:p>
        </w:tc>
        <w:tc>
          <w:tcPr>
            <w:tcW w:w="1769" w:type="dxa"/>
          </w:tcPr>
          <w:p>
            <w:pPr/>
            <w:r>
              <w:t xml:space="preserve">-10.0%</w:t>
            </w:r>
          </w:p>
        </w:tc>
      </w:tr>
      <w:tr>
        <w:tc>
          <w:tcPr>
            <w:tcW w:w="4331" w:type="dxa"/>
          </w:tcPr>
          <w:p>
            <w:pPr/>
            <w:r>
              <w:t xml:space="preserve">Items per basket</w:t>
            </w:r>
          </w:p>
        </w:tc>
        <w:tc>
          <w:tcPr>
            <w:tcW w:w="1629" w:type="dxa"/>
          </w:tcPr>
          <w:p>
            <w:pPr/>
            <w:r>
              <w:t xml:space="preserve">14.2</w:t>
            </w:r>
          </w:p>
        </w:tc>
        <w:tc>
          <w:tcPr>
            <w:tcW w:w="1629" w:type="dxa"/>
          </w:tcPr>
          <w:p>
            <w:pPr/>
            <w:r>
              <w:t xml:space="preserve">12.7</w:t>
            </w:r>
          </w:p>
        </w:tc>
        <w:tc>
          <w:tcPr>
            <w:tcW w:w="1769" w:type="dxa"/>
          </w:tcPr>
          <w:p>
            <w:pPr/>
            <w:r>
              <w:t xml:space="preserve">-10.6%</w:t>
            </w:r>
          </w:p>
        </w:tc>
      </w:tr>
      <w:tr>
        <w:tc>
          <w:tcPr>
            <w:tcW w:w="4331" w:type="dxa"/>
          </w:tcPr>
          <w:p>
            <w:pPr/>
            <w:r>
              <w:t xml:space="preserve">Revenue, sample (R)</w:t>
            </w:r>
          </w:p>
        </w:tc>
        <w:tc>
          <w:tcPr>
            <w:tcW w:w="1629" w:type="dxa"/>
          </w:tcPr>
          <w:p>
            <w:pPr/>
            <w:r>
              <w:t xml:space="preserve">9.02M</w:t>
            </w:r>
          </w:p>
        </w:tc>
        <w:tc>
          <w:tcPr>
            <w:tcW w:w="1629" w:type="dxa"/>
          </w:tcPr>
          <w:p>
            <w:pPr/>
            <w:r>
              <w:t xml:space="preserve">8.67M</w:t>
            </w:r>
          </w:p>
        </w:tc>
        <w:tc>
          <w:tcPr>
            <w:tcW w:w="1769" w:type="dxa"/>
          </w:tcPr>
          <w:p>
            <w:pPr/>
            <w:r>
              <w:t xml:space="preserve">-3.9%</w:t>
            </w:r>
          </w:p>
        </w:tc>
      </w:tr>
      <w:tr>
        <w:tc>
          <w:tcPr>
            <w:tcW w:w="4331" w:type="dxa"/>
          </w:tcPr>
          <w:p>
            <w:pPr/>
            <w:r>
              <w:t xml:space="preserve">Rand per item (R)</w:t>
            </w:r>
          </w:p>
        </w:tc>
        <w:tc>
          <w:tcPr>
            <w:tcW w:w="1629" w:type="dxa"/>
          </w:tcPr>
          <w:p>
            <w:pPr/>
            <w:r>
              <w:t xml:space="preserve">21.49</w:t>
            </w:r>
          </w:p>
        </w:tc>
        <w:tc>
          <w:tcPr>
            <w:tcW w:w="1629" w:type="dxa"/>
          </w:tcPr>
          <w:p>
            <w:pPr/>
            <w:r>
              <w:t xml:space="preserve">21.83</w:t>
            </w:r>
          </w:p>
        </w:tc>
        <w:tc>
          <w:tcPr>
            <w:tcW w:w="1769" w:type="dxa"/>
          </w:tcPr>
          <w:p>
            <w:pPr/>
            <w:r>
              <w:t xml:space="preserve">+1.6%</w:t>
            </w:r>
          </w:p>
        </w:tc>
      </w:tr>
    </w:tbl>
    <w:p>
      <w:pPr/>
      <w:r>
        <w:t xml:space="preserve">Month by month, the average basket fell almost continuously while trips rose:</w:t>
      </w:r>
    </w:p>
    <w:tbl>
      <w:tblPr>
        <w:tblStyle w:val="TableGrid"/>
        <w:tblW w:w="0" w:type="auto"/>
        <w:tblLayout w:type="fixed"/>
        <w:tblLook w:val="04A0" w:firstRow="1" w:lastRow="0" w:firstColumn="0" w:lastColumn="0" w:noHBand="0" w:noVBand="1"/>
      </w:tblPr>
      <w:tblGrid>
        <w:gridCol w:w="1101"/>
        <w:gridCol w:w="993"/>
        <w:gridCol w:w="2781"/>
        <w:gridCol w:w="2494"/>
        <w:gridCol w:w="1987"/>
      </w:tblGrid>
      <w:tr>
        <w:trPr>
          <w:tblHeader/>
        </w:trPr>
        <w:tc>
          <w:tcPr>
            <w:tcW w:w="1101" w:type="dxa"/>
            <w:shd w:val="clear" w:color="auto" w:fill="F2F2F2"/>
          </w:tcPr>
          <w:p>
            <w:pPr/>
            <w:r>
              <w:t xml:space="preserve">Month</w:t>
            </w:r>
          </w:p>
        </w:tc>
        <w:tc>
          <w:tcPr>
            <w:tcW w:w="993" w:type="dxa"/>
            <w:shd w:val="clear" w:color="auto" w:fill="F2F2F2"/>
          </w:tcPr>
          <w:p>
            <w:pPr/>
            <w:r>
              <w:t xml:space="preserve">Trips</w:t>
            </w:r>
          </w:p>
        </w:tc>
        <w:tc>
          <w:tcPr>
            <w:tcW w:w="2781" w:type="dxa"/>
            <w:shd w:val="clear" w:color="auto" w:fill="F2F2F2"/>
          </w:tcPr>
          <w:p>
            <w:pPr/>
            <w:r>
              <w:t xml:space="preserve">Average basket (R)</w:t>
            </w:r>
          </w:p>
        </w:tc>
        <w:tc>
          <w:tcPr>
            <w:tcW w:w="2494" w:type="dxa"/>
            <w:shd w:val="clear" w:color="auto" w:fill="F2F2F2"/>
          </w:tcPr>
          <w:p>
            <w:pPr/>
            <w:r>
              <w:t xml:space="preserve">Items per basket</w:t>
            </w:r>
          </w:p>
        </w:tc>
        <w:tc>
          <w:tcPr>
            <w:tcW w:w="1987" w:type="dxa"/>
            <w:shd w:val="clear" w:color="auto" w:fill="F2F2F2"/>
          </w:tcPr>
          <w:p>
            <w:pPr/>
            <w:r>
              <w:t xml:space="preserve">Top-up share</w:t>
            </w:r>
          </w:p>
        </w:tc>
      </w:tr>
      <w:tr>
        <w:tc>
          <w:tcPr>
            <w:tcW w:w="1101" w:type="dxa"/>
          </w:tcPr>
          <w:p>
            <w:pPr/>
            <w:r>
              <w:t xml:space="preserve">Jan</w:t>
            </w:r>
          </w:p>
        </w:tc>
        <w:tc>
          <w:tcPr>
            <w:tcW w:w="993" w:type="dxa"/>
          </w:tcPr>
          <w:p>
            <w:pPr/>
            <w:r>
              <w:t xml:space="preserve">5,175</w:t>
            </w:r>
          </w:p>
        </w:tc>
        <w:tc>
          <w:tcPr>
            <w:tcW w:w="2781" w:type="dxa"/>
          </w:tcPr>
          <w:p>
            <w:pPr/>
            <w:r>
              <w:t xml:space="preserve">299.8</w:t>
            </w:r>
          </w:p>
        </w:tc>
        <w:tc>
          <w:tcPr>
            <w:tcW w:w="2494" w:type="dxa"/>
          </w:tcPr>
          <w:p>
            <w:pPr/>
            <w:r>
              <w:t xml:space="preserve">14.8</w:t>
            </w:r>
          </w:p>
        </w:tc>
        <w:tc>
          <w:tcPr>
            <w:tcW w:w="1987" w:type="dxa"/>
          </w:tcPr>
          <w:p>
            <w:pPr/>
            <w:r>
              <w:t xml:space="preserve">35%</w:t>
            </w:r>
          </w:p>
        </w:tc>
      </w:tr>
      <w:tr>
        <w:tc>
          <w:tcPr>
            <w:tcW w:w="1101" w:type="dxa"/>
          </w:tcPr>
          <w:p>
            <w:pPr/>
            <w:r>
              <w:t xml:space="preserve">Feb</w:t>
            </w:r>
          </w:p>
        </w:tc>
        <w:tc>
          <w:tcPr>
            <w:tcW w:w="993" w:type="dxa"/>
          </w:tcPr>
          <w:p>
            <w:pPr/>
            <w:r>
              <w:t xml:space="preserve">4,840</w:t>
            </w:r>
          </w:p>
        </w:tc>
        <w:tc>
          <w:tcPr>
            <w:tcW w:w="2781" w:type="dxa"/>
          </w:tcPr>
          <w:p>
            <w:pPr/>
            <w:r>
              <w:t xml:space="preserve">296.1</w:t>
            </w:r>
          </w:p>
        </w:tc>
        <w:tc>
          <w:tcPr>
            <w:tcW w:w="2494" w:type="dxa"/>
          </w:tcPr>
          <w:p>
            <w:pPr/>
            <w:r>
              <w:t xml:space="preserve">14.5</w:t>
            </w:r>
          </w:p>
        </w:tc>
        <w:tc>
          <w:tcPr>
            <w:tcW w:w="1987" w:type="dxa"/>
          </w:tcPr>
          <w:p>
            <w:pPr/>
            <w:r>
              <w:t xml:space="preserve">36%</w:t>
            </w:r>
          </w:p>
        </w:tc>
      </w:tr>
      <w:tr>
        <w:tc>
          <w:tcPr>
            <w:tcW w:w="1101" w:type="dxa"/>
          </w:tcPr>
          <w:p>
            <w:pPr/>
            <w:r>
              <w:t xml:space="preserve">Mar</w:t>
            </w:r>
          </w:p>
        </w:tc>
        <w:tc>
          <w:tcPr>
            <w:tcW w:w="993" w:type="dxa"/>
          </w:tcPr>
          <w:p>
            <w:pPr/>
            <w:r>
              <w:t xml:space="preserve">5,321</w:t>
            </w:r>
          </w:p>
        </w:tc>
        <w:tc>
          <w:tcPr>
            <w:tcW w:w="2781" w:type="dxa"/>
          </w:tcPr>
          <w:p>
            <w:pPr/>
            <w:r>
              <w:t xml:space="preserve">290.9</w:t>
            </w:r>
          </w:p>
        </w:tc>
        <w:tc>
          <w:tcPr>
            <w:tcW w:w="2494" w:type="dxa"/>
          </w:tcPr>
          <w:p>
            <w:pPr/>
            <w:r>
              <w:t xml:space="preserve">14.3</w:t>
            </w:r>
          </w:p>
        </w:tc>
        <w:tc>
          <w:tcPr>
            <w:tcW w:w="1987" w:type="dxa"/>
          </w:tcPr>
          <w:p>
            <w:pPr/>
            <w:r>
              <w:t xml:space="preserve">38%</w:t>
            </w:r>
          </w:p>
        </w:tc>
      </w:tr>
      <w:tr>
        <w:tc>
          <w:tcPr>
            <w:tcW w:w="1101" w:type="dxa"/>
          </w:tcPr>
          <w:p>
            <w:pPr/>
            <w:r>
              <w:t xml:space="preserve">Apr</w:t>
            </w:r>
          </w:p>
        </w:tc>
        <w:tc>
          <w:tcPr>
            <w:tcW w:w="993" w:type="dxa"/>
          </w:tcPr>
          <w:p>
            <w:pPr/>
            <w:r>
              <w:t xml:space="preserve">5,167</w:t>
            </w:r>
          </w:p>
        </w:tc>
        <w:tc>
          <w:tcPr>
            <w:tcW w:w="2781" w:type="dxa"/>
          </w:tcPr>
          <w:p>
            <w:pPr/>
            <w:r>
              <w:t xml:space="preserve">284.7</w:t>
            </w:r>
          </w:p>
        </w:tc>
        <w:tc>
          <w:tcPr>
            <w:tcW w:w="2494" w:type="dxa"/>
          </w:tcPr>
          <w:p>
            <w:pPr/>
            <w:r>
              <w:t xml:space="preserve">13.9</w:t>
            </w:r>
          </w:p>
        </w:tc>
        <w:tc>
          <w:tcPr>
            <w:tcW w:w="1987" w:type="dxa"/>
          </w:tcPr>
          <w:p>
            <w:pPr/>
            <w:r>
              <w:t xml:space="preserve">40%</w:t>
            </w:r>
          </w:p>
        </w:tc>
      </w:tr>
      <w:tr>
        <w:tc>
          <w:tcPr>
            <w:tcW w:w="1101" w:type="dxa"/>
          </w:tcPr>
          <w:p>
            <w:pPr/>
            <w:r>
              <w:t xml:space="preserve">May</w:t>
            </w:r>
          </w:p>
        </w:tc>
        <w:tc>
          <w:tcPr>
            <w:tcW w:w="993" w:type="dxa"/>
          </w:tcPr>
          <w:p>
            <w:pPr/>
            <w:r>
              <w:t xml:space="preserve">5,415</w:t>
            </w:r>
          </w:p>
        </w:tc>
        <w:tc>
          <w:tcPr>
            <w:tcW w:w="2781" w:type="dxa"/>
          </w:tcPr>
          <w:p>
            <w:pPr/>
            <w:r>
              <w:t xml:space="preserve">287.0</w:t>
            </w:r>
          </w:p>
        </w:tc>
        <w:tc>
          <w:tcPr>
            <w:tcW w:w="2494" w:type="dxa"/>
          </w:tcPr>
          <w:p>
            <w:pPr/>
            <w:r>
              <w:t xml:space="preserve">14.0</w:t>
            </w:r>
          </w:p>
        </w:tc>
        <w:tc>
          <w:tcPr>
            <w:tcW w:w="1987" w:type="dxa"/>
          </w:tcPr>
          <w:p>
            <w:pPr/>
            <w:r>
              <w:t xml:space="preserve">39%</w:t>
            </w:r>
          </w:p>
        </w:tc>
      </w:tr>
      <w:tr>
        <w:tc>
          <w:tcPr>
            <w:tcW w:w="1101" w:type="dxa"/>
          </w:tcPr>
          <w:p>
            <w:pPr/>
            <w:r>
              <w:t xml:space="preserve">Jun</w:t>
            </w:r>
          </w:p>
        </w:tc>
        <w:tc>
          <w:tcPr>
            <w:tcW w:w="993" w:type="dxa"/>
          </w:tcPr>
          <w:p>
            <w:pPr/>
            <w:r>
              <w:t xml:space="preserve">5,191</w:t>
            </w:r>
          </w:p>
        </w:tc>
        <w:tc>
          <w:tcPr>
            <w:tcW w:w="2781" w:type="dxa"/>
          </w:tcPr>
          <w:p>
            <w:pPr/>
            <w:r>
              <w:t xml:space="preserve">282.1</w:t>
            </w:r>
          </w:p>
        </w:tc>
        <w:tc>
          <w:tcPr>
            <w:tcW w:w="2494" w:type="dxa"/>
          </w:tcPr>
          <w:p>
            <w:pPr/>
            <w:r>
              <w:t xml:space="preserve">13.8</w:t>
            </w:r>
          </w:p>
        </w:tc>
        <w:tc>
          <w:tcPr>
            <w:tcW w:w="1987" w:type="dxa"/>
          </w:tcPr>
          <w:p>
            <w:pPr/>
            <w:r>
              <w:t xml:space="preserve">40%</w:t>
            </w:r>
          </w:p>
        </w:tc>
      </w:tr>
      <w:tr>
        <w:tc>
          <w:tcPr>
            <w:tcW w:w="1101" w:type="dxa"/>
          </w:tcPr>
          <w:p>
            <w:pPr/>
            <w:r>
              <w:t xml:space="preserve">Jul</w:t>
            </w:r>
          </w:p>
        </w:tc>
        <w:tc>
          <w:tcPr>
            <w:tcW w:w="993" w:type="dxa"/>
          </w:tcPr>
          <w:p>
            <w:pPr/>
            <w:r>
              <w:t xml:space="preserve">5,276</w:t>
            </w:r>
          </w:p>
        </w:tc>
        <w:tc>
          <w:tcPr>
            <w:tcW w:w="2781" w:type="dxa"/>
          </w:tcPr>
          <w:p>
            <w:pPr/>
            <w:r>
              <w:t xml:space="preserve">273.2</w:t>
            </w:r>
          </w:p>
        </w:tc>
        <w:tc>
          <w:tcPr>
            <w:tcW w:w="2494" w:type="dxa"/>
          </w:tcPr>
          <w:p>
            <w:pPr/>
            <w:r>
              <w:t xml:space="preserve">13.4</w:t>
            </w:r>
          </w:p>
        </w:tc>
        <w:tc>
          <w:tcPr>
            <w:tcW w:w="1987" w:type="dxa"/>
          </w:tcPr>
          <w:p>
            <w:pPr/>
            <w:r>
              <w:t xml:space="preserve">43%</w:t>
            </w:r>
          </w:p>
        </w:tc>
      </w:tr>
      <w:tr>
        <w:tc>
          <w:tcPr>
            <w:tcW w:w="1101" w:type="dxa"/>
          </w:tcPr>
          <w:p>
            <w:pPr/>
            <w:r>
              <w:t xml:space="preserve">Aug</w:t>
            </w:r>
          </w:p>
        </w:tc>
        <w:tc>
          <w:tcPr>
            <w:tcW w:w="993" w:type="dxa"/>
          </w:tcPr>
          <w:p>
            <w:pPr/>
            <w:r>
              <w:t xml:space="preserve">5,599</w:t>
            </w:r>
          </w:p>
        </w:tc>
        <w:tc>
          <w:tcPr>
            <w:tcW w:w="2781" w:type="dxa"/>
          </w:tcPr>
          <w:p>
            <w:pPr/>
            <w:r>
              <w:t xml:space="preserve">270.7</w:t>
            </w:r>
          </w:p>
        </w:tc>
        <w:tc>
          <w:tcPr>
            <w:tcW w:w="2494" w:type="dxa"/>
          </w:tcPr>
          <w:p>
            <w:pPr/>
            <w:r>
              <w:t xml:space="preserve">13.2</w:t>
            </w:r>
          </w:p>
        </w:tc>
        <w:tc>
          <w:tcPr>
            <w:tcW w:w="1987" w:type="dxa"/>
          </w:tcPr>
          <w:p>
            <w:pPr/>
            <w:r>
              <w:t xml:space="preserve">44%</w:t>
            </w:r>
          </w:p>
        </w:tc>
      </w:tr>
      <w:tr>
        <w:tc>
          <w:tcPr>
            <w:tcW w:w="1101" w:type="dxa"/>
          </w:tcPr>
          <w:p>
            <w:pPr/>
            <w:r>
              <w:t xml:space="preserve">Sep</w:t>
            </w:r>
          </w:p>
        </w:tc>
        <w:tc>
          <w:tcPr>
            <w:tcW w:w="993" w:type="dxa"/>
          </w:tcPr>
          <w:p>
            <w:pPr/>
            <w:r>
              <w:t xml:space="preserve">5,262</w:t>
            </w:r>
          </w:p>
        </w:tc>
        <w:tc>
          <w:tcPr>
            <w:tcW w:w="2781" w:type="dxa"/>
          </w:tcPr>
          <w:p>
            <w:pPr/>
            <w:r>
              <w:t xml:space="preserve">266.5</w:t>
            </w:r>
          </w:p>
        </w:tc>
        <w:tc>
          <w:tcPr>
            <w:tcW w:w="2494" w:type="dxa"/>
          </w:tcPr>
          <w:p>
            <w:pPr/>
            <w:r>
              <w:t xml:space="preserve">13.0</w:t>
            </w:r>
          </w:p>
        </w:tc>
        <w:tc>
          <w:tcPr>
            <w:tcW w:w="1987" w:type="dxa"/>
          </w:tcPr>
          <w:p>
            <w:pPr/>
            <w:r>
              <w:t xml:space="preserve">45%</w:t>
            </w:r>
          </w:p>
        </w:tc>
      </w:tr>
      <w:tr>
        <w:tc>
          <w:tcPr>
            <w:tcW w:w="1101" w:type="dxa"/>
          </w:tcPr>
          <w:p>
            <w:pPr/>
            <w:r>
              <w:t xml:space="preserve">Oct</w:t>
            </w:r>
          </w:p>
        </w:tc>
        <w:tc>
          <w:tcPr>
            <w:tcW w:w="993" w:type="dxa"/>
          </w:tcPr>
          <w:p>
            <w:pPr/>
            <w:r>
              <w:t xml:space="preserve">5,581</w:t>
            </w:r>
          </w:p>
        </w:tc>
        <w:tc>
          <w:tcPr>
            <w:tcW w:w="2781" w:type="dxa"/>
          </w:tcPr>
          <w:p>
            <w:pPr/>
            <w:r>
              <w:t xml:space="preserve">257.1</w:t>
            </w:r>
          </w:p>
        </w:tc>
        <w:tc>
          <w:tcPr>
            <w:tcW w:w="2494" w:type="dxa"/>
          </w:tcPr>
          <w:p>
            <w:pPr/>
            <w:r>
              <w:t xml:space="preserve">12.5</w:t>
            </w:r>
          </w:p>
        </w:tc>
        <w:tc>
          <w:tcPr>
            <w:tcW w:w="1987" w:type="dxa"/>
          </w:tcPr>
          <w:p>
            <w:pPr/>
            <w:r>
              <w:t xml:space="preserve">48%</w:t>
            </w:r>
          </w:p>
        </w:tc>
      </w:tr>
      <w:tr>
        <w:tc>
          <w:tcPr>
            <w:tcW w:w="1101" w:type="dxa"/>
          </w:tcPr>
          <w:p>
            <w:pPr/>
            <w:r>
              <w:t xml:space="preserve">Nov</w:t>
            </w:r>
          </w:p>
        </w:tc>
        <w:tc>
          <w:tcPr>
            <w:tcW w:w="993" w:type="dxa"/>
          </w:tcPr>
          <w:p>
            <w:pPr/>
            <w:r>
              <w:t xml:space="preserve">5,829</w:t>
            </w:r>
          </w:p>
        </w:tc>
        <w:tc>
          <w:tcPr>
            <w:tcW w:w="2781" w:type="dxa"/>
          </w:tcPr>
          <w:p>
            <w:pPr/>
            <w:r>
              <w:t xml:space="preserve">252.2</w:t>
            </w:r>
          </w:p>
        </w:tc>
        <w:tc>
          <w:tcPr>
            <w:tcW w:w="2494" w:type="dxa"/>
          </w:tcPr>
          <w:p>
            <w:pPr/>
            <w:r>
              <w:t xml:space="preserve">12.2</w:t>
            </w:r>
          </w:p>
        </w:tc>
        <w:tc>
          <w:tcPr>
            <w:tcW w:w="1987" w:type="dxa"/>
          </w:tcPr>
          <w:p>
            <w:pPr/>
            <w:r>
              <w:t xml:space="preserve">49%</w:t>
            </w:r>
          </w:p>
        </w:tc>
      </w:tr>
      <w:tr>
        <w:tc>
          <w:tcPr>
            <w:tcW w:w="1101" w:type="dxa"/>
          </w:tcPr>
          <w:p>
            <w:pPr/>
            <w:r>
              <w:t xml:space="preserve">Dec</w:t>
            </w:r>
          </w:p>
        </w:tc>
        <w:tc>
          <w:tcPr>
            <w:tcW w:w="993" w:type="dxa"/>
          </w:tcPr>
          <w:p>
            <w:pPr/>
            <w:r>
              <w:t xml:space="preserve">5,674</w:t>
            </w:r>
          </w:p>
        </w:tc>
        <w:tc>
          <w:tcPr>
            <w:tcW w:w="2781" w:type="dxa"/>
          </w:tcPr>
          <w:p>
            <w:pPr/>
            <w:r>
              <w:t xml:space="preserve">248.6</w:t>
            </w:r>
          </w:p>
        </w:tc>
        <w:tc>
          <w:tcPr>
            <w:tcW w:w="2494" w:type="dxa"/>
          </w:tcPr>
          <w:p>
            <w:pPr/>
            <w:r>
              <w:t xml:space="preserve">12.1</w:t>
            </w:r>
          </w:p>
        </w:tc>
        <w:tc>
          <w:tcPr>
            <w:tcW w:w="1987" w:type="dxa"/>
          </w:tcPr>
          <w:p>
            <w:pPr/>
            <w:r>
              <w:t xml:space="preserve">50%</w:t>
            </w:r>
          </w:p>
        </w:tc>
      </w:tr>
    </w:tbl>
    <w:p>
      <w:pPr/>
      <w:r>
        <w:rPr>
          <w:i/>
        </w:rPr>
        <w:t xml:space="preserve">Note: the brief quotes footfall up about 6% year on year. The extract covers 2025 only, so we cannot verify a year-on-year figure. The H1 to H2 rise of 6.8% is consistent with it but is a different measure.</w:t>
      </w:r>
    </w:p>
    <w:p>
      <w:pPr>
        <w:pStyle w:val="Heading2"/>
      </w:pPr>
      <w:r>
        <w:t xml:space="preserve">3. Stakeholders and hypotheses</w:t>
      </w:r>
    </w:p>
    <w:p>
      <w:pPr>
        <w:pStyle w:val="Heading3"/>
      </w:pPr>
      <w:r>
        <w:t xml:space="preserve">3.1 Stakeholders</w:t>
      </w:r>
    </w:p>
    <w:tbl>
      <w:tblPr>
        <w:tblStyle w:val="TableGrid"/>
        <w:tblW w:w="0" w:type="auto"/>
        <w:tblLayout w:type="fixed"/>
        <w:tblLook w:val="04A0" w:firstRow="1" w:lastRow="0" w:firstColumn="0" w:lastColumn="0" w:noHBand="0" w:noVBand="1"/>
      </w:tblPr>
      <w:tblGrid>
        <w:gridCol w:w="1752"/>
        <w:gridCol w:w="3045"/>
        <w:gridCol w:w="4562"/>
      </w:tblGrid>
      <w:tr>
        <w:trPr>
          <w:tblHeader/>
        </w:trPr>
        <w:tc>
          <w:tcPr>
            <w:tcW w:w="1752" w:type="dxa"/>
            <w:shd w:val="clear" w:color="auto" w:fill="F2F2F2"/>
          </w:tcPr>
          <w:p>
            <w:pPr/>
            <w:r>
              <w:t xml:space="preserve">Stakeholder</w:t>
            </w:r>
          </w:p>
        </w:tc>
        <w:tc>
          <w:tcPr>
            <w:tcW w:w="3045" w:type="dxa"/>
            <w:shd w:val="clear" w:color="auto" w:fill="F2F2F2"/>
          </w:tcPr>
          <w:p>
            <w:pPr/>
            <w:r>
              <w:t xml:space="preserve">What they care about</w:t>
            </w:r>
          </w:p>
        </w:tc>
        <w:tc>
          <w:tcPr>
            <w:tcW w:w="4562" w:type="dxa"/>
            <w:shd w:val="clear" w:color="auto" w:fill="F2F2F2"/>
          </w:tcPr>
          <w:p>
            <w:pPr/>
            <w:r>
              <w:t xml:space="preserve">What they need from us</w:t>
            </w:r>
          </w:p>
        </w:tc>
      </w:tr>
      <w:tr>
        <w:tc>
          <w:tcPr>
            <w:tcW w:w="1752" w:type="dxa"/>
          </w:tcPr>
          <w:p>
            <w:pPr/>
            <w:r>
              <w:t xml:space="preserve">Head of Retail Operations (sponsor)</w:t>
            </w:r>
          </w:p>
        </w:tc>
        <w:tc>
          <w:tcPr>
            <w:tcW w:w="3045" w:type="dxa"/>
          </w:tcPr>
          <w:p>
            <w:pPr/>
            <w:r>
              <w:t xml:space="preserve">Recovering lost sales before the budget cycle</w:t>
            </w:r>
          </w:p>
        </w:tc>
        <w:tc>
          <w:tcPr>
            <w:tcW w:w="4562" w:type="dxa"/>
          </w:tcPr>
          <w:p>
            <w:pPr/>
            <w:r>
              <w:t xml:space="preserve">Size, location and cause of the decline, plus a decision</w:t>
            </w:r>
          </w:p>
        </w:tc>
      </w:tr>
      <w:tr>
        <w:tc>
          <w:tcPr>
            <w:tcW w:w="1752" w:type="dxa"/>
          </w:tcPr>
          <w:p>
            <w:pPr/>
            <w:r>
              <w:t xml:space="preserve">Merchandising Lead</w:t>
            </w:r>
          </w:p>
        </w:tc>
        <w:tc>
          <w:tcPr>
            <w:tcW w:w="3045" w:type="dxa"/>
          </w:tcPr>
          <w:p>
            <w:pPr/>
            <w:r>
              <w:t xml:space="preserve">Range, availability, category performance</w:t>
            </w:r>
          </w:p>
        </w:tc>
        <w:tc>
          <w:tcPr>
            <w:tcW w:w="4562" w:type="dxa"/>
          </w:tcPr>
          <w:p>
            <w:pPr/>
            <w:r>
              <w:t xml:space="preserve">Whether stockouts and range gaps drive smaller baskets</w:t>
            </w:r>
          </w:p>
        </w:tc>
      </w:tr>
      <w:tr>
        <w:tc>
          <w:tcPr>
            <w:tcW w:w="1752" w:type="dxa"/>
          </w:tcPr>
          <w:p>
            <w:pPr/>
            <w:r>
              <w:t xml:space="preserve">Pricing Manager</w:t>
            </w:r>
          </w:p>
        </w:tc>
        <w:tc>
          <w:tcPr>
            <w:tcW w:w="3045" w:type="dxa"/>
          </w:tcPr>
          <w:p>
            <w:pPr/>
            <w:r>
              <w:t xml:space="preserve">Price competitiveness and margin</w:t>
            </w:r>
          </w:p>
        </w:tc>
        <w:tc>
          <w:tcPr>
            <w:tcW w:w="4562" w:type="dxa"/>
          </w:tcPr>
          <w:p>
            <w:pPr/>
            <w:r>
              <w:t xml:space="preserve">Whether competitor openings and discounting explain the fall, and the margin cost of a response</w:t>
            </w:r>
          </w:p>
        </w:tc>
      </w:tr>
      <w:tr>
        <w:tc>
          <w:tcPr>
            <w:tcW w:w="1752" w:type="dxa"/>
          </w:tcPr>
          <w:p>
            <w:pPr/>
            <w:r>
              <w:t xml:space="preserve">Store Managers</w:t>
            </w:r>
          </w:p>
        </w:tc>
        <w:tc>
          <w:tcPr>
            <w:tcW w:w="3045" w:type="dxa"/>
          </w:tcPr>
          <w:p>
            <w:pPr/>
            <w:r>
              <w:t xml:space="preserve">Daily trading, replenishment, staff</w:t>
            </w:r>
          </w:p>
        </w:tc>
        <w:tc>
          <w:tcPr>
            <w:tcW w:w="4562" w:type="dxa"/>
          </w:tcPr>
          <w:p>
            <w:pPr/>
            <w:r>
              <w:t xml:space="preserve">Clear, store-level signals and fixes they can action</w:t>
            </w:r>
          </w:p>
        </w:tc>
      </w:tr>
      <w:tr>
        <w:tc>
          <w:tcPr>
            <w:tcW w:w="1752" w:type="dxa"/>
          </w:tcPr>
          <w:p>
            <w:pPr/>
            <w:r>
              <w:t xml:space="preserve">Regional Managers</w:t>
            </w:r>
          </w:p>
        </w:tc>
        <w:tc>
          <w:tcPr>
            <w:tcW w:w="3045" w:type="dxa"/>
          </w:tcPr>
          <w:p>
            <w:pPr/>
            <w:r>
              <w:t xml:space="preserve">Store performance across provinces</w:t>
            </w:r>
          </w:p>
        </w:tc>
        <w:tc>
          <w:tcPr>
            <w:tcW w:w="4562" w:type="dxa"/>
          </w:tcPr>
          <w:p>
            <w:pPr/>
            <w:r>
              <w:t xml:space="preserve">Which stores and regions are most exposed</w:t>
            </w:r>
          </w:p>
        </w:tc>
      </w:tr>
      <w:tr>
        <w:tc>
          <w:tcPr>
            <w:tcW w:w="1752" w:type="dxa"/>
          </w:tcPr>
          <w:p>
            <w:pPr/>
            <w:r>
              <w:t xml:space="preserve">Finance</w:t>
            </w:r>
          </w:p>
        </w:tc>
        <w:tc>
          <w:tcPr>
            <w:tcW w:w="3045" w:type="dxa"/>
          </w:tcPr>
          <w:p>
            <w:pPr/>
            <w:r>
              <w:t xml:space="preserve">Budget, margin, return on any offer</w:t>
            </w:r>
          </w:p>
        </w:tc>
        <w:tc>
          <w:tcPr>
            <w:tcW w:w="4562" w:type="dxa"/>
          </w:tcPr>
          <w:p>
            <w:pPr/>
            <w:r>
              <w:t xml:space="preserve">Expected impact and cost of each action</w:t>
            </w:r>
          </w:p>
        </w:tc>
      </w:tr>
      <w:tr>
        <w:tc>
          <w:tcPr>
            <w:tcW w:w="1752" w:type="dxa"/>
          </w:tcPr>
          <w:p>
            <w:pPr/>
            <w:r>
              <w:t xml:space="preserve">Loyalty and Marketing</w:t>
            </w:r>
          </w:p>
        </w:tc>
        <w:tc>
          <w:tcPr>
            <w:tcW w:w="3045" w:type="dxa"/>
          </w:tcPr>
          <w:p>
            <w:pPr/>
            <w:r>
              <w:t xml:space="preserve">Customer data and retention</w:t>
            </w:r>
          </w:p>
        </w:tc>
        <w:tc>
          <w:tcPr>
            <w:tcW w:w="4562" w:type="dxa"/>
          </w:tcPr>
          <w:p>
            <w:pPr/>
            <w:r>
              <w:t xml:space="preserve">Whether loyalty data can support customer-level analysis</w:t>
            </w:r>
          </w:p>
        </w:tc>
      </w:tr>
    </w:tbl>
    <w:p>
      <w:pPr>
        <w:pStyle w:val="Heading3"/>
      </w:pPr>
      <w:r>
        <w:t xml:space="preserve">3.2 Competing hypotheses and the evidence that would decide them</w:t>
      </w:r>
    </w:p>
    <w:tbl>
      <w:tblPr>
        <w:tblStyle w:val="TableGrid"/>
        <w:tblW w:w="0" w:type="auto"/>
        <w:tblLayout w:type="fixed"/>
        <w:tblLook w:val="04A0" w:firstRow="1" w:lastRow="0" w:firstColumn="0" w:lastColumn="0" w:noHBand="0" w:noVBand="1"/>
      </w:tblPr>
      <w:tblGrid>
        <w:gridCol w:w="720"/>
        <w:gridCol w:w="2870"/>
        <w:gridCol w:w="3709"/>
        <w:gridCol w:w="2061"/>
      </w:tblGrid>
      <w:tr>
        <w:trPr>
          <w:tblHeader/>
        </w:trPr>
        <w:tc>
          <w:tcPr>
            <w:tcW w:w="720" w:type="dxa"/>
            <w:shd w:val="clear" w:color="auto" w:fill="F2F2F2"/>
          </w:tcPr>
          <w:p>
            <w:pPr/>
            <w:r>
              <w:t xml:space="preserve">#</w:t>
            </w:r>
          </w:p>
        </w:tc>
        <w:tc>
          <w:tcPr>
            <w:tcW w:w="2870" w:type="dxa"/>
            <w:shd w:val="clear" w:color="auto" w:fill="F2F2F2"/>
          </w:tcPr>
          <w:p>
            <w:pPr/>
            <w:r>
              <w:t xml:space="preserve">Hypothesis</w:t>
            </w:r>
          </w:p>
        </w:tc>
        <w:tc>
          <w:tcPr>
            <w:tcW w:w="3709" w:type="dxa"/>
            <w:shd w:val="clear" w:color="auto" w:fill="F2F2F2"/>
          </w:tcPr>
          <w:p>
            <w:pPr/>
            <w:r>
              <w:t xml:space="preserve">Supported if</w:t>
            </w:r>
          </w:p>
        </w:tc>
        <w:tc>
          <w:tcPr>
            <w:tcW w:w="2061" w:type="dxa"/>
            <w:shd w:val="clear" w:color="auto" w:fill="F2F2F2"/>
          </w:tcPr>
          <w:p>
            <w:pPr/>
            <w:r>
              <w:t xml:space="preserve">Rejected if</w:t>
            </w:r>
          </w:p>
        </w:tc>
      </w:tr>
      <w:tr>
        <w:tc>
          <w:tcPr>
            <w:tcW w:w="720" w:type="dxa"/>
          </w:tcPr>
          <w:p>
            <w:pPr/>
            <w:r>
              <w:t xml:space="preserve">H1</w:t>
            </w:r>
          </w:p>
        </w:tc>
        <w:tc>
          <w:tcPr>
            <w:tcW w:w="2870" w:type="dxa"/>
          </w:tcPr>
          <w:p>
            <w:pPr/>
            <w:r>
              <w:t xml:space="preserve">A nearby discount competitor pulls away big shops</w:t>
            </w:r>
          </w:p>
        </w:tc>
        <w:tc>
          <w:tcPr>
            <w:tcW w:w="3709" w:type="dxa"/>
          </w:tcPr>
          <w:p>
            <w:pPr/>
            <w:r>
              <w:t xml:space="preserve">Stores with an opening fall more than control stores, and the drop starts at the opening date</w:t>
            </w:r>
          </w:p>
        </w:tc>
        <w:tc>
          <w:tcPr>
            <w:tcW w:w="2061" w:type="dxa"/>
          </w:tcPr>
          <w:p>
            <w:pPr/>
            <w:r>
              <w:t xml:space="preserve">No difference against control, or the fall began before the opening</w:t>
            </w:r>
          </w:p>
        </w:tc>
      </w:tr>
      <w:tr>
        <w:tc>
          <w:tcPr>
            <w:tcW w:w="720" w:type="dxa"/>
          </w:tcPr>
          <w:p>
            <w:pPr/>
            <w:r>
              <w:t xml:space="preserve">H2</w:t>
            </w:r>
          </w:p>
        </w:tc>
        <w:tc>
          <w:tcPr>
            <w:tcW w:w="2870" w:type="dxa"/>
          </w:tcPr>
          <w:p>
            <w:pPr/>
            <w:r>
              <w:t xml:space="preserve">Stockouts shrink baskets</w:t>
            </w:r>
          </w:p>
        </w:tc>
        <w:tc>
          <w:tcPr>
            <w:tcW w:w="3709" w:type="dxa"/>
          </w:tcPr>
          <w:p>
            <w:pPr/>
            <w:r>
              <w:t xml:space="preserve">Baskets are smaller on affected store-days than on unaffected days in the same stores</w:t>
            </w:r>
          </w:p>
        </w:tc>
        <w:tc>
          <w:tcPr>
            <w:tcW w:w="2061" w:type="dxa"/>
          </w:tcPr>
          <w:p>
            <w:pPr/>
            <w:r>
              <w:t xml:space="preserve">No difference</w:t>
            </w:r>
          </w:p>
        </w:tc>
      </w:tr>
      <w:tr>
        <w:tc>
          <w:tcPr>
            <w:tcW w:w="720" w:type="dxa"/>
          </w:tcPr>
          <w:p>
            <w:pPr/>
            <w:r>
              <w:t xml:space="preserve">H3</w:t>
            </w:r>
          </w:p>
        </w:tc>
        <w:tc>
          <w:tcPr>
            <w:tcW w:w="2870" w:type="dxa"/>
          </w:tcPr>
          <w:p>
            <w:pPr/>
            <w:r>
              <w:t xml:space="preserve">Shoppers trade down to cheaper items</w:t>
            </w:r>
          </w:p>
        </w:tc>
        <w:tc>
          <w:tcPr>
            <w:tcW w:w="3709" w:type="dxa"/>
          </w:tcPr>
          <w:p>
            <w:pPr/>
            <w:r>
              <w:t xml:space="preserve">Rand per item falls</w:t>
            </w:r>
          </w:p>
        </w:tc>
        <w:tc>
          <w:tcPr>
            <w:tcW w:w="2061" w:type="dxa"/>
          </w:tcPr>
          <w:p>
            <w:pPr/>
            <w:r>
              <w:t xml:space="preserve">Rand per item is flat or rising</w:t>
            </w:r>
          </w:p>
        </w:tc>
      </w:tr>
      <w:tr>
        <w:tc>
          <w:tcPr>
            <w:tcW w:w="720" w:type="dxa"/>
          </w:tcPr>
          <w:p>
            <w:pPr/>
            <w:r>
              <w:t xml:space="preserve">H4</w:t>
            </w:r>
          </w:p>
        </w:tc>
        <w:tc>
          <w:tcPr>
            <w:tcW w:w="2870" w:type="dxa"/>
          </w:tcPr>
          <w:p>
            <w:pPr/>
            <w:r>
              <w:t xml:space="preserve">Shopping behaviour is shifting to more top-up trips</w:t>
            </w:r>
          </w:p>
        </w:tc>
        <w:tc>
          <w:tcPr>
            <w:tcW w:w="3709" w:type="dxa"/>
          </w:tcPr>
          <w:p>
            <w:pPr/>
            <w:r>
              <w:t xml:space="preserve">Top-up share rises while basket size within each trip type is flat</w:t>
            </w:r>
          </w:p>
        </w:tc>
        <w:tc>
          <w:tcPr>
            <w:tcW w:w="2061" w:type="dxa"/>
          </w:tcPr>
          <w:p>
            <w:pPr/>
            <w:r>
              <w:t xml:space="preserve">Both trip types shrink together</w:t>
            </w:r>
          </w:p>
        </w:tc>
      </w:tr>
      <w:tr>
        <w:tc>
          <w:tcPr>
            <w:tcW w:w="720" w:type="dxa"/>
          </w:tcPr>
          <w:p>
            <w:pPr/>
            <w:r>
              <w:t xml:space="preserve">H5</w:t>
            </w:r>
          </w:p>
        </w:tc>
        <w:tc>
          <w:tcPr>
            <w:tcW w:w="2870" w:type="dxa"/>
          </w:tcPr>
          <w:p>
            <w:pPr/>
            <w:r>
              <w:t xml:space="preserve">Store format or province explains the fall</w:t>
            </w:r>
          </w:p>
        </w:tc>
        <w:tc>
          <w:tcPr>
            <w:tcW w:w="3709" w:type="dxa"/>
          </w:tcPr>
          <w:p>
            <w:pPr/>
            <w:r>
              <w:t xml:space="preserve">Large, consistent gaps between formats or provinces</w:t>
            </w:r>
          </w:p>
        </w:tc>
        <w:tc>
          <w:tcPr>
            <w:tcW w:w="2061" w:type="dxa"/>
          </w:tcPr>
          <w:p>
            <w:pPr/>
            <w:r>
              <w:t xml:space="preserve">Gaps are small or follow another cause</w:t>
            </w:r>
          </w:p>
        </w:tc>
      </w:tr>
      <w:tr>
        <w:tc>
          <w:tcPr>
            <w:tcW w:w="720" w:type="dxa"/>
          </w:tcPr>
          <w:p>
            <w:pPr/>
            <w:r>
              <w:t xml:space="preserve">H6</w:t>
            </w:r>
          </w:p>
        </w:tc>
        <w:tc>
          <w:tcPr>
            <w:tcW w:w="2870" w:type="dxa"/>
          </w:tcPr>
          <w:p>
            <w:pPr/>
            <w:r>
              <w:t xml:space="preserve">Payment method or day of week matters</w:t>
            </w:r>
          </w:p>
        </w:tc>
        <w:tc>
          <w:tcPr>
            <w:tcW w:w="3709" w:type="dxa"/>
          </w:tcPr>
          <w:p>
            <w:pPr/>
            <w:r>
              <w:t xml:space="preserve">One payment method or day falls much more than the others</w:t>
            </w:r>
          </w:p>
        </w:tc>
        <w:tc>
          <w:tcPr>
            <w:tcW w:w="2061" w:type="dxa"/>
          </w:tcPr>
          <w:p>
            <w:pPr/>
            <w:r>
              <w:t xml:space="preserve">All fall together</w:t>
            </w:r>
          </w:p>
        </w:tc>
      </w:tr>
      <w:tr>
        <w:tc>
          <w:tcPr>
            <w:tcW w:w="720" w:type="dxa"/>
          </w:tcPr>
          <w:p>
            <w:pPr/>
            <w:r>
              <w:t xml:space="preserve">H7</w:t>
            </w:r>
          </w:p>
        </w:tc>
        <w:tc>
          <w:tcPr>
            <w:tcW w:w="2870" w:type="dxa"/>
          </w:tcPr>
          <w:p>
            <w:pPr/>
            <w:r>
              <w:t xml:space="preserve">Loyalty members and non-members behave differently</w:t>
            </w:r>
          </w:p>
        </w:tc>
        <w:tc>
          <w:tcPr>
            <w:tcW w:w="3709" w:type="dxa"/>
          </w:tcPr>
          <w:p>
            <w:pPr/>
            <w:r>
              <w:t xml:space="preserve">Clearly different trends</w:t>
            </w:r>
          </w:p>
        </w:tc>
        <w:tc>
          <w:tcPr>
            <w:tcW w:w="2061" w:type="dxa"/>
          </w:tcPr>
          <w:p>
            <w:pPr/>
            <w:r>
              <w:t xml:space="preserve">Same trend</w:t>
            </w:r>
          </w:p>
        </w:tc>
      </w:tr>
    </w:tbl>
    <w:p>
      <w:pPr>
        <w:pStyle w:val="Heading2"/>
      </w:pPr>
      <w:r>
        <w:t xml:space="preserve">4. Data preparation and quality</w:t>
      </w:r>
    </w:p>
    <w:p>
      <w:pPr>
        <w:pStyle w:val="Heading3"/>
      </w:pPr>
      <w:r>
        <w:t xml:space="preserve">4.1 Profile</w:t>
      </w:r>
    </w:p>
    <w:tbl>
      <w:tblPr>
        <w:tblStyle w:val="TableGrid"/>
        <w:tblW w:w="0" w:type="auto"/>
        <w:tblLayout w:type="fixed"/>
        <w:tblLook w:val="04A0" w:firstRow="1" w:lastRow="0" w:firstColumn="0" w:lastColumn="0" w:noHBand="0" w:noVBand="1"/>
      </w:tblPr>
      <w:tblGrid>
        <w:gridCol w:w="1728"/>
        <w:gridCol w:w="994"/>
        <w:gridCol w:w="1260"/>
        <w:gridCol w:w="5376"/>
      </w:tblGrid>
      <w:tr>
        <w:trPr>
          <w:tblHeader/>
        </w:trPr>
        <w:tc>
          <w:tcPr>
            <w:tcW w:w="1728" w:type="dxa"/>
            <w:shd w:val="clear" w:color="auto" w:fill="F2F2F2"/>
          </w:tcPr>
          <w:p>
            <w:pPr/>
            <w:r>
              <w:t xml:space="preserve">Table</w:t>
            </w:r>
          </w:p>
        </w:tc>
        <w:tc>
          <w:tcPr>
            <w:tcW w:w="994" w:type="dxa"/>
            <w:shd w:val="clear" w:color="auto" w:fill="F2F2F2"/>
          </w:tcPr>
          <w:p>
            <w:pPr/>
            <w:r>
              <w:t xml:space="preserve">Rows</w:t>
            </w:r>
          </w:p>
        </w:tc>
        <w:tc>
          <w:tcPr>
            <w:tcW w:w="1260" w:type="dxa"/>
            <w:shd w:val="clear" w:color="auto" w:fill="F2F2F2"/>
          </w:tcPr>
          <w:p>
            <w:pPr/>
            <w:r>
              <w:t xml:space="preserve">Columns</w:t>
            </w:r>
          </w:p>
        </w:tc>
        <w:tc>
          <w:tcPr>
            <w:tcW w:w="5376" w:type="dxa"/>
            <w:shd w:val="clear" w:color="auto" w:fill="F2F2F2"/>
          </w:tcPr>
          <w:p>
            <w:pPr/>
            <w:r>
              <w:t xml:space="preserve">Coverage</w:t>
            </w:r>
          </w:p>
        </w:tc>
      </w:tr>
      <w:tr>
        <w:tc>
          <w:tcPr>
            <w:tcW w:w="1728" w:type="dxa"/>
          </w:tcPr>
          <w:p>
            <w:pPr/>
            <w:r>
              <w:t xml:space="preserve">Transactions</w:t>
            </w:r>
          </w:p>
        </w:tc>
        <w:tc>
          <w:tcPr>
            <w:tcW w:w="994" w:type="dxa"/>
          </w:tcPr>
          <w:p>
            <w:pPr/>
            <w:r>
              <w:t xml:space="preserve">64,330</w:t>
            </w:r>
          </w:p>
        </w:tc>
        <w:tc>
          <w:tcPr>
            <w:tcW w:w="1260" w:type="dxa"/>
          </w:tcPr>
          <w:p>
            <w:pPr/>
            <w:r>
              <w:t xml:space="preserve">9</w:t>
            </w:r>
          </w:p>
        </w:tc>
        <w:tc>
          <w:tcPr>
            <w:tcW w:w="5376" w:type="dxa"/>
          </w:tcPr>
          <w:p>
            <w:pPr/>
            <w:r>
              <w:t xml:space="preserve">1 January to 31 December 2025</w:t>
            </w:r>
          </w:p>
        </w:tc>
      </w:tr>
      <w:tr>
        <w:tc>
          <w:tcPr>
            <w:tcW w:w="1728" w:type="dxa"/>
          </w:tcPr>
          <w:p>
            <w:pPr/>
            <w:r>
              <w:t xml:space="preserve">Stores</w:t>
            </w:r>
          </w:p>
        </w:tc>
        <w:tc>
          <w:tcPr>
            <w:tcW w:w="994" w:type="dxa"/>
          </w:tcPr>
          <w:p>
            <w:pPr/>
            <w:r>
              <w:t xml:space="preserve">42</w:t>
            </w:r>
          </w:p>
        </w:tc>
        <w:tc>
          <w:tcPr>
            <w:tcW w:w="1260" w:type="dxa"/>
          </w:tcPr>
          <w:p>
            <w:pPr/>
            <w:r>
              <w:t xml:space="preserve">9</w:t>
            </w:r>
          </w:p>
        </w:tc>
        <w:tc>
          <w:tcPr>
            <w:tcW w:w="5376" w:type="dxa"/>
          </w:tcPr>
          <w:p>
            <w:pPr/>
            <w:r>
              <w:t xml:space="preserve">14 Large, 18 Medium, 10 Express. 18 Gauteng, 13 Western Cape, 11 KwaZulu-Natal</w:t>
            </w:r>
          </w:p>
        </w:tc>
      </w:tr>
      <w:tr>
        <w:tc>
          <w:tcPr>
            <w:tcW w:w="1728" w:type="dxa"/>
          </w:tcPr>
          <w:p>
            <w:pPr/>
            <w:r>
              <w:t xml:space="preserve">Stockouts</w:t>
            </w:r>
          </w:p>
        </w:tc>
        <w:tc>
          <w:tcPr>
            <w:tcW w:w="994" w:type="dxa"/>
          </w:tcPr>
          <w:p>
            <w:pPr/>
            <w:r>
              <w:t xml:space="preserve">119</w:t>
            </w:r>
          </w:p>
        </w:tc>
        <w:tc>
          <w:tcPr>
            <w:tcW w:w="1260" w:type="dxa"/>
          </w:tcPr>
          <w:p>
            <w:pPr/>
            <w:r>
              <w:t xml:space="preserve">6</w:t>
            </w:r>
          </w:p>
        </w:tc>
        <w:tc>
          <w:tcPr>
            <w:tcW w:w="5376" w:type="dxa"/>
          </w:tcPr>
          <w:p>
            <w:pPr/>
            <w:r>
              <w:t xml:space="preserve">6 September to 20 December 2025</w:t>
            </w:r>
          </w:p>
        </w:tc>
      </w:tr>
    </w:tbl>
    <w:p>
      <w:pPr/>
      <w:r>
        <w:t xml:space="preserve">Basket size ranges from 1 to 43 items (mean 13.5, median 15). Basket value ranges from R10.55 to R1,093.34 (median R273.42). The distribution has two humps: small top-up baskets and big shops.</w:t>
      </w:r>
    </w:p>
    <w:p>
      <w:pPr>
        <w:pStyle w:val="Heading3"/>
      </w:pPr>
      <w:r>
        <w:t xml:space="preserve">4.2 Quality checks and how we handled them</w:t>
      </w:r>
    </w:p>
    <w:tbl>
      <w:tblPr>
        <w:tblStyle w:val="TableGrid"/>
        <w:tblW w:w="0" w:type="auto"/>
        <w:tblLayout w:type="fixed"/>
        <w:tblLook w:val="04A0" w:firstRow="1" w:lastRow="0" w:firstColumn="0" w:lastColumn="0" w:noHBand="0" w:noVBand="1"/>
      </w:tblPr>
      <w:tblGrid>
        <w:gridCol w:w="2175"/>
        <w:gridCol w:w="4588"/>
        <w:gridCol w:w="2597"/>
      </w:tblGrid>
      <w:tr>
        <w:trPr>
          <w:tblHeader/>
        </w:trPr>
        <w:tc>
          <w:tcPr>
            <w:tcW w:w="2175" w:type="dxa"/>
            <w:shd w:val="clear" w:color="auto" w:fill="F2F2F2"/>
          </w:tcPr>
          <w:p>
            <w:pPr/>
            <w:r>
              <w:t xml:space="preserve">Check</w:t>
            </w:r>
          </w:p>
        </w:tc>
        <w:tc>
          <w:tcPr>
            <w:tcW w:w="4588" w:type="dxa"/>
            <w:shd w:val="clear" w:color="auto" w:fill="F2F2F2"/>
          </w:tcPr>
          <w:p>
            <w:pPr/>
            <w:r>
              <w:t xml:space="preserve">Result</w:t>
            </w:r>
          </w:p>
        </w:tc>
        <w:tc>
          <w:tcPr>
            <w:tcW w:w="2597" w:type="dxa"/>
            <w:shd w:val="clear" w:color="auto" w:fill="F2F2F2"/>
          </w:tcPr>
          <w:p>
            <w:pPr/>
            <w:r>
              <w:t xml:space="preserve">Handling</w:t>
            </w:r>
          </w:p>
        </w:tc>
      </w:tr>
      <w:tr>
        <w:tc>
          <w:tcPr>
            <w:tcW w:w="2175" w:type="dxa"/>
          </w:tcPr>
          <w:p>
            <w:pPr/>
            <w:r>
              <w:t xml:space="preserve">Missing values</w:t>
            </w:r>
          </w:p>
        </w:tc>
        <w:tc>
          <w:tcPr>
            <w:tcW w:w="4588" w:type="dxa"/>
          </w:tcPr>
          <w:p>
            <w:pPr/>
            <w:r>
              <w:t xml:space="preserve">customer_id blank on 35,674 rows (55.5%). competitor_open_date blank for 30 stores</w:t>
            </w:r>
          </w:p>
        </w:tc>
        <w:tc>
          <w:tcPr>
            <w:tcW w:w="2597" w:type="dxa"/>
          </w:tcPr>
          <w:p>
            <w:pPr/>
            <w:r>
              <w:t xml:space="preserve">Meaningful blanks: non-loyalty shoppers and stores with no competitor. Kept and treated deliberately</w:t>
            </w:r>
          </w:p>
        </w:tc>
      </w:tr>
      <w:tr>
        <w:tc>
          <w:tcPr>
            <w:tcW w:w="2175" w:type="dxa"/>
          </w:tcPr>
          <w:p>
            <w:pPr/>
            <w:r>
              <w:t xml:space="preserve">Duplicates</w:t>
            </w:r>
          </w:p>
        </w:tc>
        <w:tc>
          <w:tcPr>
            <w:tcW w:w="4588" w:type="dxa"/>
          </w:tcPr>
          <w:p>
            <w:pPr/>
            <w:r>
              <w:t xml:space="preserve">None in any table</w:t>
            </w:r>
          </w:p>
        </w:tc>
        <w:tc>
          <w:tcPr>
            <w:tcW w:w="2597" w:type="dxa"/>
          </w:tcPr>
          <w:p>
            <w:pPr/>
            <w:r>
              <w:t xml:space="preserve">None needed</w:t>
            </w:r>
          </w:p>
        </w:tc>
      </w:tr>
      <w:tr>
        <w:tc>
          <w:tcPr>
            <w:tcW w:w="2175" w:type="dxa"/>
          </w:tcPr>
          <w:p>
            <w:pPr/>
            <w:r>
              <w:t xml:space="preserve">Impossible values</w:t>
            </w:r>
          </w:p>
        </w:tc>
        <w:tc>
          <w:tcPr>
            <w:tcW w:w="4588" w:type="dxa"/>
          </w:tcPr>
          <w:p>
            <w:pPr/>
            <w:r>
              <w:t xml:space="preserve">No zero or negative items or values. Rand per item between R7.60 and R41.23, median R21.32</w:t>
            </w:r>
          </w:p>
        </w:tc>
        <w:tc>
          <w:tcPr>
            <w:tcW w:w="2597" w:type="dxa"/>
          </w:tcPr>
          <w:p>
            <w:pPr/>
            <w:r>
              <w:t xml:space="preserve">None needed</w:t>
            </w:r>
          </w:p>
        </w:tc>
      </w:tr>
      <w:tr>
        <w:tc>
          <w:tcPr>
            <w:tcW w:w="2175" w:type="dxa"/>
          </w:tcPr>
          <w:p>
            <w:pPr/>
            <w:r>
              <w:t xml:space="preserve">Consistency</w:t>
            </w:r>
          </w:p>
        </w:tc>
        <w:tc>
          <w:tcPr>
            <w:tcW w:w="4588" w:type="dxa"/>
          </w:tcPr>
          <w:p>
            <w:pPr/>
            <w:r>
              <w:t xml:space="preserve">Loyalty flag always agrees with customer_id. Day of week always matches the date. Every store_id exists in Stores</w:t>
            </w:r>
          </w:p>
        </w:tc>
        <w:tc>
          <w:tcPr>
            <w:tcW w:w="2597" w:type="dxa"/>
          </w:tcPr>
          <w:p>
            <w:pPr/>
            <w:r>
              <w:t xml:space="preserve">None needed</w:t>
            </w:r>
          </w:p>
        </w:tc>
      </w:tr>
      <w:tr>
        <w:tc>
          <w:tcPr>
            <w:tcW w:w="2175" w:type="dxa"/>
          </w:tcPr>
          <w:p>
            <w:pPr/>
            <w:r>
              <w:t xml:space="preserve">Join integrity</w:t>
            </w:r>
          </w:p>
        </w:tc>
        <w:tc>
          <w:tcPr>
            <w:tcW w:w="4588" w:type="dxa"/>
          </w:tcPr>
          <w:p>
            <w:pPr/>
            <w:r>
              <w:t xml:space="preserve">Row count stayed at 64,330 after joining Stores</w:t>
            </w:r>
          </w:p>
        </w:tc>
        <w:tc>
          <w:tcPr>
            <w:tcW w:w="2597" w:type="dxa"/>
          </w:tcPr>
          <w:p>
            <w:pPr/>
            <w:r>
              <w:t xml:space="preserve">None needed</w:t>
            </w:r>
          </w:p>
        </w:tc>
      </w:tr>
      <w:tr>
        <w:tc>
          <w:tcPr>
            <w:tcW w:w="2175" w:type="dxa"/>
          </w:tcPr>
          <w:p>
            <w:pPr/>
            <w:r>
              <w:t xml:space="preserve">Sample</w:t>
            </w:r>
          </w:p>
        </w:tc>
        <w:tc>
          <w:tcPr>
            <w:tcW w:w="4588" w:type="dxa"/>
          </w:tcPr>
          <w:p>
            <w:pPr/>
            <w:r>
              <w:t xml:space="preserve">The file is a sample of transactions</w:t>
            </w:r>
          </w:p>
        </w:tc>
        <w:tc>
          <w:tcPr>
            <w:tcW w:w="2597" w:type="dxa"/>
          </w:tcPr>
          <w:p>
            <w:pPr/>
            <w:r>
              <w:t xml:space="preserve">Used for comparison only. No turnover claims</w:t>
            </w:r>
          </w:p>
        </w:tc>
      </w:tr>
      <w:tr>
        <w:tc>
          <w:tcPr>
            <w:tcW w:w="2175" w:type="dxa"/>
          </w:tcPr>
          <w:p>
            <w:pPr/>
            <w:r>
              <w:t xml:space="preserve">Loyalty ID repeats</w:t>
            </w:r>
          </w:p>
        </w:tc>
        <w:tc>
          <w:tcPr>
            <w:tcW w:w="4588" w:type="dxa"/>
          </w:tcPr>
          <w:p>
            <w:pPr/>
            <w:r>
              <w:t xml:space="preserve">28,195 unique IDs across 28,656 loyalty transactions (1.02 trips per ID)</w:t>
            </w:r>
          </w:p>
        </w:tc>
        <w:tc>
          <w:tcPr>
            <w:tcW w:w="2597" w:type="dxa"/>
          </w:tcPr>
          <w:p>
            <w:pPr/>
            <w:r>
              <w:t xml:space="preserve">Cannot follow individual customers. See limitations</w:t>
            </w:r>
          </w:p>
        </w:tc>
      </w:tr>
    </w:tbl>
    <w:p>
      <w:pPr/>
      <w:r>
        <w:t xml:space="preserve">The extract was cleaner than a typical operational file. We documented every check in the notebook so the result can be reproduced.</w:t>
      </w:r>
    </w:p>
    <w:p>
      <w:pPr>
        <w:pStyle w:val="Heading3"/>
      </w:pPr>
      <w:r>
        <w:t xml:space="preserve">4.3 Derived fields</w:t>
      </w:r>
    </w:p>
    <w:p>
      <w:pPr/>
      <w:r>
        <w:t xml:space="preserve">Month and half-year (H1 or H2); weekend flag; top-up flag and trip type (top-up or big shop); rand per item; competitor-exposed flag with before or after opening; stockout flag for each store-day.</w:t>
      </w:r>
    </w:p>
    <w:p>
      <w:pPr>
        <w:pStyle w:val="Heading2"/>
      </w:pPr>
      <w:r>
        <w:t xml:space="preserve">5. Analysis and findings</w:t>
      </w:r>
    </w:p>
    <w:p>
      <w:pPr>
        <w:pStyle w:val="Heading3"/>
      </w:pPr>
      <w:r>
        <w:t xml:space="preserve">5.1 The decline is a change in trip mix</w:t>
      </w:r>
    </w:p>
    <w:p>
      <w:pPr/>
      <w:r>
        <w:t xml:space="preserve">An average can fall because everyone spends less, or because the mix of small and large trips changes. Splitting trips into top-ups and big shops separates the two:</w:t>
      </w:r>
    </w:p>
    <w:tbl>
      <w:tblPr>
        <w:tblStyle w:val="TableGrid"/>
        <w:tblW w:w="0" w:type="auto"/>
        <w:tblLayout w:type="fixed"/>
        <w:tblLook w:val="04A0" w:firstRow="1" w:lastRow="0" w:firstColumn="0" w:lastColumn="0" w:noHBand="0" w:noVBand="1"/>
      </w:tblPr>
      <w:tblGrid>
        <w:gridCol w:w="779"/>
        <w:gridCol w:w="2491"/>
        <w:gridCol w:w="985"/>
        <w:gridCol w:w="1798"/>
        <w:gridCol w:w="2397"/>
        <w:gridCol w:w="906"/>
      </w:tblGrid>
      <w:tr>
        <w:trPr>
          <w:tblHeader/>
        </w:trPr>
        <w:tc>
          <w:tcPr>
            <w:tcW w:w="779" w:type="dxa"/>
            <w:shd w:val="clear" w:color="auto" w:fill="F2F2F2"/>
          </w:tcPr>
          <w:p>
            <w:pPr/>
            <w:r>
              <w:t xml:space="preserve">Half</w:t>
            </w:r>
          </w:p>
        </w:tc>
        <w:tc>
          <w:tcPr>
            <w:tcW w:w="2491" w:type="dxa"/>
            <w:shd w:val="clear" w:color="auto" w:fill="F2F2F2"/>
          </w:tcPr>
          <w:p>
            <w:pPr/>
            <w:r>
              <w:t xml:space="preserve">Trip type</w:t>
            </w:r>
          </w:p>
        </w:tc>
        <w:tc>
          <w:tcPr>
            <w:tcW w:w="985" w:type="dxa"/>
            <w:shd w:val="clear" w:color="auto" w:fill="F2F2F2"/>
          </w:tcPr>
          <w:p>
            <w:pPr/>
            <w:r>
              <w:t xml:space="preserve">Trips</w:t>
            </w:r>
          </w:p>
        </w:tc>
        <w:tc>
          <w:tcPr>
            <w:tcW w:w="1798" w:type="dxa"/>
            <w:shd w:val="clear" w:color="auto" w:fill="F2F2F2"/>
          </w:tcPr>
          <w:p>
            <w:pPr/>
            <w:r>
              <w:t xml:space="preserve">Share of trips</w:t>
            </w:r>
          </w:p>
        </w:tc>
        <w:tc>
          <w:tcPr>
            <w:tcW w:w="2397" w:type="dxa"/>
            <w:shd w:val="clear" w:color="auto" w:fill="F2F2F2"/>
          </w:tcPr>
          <w:p>
            <w:pPr/>
            <w:r>
              <w:t xml:space="preserve">Average basket (R)</w:t>
            </w:r>
          </w:p>
        </w:tc>
        <w:tc>
          <w:tcPr>
            <w:tcW w:w="906" w:type="dxa"/>
            <w:shd w:val="clear" w:color="auto" w:fill="F2F2F2"/>
          </w:tcPr>
          <w:p>
            <w:pPr/>
            <w:r>
              <w:t xml:space="preserve">Items</w:t>
            </w:r>
          </w:p>
        </w:tc>
      </w:tr>
      <w:tr>
        <w:tc>
          <w:tcPr>
            <w:tcW w:w="779" w:type="dxa"/>
          </w:tcPr>
          <w:p>
            <w:pPr/>
            <w:r>
              <w:t xml:space="preserve">H1</w:t>
            </w:r>
          </w:p>
        </w:tc>
        <w:tc>
          <w:tcPr>
            <w:tcW w:w="2491" w:type="dxa"/>
          </w:tcPr>
          <w:p>
            <w:pPr/>
            <w:r>
              <w:t xml:space="preserve">Big shop (9+ items)</w:t>
            </w:r>
          </w:p>
        </w:tc>
        <w:tc>
          <w:tcPr>
            <w:tcW w:w="985" w:type="dxa"/>
          </w:tcPr>
          <w:p>
            <w:pPr/>
            <w:r>
              <w:t xml:space="preserve">19,254</w:t>
            </w:r>
          </w:p>
        </w:tc>
        <w:tc>
          <w:tcPr>
            <w:tcW w:w="1798" w:type="dxa"/>
          </w:tcPr>
          <w:p>
            <w:pPr/>
            <w:r>
              <w:t xml:space="preserve">61.9%</w:t>
            </w:r>
          </w:p>
        </w:tc>
        <w:tc>
          <w:tcPr>
            <w:tcW w:w="2397" w:type="dxa"/>
          </w:tcPr>
          <w:p>
            <w:pPr/>
            <w:r>
              <w:t xml:space="preserve">413.0</w:t>
            </w:r>
          </w:p>
        </w:tc>
        <w:tc>
          <w:tcPr>
            <w:tcW w:w="906" w:type="dxa"/>
          </w:tcPr>
          <w:p>
            <w:pPr/>
            <w:r>
              <w:t xml:space="preserve">20.6</w:t>
            </w:r>
          </w:p>
        </w:tc>
      </w:tr>
      <w:tr>
        <w:tc>
          <w:tcPr>
            <w:tcW w:w="779" w:type="dxa"/>
          </w:tcPr>
          <w:p>
            <w:pPr/>
            <w:r>
              <w:t xml:space="preserve">H1</w:t>
            </w:r>
          </w:p>
        </w:tc>
        <w:tc>
          <w:tcPr>
            <w:tcW w:w="2491" w:type="dxa"/>
          </w:tcPr>
          <w:p>
            <w:pPr/>
            <w:r>
              <w:t xml:space="preserve">Top-up (8 or fewer)</w:t>
            </w:r>
          </w:p>
        </w:tc>
        <w:tc>
          <w:tcPr>
            <w:tcW w:w="985" w:type="dxa"/>
          </w:tcPr>
          <w:p>
            <w:pPr/>
            <w:r>
              <w:t xml:space="preserve">11,855</w:t>
            </w:r>
          </w:p>
        </w:tc>
        <w:tc>
          <w:tcPr>
            <w:tcW w:w="1798" w:type="dxa"/>
          </w:tcPr>
          <w:p>
            <w:pPr/>
            <w:r>
              <w:t xml:space="preserve">38.1%</w:t>
            </w:r>
          </w:p>
        </w:tc>
        <w:tc>
          <w:tcPr>
            <w:tcW w:w="2397" w:type="dxa"/>
          </w:tcPr>
          <w:p>
            <w:pPr/>
            <w:r>
              <w:t xml:space="preserve">90.2</w:t>
            </w:r>
          </w:p>
        </w:tc>
        <w:tc>
          <w:tcPr>
            <w:tcW w:w="906" w:type="dxa"/>
          </w:tcPr>
          <w:p>
            <w:pPr/>
            <w:r>
              <w:t xml:space="preserve">3.8</w:t>
            </w:r>
          </w:p>
        </w:tc>
      </w:tr>
      <w:tr>
        <w:tc>
          <w:tcPr>
            <w:tcW w:w="779" w:type="dxa"/>
          </w:tcPr>
          <w:p>
            <w:pPr/>
            <w:r>
              <w:t xml:space="preserve">H2</w:t>
            </w:r>
          </w:p>
        </w:tc>
        <w:tc>
          <w:tcPr>
            <w:tcW w:w="2491" w:type="dxa"/>
          </w:tcPr>
          <w:p>
            <w:pPr/>
            <w:r>
              <w:t xml:space="preserve">Big shop (9+ items)</w:t>
            </w:r>
          </w:p>
        </w:tc>
        <w:tc>
          <w:tcPr>
            <w:tcW w:w="985" w:type="dxa"/>
          </w:tcPr>
          <w:p>
            <w:pPr/>
            <w:r>
              <w:t xml:space="preserve">17,838</w:t>
            </w:r>
          </w:p>
        </w:tc>
        <w:tc>
          <w:tcPr>
            <w:tcW w:w="1798" w:type="dxa"/>
          </w:tcPr>
          <w:p>
            <w:pPr/>
            <w:r>
              <w:t xml:space="preserve">53.7%</w:t>
            </w:r>
          </w:p>
        </w:tc>
        <w:tc>
          <w:tcPr>
            <w:tcW w:w="2397" w:type="dxa"/>
          </w:tcPr>
          <w:p>
            <w:pPr/>
            <w:r>
              <w:t xml:space="preserve">408.5</w:t>
            </w:r>
          </w:p>
        </w:tc>
        <w:tc>
          <w:tcPr>
            <w:tcW w:w="906" w:type="dxa"/>
          </w:tcPr>
          <w:p>
            <w:pPr/>
            <w:r>
              <w:t xml:space="preserve">20.4</w:t>
            </w:r>
          </w:p>
        </w:tc>
      </w:tr>
      <w:tr>
        <w:tc>
          <w:tcPr>
            <w:tcW w:w="779" w:type="dxa"/>
          </w:tcPr>
          <w:p>
            <w:pPr/>
            <w:r>
              <w:t xml:space="preserve">H2</w:t>
            </w:r>
          </w:p>
        </w:tc>
        <w:tc>
          <w:tcPr>
            <w:tcW w:w="2491" w:type="dxa"/>
          </w:tcPr>
          <w:p>
            <w:pPr/>
            <w:r>
              <w:t xml:space="preserve">Top-up (8 or fewer)</w:t>
            </w:r>
          </w:p>
        </w:tc>
        <w:tc>
          <w:tcPr>
            <w:tcW w:w="985" w:type="dxa"/>
          </w:tcPr>
          <w:p>
            <w:pPr/>
            <w:r>
              <w:t xml:space="preserve">15,383</w:t>
            </w:r>
          </w:p>
        </w:tc>
        <w:tc>
          <w:tcPr>
            <w:tcW w:w="1798" w:type="dxa"/>
          </w:tcPr>
          <w:p>
            <w:pPr/>
            <w:r>
              <w:t xml:space="preserve">46.3%</w:t>
            </w:r>
          </w:p>
        </w:tc>
        <w:tc>
          <w:tcPr>
            <w:tcW w:w="2397" w:type="dxa"/>
          </w:tcPr>
          <w:p>
            <w:pPr/>
            <w:r>
              <w:t xml:space="preserve">90.2</w:t>
            </w:r>
          </w:p>
        </w:tc>
        <w:tc>
          <w:tcPr>
            <w:tcW w:w="906" w:type="dxa"/>
          </w:tcPr>
          <w:p>
            <w:pPr/>
            <w:r>
              <w:t xml:space="preserve">3.8</w:t>
            </w:r>
          </w:p>
        </w:tc>
      </w:tr>
    </w:tbl>
    <w:p>
      <w:pPr/>
      <w:r>
        <w:t xml:space="preserve">The average basket fell R28.9. Of that, </w:t>
      </w:r>
      <w:r>
        <w:rPr>
          <w:b/>
        </w:rPr>
        <w:t xml:space="preserve">R26.3 (91%) comes from the shift in mix</w:t>
      </w:r>
      <w:r>
        <w:t xml:space="preserve"> and </w:t>
      </w:r>
      <w:r>
        <w:rPr>
          <w:b/>
        </w:rPr>
        <w:t xml:space="preserve">R2.6 (9%) from baskets themselves getting smaller</w:t>
      </w:r>
      <w:r>
        <w:t xml:space="preserve">. This guards against the classic mix-shift trap: the average fell, but no single type of basket collapsed. We used the average of the two periods for shares and values so the split adds up exactly.</w:t>
      </w:r>
    </w:p>
    <w:p>
      <w:pPr>
        <w:pStyle w:val="Heading3"/>
      </w:pPr>
      <w:r>
        <w:t xml:space="preserve">5.2 Segment comparison</w:t>
      </w:r>
    </w:p>
    <w:tbl>
      <w:tblPr>
        <w:tblStyle w:val="TableGrid"/>
        <w:tblW w:w="0" w:type="auto"/>
        <w:tblLayout w:type="fixed"/>
        <w:tblLook w:val="04A0" w:firstRow="1" w:lastRow="0" w:firstColumn="0" w:lastColumn="0" w:noHBand="0" w:noVBand="1"/>
      </w:tblPr>
      <w:tblGrid>
        <w:gridCol w:w="3331"/>
        <w:gridCol w:w="2520"/>
        <w:gridCol w:w="2520"/>
        <w:gridCol w:w="988"/>
      </w:tblGrid>
      <w:tr>
        <w:trPr>
          <w:tblHeader/>
        </w:trPr>
        <w:tc>
          <w:tcPr>
            <w:tcW w:w="3331" w:type="dxa"/>
            <w:shd w:val="clear" w:color="auto" w:fill="F2F2F2"/>
          </w:tcPr>
          <w:p>
            <w:pPr/>
            <w:r>
              <w:t xml:space="preserve">Segment</w:t>
            </w:r>
          </w:p>
        </w:tc>
        <w:tc>
          <w:tcPr>
            <w:tcW w:w="2520" w:type="dxa"/>
            <w:shd w:val="clear" w:color="auto" w:fill="F2F2F2"/>
          </w:tcPr>
          <w:p>
            <w:pPr/>
            <w:r>
              <w:t xml:space="preserve">H1 average basket (R)</w:t>
            </w:r>
          </w:p>
        </w:tc>
        <w:tc>
          <w:tcPr>
            <w:tcW w:w="2520" w:type="dxa"/>
            <w:shd w:val="clear" w:color="auto" w:fill="F2F2F2"/>
          </w:tcPr>
          <w:p>
            <w:pPr/>
            <w:r>
              <w:t xml:space="preserve">H2 average basket (R)</w:t>
            </w:r>
          </w:p>
        </w:tc>
        <w:tc>
          <w:tcPr>
            <w:tcW w:w="988" w:type="dxa"/>
            <w:shd w:val="clear" w:color="auto" w:fill="F2F2F2"/>
          </w:tcPr>
          <w:p>
            <w:pPr/>
            <w:r>
              <w:t xml:space="preserve">Change</w:t>
            </w:r>
          </w:p>
        </w:tc>
      </w:tr>
      <w:tr>
        <w:tc>
          <w:tcPr>
            <w:tcW w:w="3331" w:type="dxa"/>
          </w:tcPr>
          <w:p>
            <w:pPr/>
            <w:r>
              <w:t xml:space="preserve">Competitor nearby (12 stores)</w:t>
            </w:r>
          </w:p>
        </w:tc>
        <w:tc>
          <w:tcPr>
            <w:tcW w:w="2520" w:type="dxa"/>
          </w:tcPr>
          <w:p>
            <w:pPr/>
            <w:r>
              <w:t xml:space="preserve">290.8</w:t>
            </w:r>
          </w:p>
        </w:tc>
        <w:tc>
          <w:tcPr>
            <w:tcW w:w="2520" w:type="dxa"/>
          </w:tcPr>
          <w:p>
            <w:pPr/>
            <w:r>
              <w:t xml:space="preserve">244.9</w:t>
            </w:r>
          </w:p>
        </w:tc>
        <w:tc>
          <w:tcPr>
            <w:tcW w:w="988" w:type="dxa"/>
          </w:tcPr>
          <w:p>
            <w:pPr/>
            <w:r>
              <w:t xml:space="preserve">-15.8%</w:t>
            </w:r>
          </w:p>
        </w:tc>
      </w:tr>
      <w:tr>
        <w:tc>
          <w:tcPr>
            <w:tcW w:w="3331" w:type="dxa"/>
          </w:tcPr>
          <w:p>
            <w:pPr/>
            <w:r>
              <w:t xml:space="preserve">No competitor (30 stores)</w:t>
            </w:r>
          </w:p>
        </w:tc>
        <w:tc>
          <w:tcPr>
            <w:tcW w:w="2520" w:type="dxa"/>
          </w:tcPr>
          <w:p>
            <w:pPr/>
            <w:r>
              <w:t xml:space="preserve">289.7</w:t>
            </w:r>
          </w:p>
        </w:tc>
        <w:tc>
          <w:tcPr>
            <w:tcW w:w="2520" w:type="dxa"/>
          </w:tcPr>
          <w:p>
            <w:pPr/>
            <w:r>
              <w:t xml:space="preserve">268.8</w:t>
            </w:r>
          </w:p>
        </w:tc>
        <w:tc>
          <w:tcPr>
            <w:tcW w:w="988" w:type="dxa"/>
          </w:tcPr>
          <w:p>
            <w:pPr/>
            <w:r>
              <w:t xml:space="preserve">-7.2%</w:t>
            </w:r>
          </w:p>
        </w:tc>
      </w:tr>
      <w:tr>
        <w:tc>
          <w:tcPr>
            <w:tcW w:w="3331" w:type="dxa"/>
          </w:tcPr>
          <w:p>
            <w:pPr/>
            <w:r>
              <w:t xml:space="preserve">Non-loyalty</w:t>
            </w:r>
          </w:p>
        </w:tc>
        <w:tc>
          <w:tcPr>
            <w:tcW w:w="2520" w:type="dxa"/>
          </w:tcPr>
          <w:p>
            <w:pPr/>
            <w:r>
              <w:t xml:space="preserve">277.6</w:t>
            </w:r>
          </w:p>
        </w:tc>
        <w:tc>
          <w:tcPr>
            <w:tcW w:w="2520" w:type="dxa"/>
          </w:tcPr>
          <w:p>
            <w:pPr/>
            <w:r>
              <w:t xml:space="preserve">243.5</w:t>
            </w:r>
          </w:p>
        </w:tc>
        <w:tc>
          <w:tcPr>
            <w:tcW w:w="988" w:type="dxa"/>
          </w:tcPr>
          <w:p>
            <w:pPr/>
            <w:r>
              <w:t xml:space="preserve">-12.3%</w:t>
            </w:r>
          </w:p>
        </w:tc>
      </w:tr>
      <w:tr>
        <w:tc>
          <w:tcPr>
            <w:tcW w:w="3331" w:type="dxa"/>
          </w:tcPr>
          <w:p>
            <w:pPr/>
            <w:r>
              <w:t xml:space="preserve">Loyalty members</w:t>
            </w:r>
          </w:p>
        </w:tc>
        <w:tc>
          <w:tcPr>
            <w:tcW w:w="2520" w:type="dxa"/>
          </w:tcPr>
          <w:p>
            <w:pPr/>
            <w:r>
              <w:t xml:space="preserve">305.1</w:t>
            </w:r>
          </w:p>
        </w:tc>
        <w:tc>
          <w:tcPr>
            <w:tcW w:w="2520" w:type="dxa"/>
          </w:tcPr>
          <w:p>
            <w:pPr/>
            <w:r>
              <w:t xml:space="preserve">283.6</w:t>
            </w:r>
          </w:p>
        </w:tc>
        <w:tc>
          <w:tcPr>
            <w:tcW w:w="988" w:type="dxa"/>
          </w:tcPr>
          <w:p>
            <w:pPr/>
            <w:r>
              <w:t xml:space="preserve">-7.0%</w:t>
            </w:r>
          </w:p>
        </w:tc>
      </w:tr>
      <w:tr>
        <w:tc>
          <w:tcPr>
            <w:tcW w:w="3331" w:type="dxa"/>
          </w:tcPr>
          <w:p>
            <w:pPr/>
            <w:r>
              <w:t xml:space="preserve">Large stores</w:t>
            </w:r>
          </w:p>
        </w:tc>
        <w:tc>
          <w:tcPr>
            <w:tcW w:w="2520" w:type="dxa"/>
          </w:tcPr>
          <w:p>
            <w:pPr/>
            <w:r>
              <w:t xml:space="preserve">291.2</w:t>
            </w:r>
          </w:p>
        </w:tc>
        <w:tc>
          <w:tcPr>
            <w:tcW w:w="2520" w:type="dxa"/>
          </w:tcPr>
          <w:p>
            <w:pPr/>
            <w:r>
              <w:t xml:space="preserve">258.6</w:t>
            </w:r>
          </w:p>
        </w:tc>
        <w:tc>
          <w:tcPr>
            <w:tcW w:w="988" w:type="dxa"/>
          </w:tcPr>
          <w:p>
            <w:pPr/>
            <w:r>
              <w:t xml:space="preserve">-11.2%</w:t>
            </w:r>
          </w:p>
        </w:tc>
      </w:tr>
      <w:tr>
        <w:tc>
          <w:tcPr>
            <w:tcW w:w="3331" w:type="dxa"/>
          </w:tcPr>
          <w:p>
            <w:pPr/>
            <w:r>
              <w:t xml:space="preserve">Medium stores</w:t>
            </w:r>
          </w:p>
        </w:tc>
        <w:tc>
          <w:tcPr>
            <w:tcW w:w="2520" w:type="dxa"/>
          </w:tcPr>
          <w:p>
            <w:pPr/>
            <w:r>
              <w:t xml:space="preserve">290.2</w:t>
            </w:r>
          </w:p>
        </w:tc>
        <w:tc>
          <w:tcPr>
            <w:tcW w:w="2520" w:type="dxa"/>
          </w:tcPr>
          <w:p>
            <w:pPr/>
            <w:r>
              <w:t xml:space="preserve">264.0</w:t>
            </w:r>
          </w:p>
        </w:tc>
        <w:tc>
          <w:tcPr>
            <w:tcW w:w="988" w:type="dxa"/>
          </w:tcPr>
          <w:p>
            <w:pPr/>
            <w:r>
              <w:t xml:space="preserve">-9.0%</w:t>
            </w:r>
          </w:p>
        </w:tc>
      </w:tr>
      <w:tr>
        <w:tc>
          <w:tcPr>
            <w:tcW w:w="3331" w:type="dxa"/>
          </w:tcPr>
          <w:p>
            <w:pPr/>
            <w:r>
              <w:t xml:space="preserve">Express stores</w:t>
            </w:r>
          </w:p>
        </w:tc>
        <w:tc>
          <w:tcPr>
            <w:tcW w:w="2520" w:type="dxa"/>
          </w:tcPr>
          <w:p>
            <w:pPr/>
            <w:r>
              <w:t xml:space="preserve">284.9</w:t>
            </w:r>
          </w:p>
        </w:tc>
        <w:tc>
          <w:tcPr>
            <w:tcW w:w="2520" w:type="dxa"/>
          </w:tcPr>
          <w:p>
            <w:pPr/>
            <w:r>
              <w:t xml:space="preserve">261.8</w:t>
            </w:r>
          </w:p>
        </w:tc>
        <w:tc>
          <w:tcPr>
            <w:tcW w:w="988" w:type="dxa"/>
          </w:tcPr>
          <w:p>
            <w:pPr/>
            <w:r>
              <w:t xml:space="preserve">-8.1%</w:t>
            </w:r>
          </w:p>
        </w:tc>
      </w:tr>
      <w:tr>
        <w:tc>
          <w:tcPr>
            <w:tcW w:w="3331" w:type="dxa"/>
          </w:tcPr>
          <w:p>
            <w:pPr/>
            <w:r>
              <w:t xml:space="preserve">Gauteng</w:t>
            </w:r>
          </w:p>
        </w:tc>
        <w:tc>
          <w:tcPr>
            <w:tcW w:w="2520" w:type="dxa"/>
          </w:tcPr>
          <w:p>
            <w:pPr/>
            <w:r>
              <w:t xml:space="preserve">291.7</w:t>
            </w:r>
          </w:p>
        </w:tc>
        <w:tc>
          <w:tcPr>
            <w:tcW w:w="2520" w:type="dxa"/>
          </w:tcPr>
          <w:p>
            <w:pPr/>
            <w:r>
              <w:t xml:space="preserve">258.0</w:t>
            </w:r>
          </w:p>
        </w:tc>
        <w:tc>
          <w:tcPr>
            <w:tcW w:w="988" w:type="dxa"/>
          </w:tcPr>
          <w:p>
            <w:pPr/>
            <w:r>
              <w:t xml:space="preserve">-11.6%</w:t>
            </w:r>
          </w:p>
        </w:tc>
      </w:tr>
      <w:tr>
        <w:tc>
          <w:tcPr>
            <w:tcW w:w="3331" w:type="dxa"/>
          </w:tcPr>
          <w:p>
            <w:pPr/>
            <w:r>
              <w:t xml:space="preserve">Western Cape</w:t>
            </w:r>
          </w:p>
        </w:tc>
        <w:tc>
          <w:tcPr>
            <w:tcW w:w="2520" w:type="dxa"/>
          </w:tcPr>
          <w:p>
            <w:pPr/>
            <w:r>
              <w:t xml:space="preserve">287.8</w:t>
            </w:r>
          </w:p>
        </w:tc>
        <w:tc>
          <w:tcPr>
            <w:tcW w:w="2520" w:type="dxa"/>
          </w:tcPr>
          <w:p>
            <w:pPr/>
            <w:r>
              <w:t xml:space="preserve">262.3</w:t>
            </w:r>
          </w:p>
        </w:tc>
        <w:tc>
          <w:tcPr>
            <w:tcW w:w="988" w:type="dxa"/>
          </w:tcPr>
          <w:p>
            <w:pPr/>
            <w:r>
              <w:t xml:space="preserve">-8.9%</w:t>
            </w:r>
          </w:p>
        </w:tc>
      </w:tr>
      <w:tr>
        <w:tc>
          <w:tcPr>
            <w:tcW w:w="3331" w:type="dxa"/>
          </w:tcPr>
          <w:p>
            <w:pPr/>
            <w:r>
              <w:t xml:space="preserve">KwaZulu-Natal</w:t>
            </w:r>
          </w:p>
        </w:tc>
        <w:tc>
          <w:tcPr>
            <w:tcW w:w="2520" w:type="dxa"/>
          </w:tcPr>
          <w:p>
            <w:pPr/>
            <w:r>
              <w:t xml:space="preserve">289.6</w:t>
            </w:r>
          </w:p>
        </w:tc>
        <w:tc>
          <w:tcPr>
            <w:tcW w:w="2520" w:type="dxa"/>
          </w:tcPr>
          <w:p>
            <w:pPr/>
            <w:r>
              <w:t xml:space="preserve">266.9</w:t>
            </w:r>
          </w:p>
        </w:tc>
        <w:tc>
          <w:tcPr>
            <w:tcW w:w="988" w:type="dxa"/>
          </w:tcPr>
          <w:p>
            <w:pPr/>
            <w:r>
              <w:t xml:space="preserve">-7.9%</w:t>
            </w:r>
          </w:p>
        </w:tc>
      </w:tr>
      <w:tr>
        <w:tc>
          <w:tcPr>
            <w:tcW w:w="3331" w:type="dxa"/>
          </w:tcPr>
          <w:p>
            <w:pPr/>
            <w:r>
              <w:t xml:space="preserve">Weekday</w:t>
            </w:r>
          </w:p>
        </w:tc>
        <w:tc>
          <w:tcPr>
            <w:tcW w:w="2520" w:type="dxa"/>
          </w:tcPr>
          <w:p>
            <w:pPr/>
            <w:r>
              <w:t xml:space="preserve">290.2</w:t>
            </w:r>
          </w:p>
        </w:tc>
        <w:tc>
          <w:tcPr>
            <w:tcW w:w="2520" w:type="dxa"/>
          </w:tcPr>
          <w:p>
            <w:pPr/>
            <w:r>
              <w:t xml:space="preserve">260.4</w:t>
            </w:r>
          </w:p>
        </w:tc>
        <w:tc>
          <w:tcPr>
            <w:tcW w:w="988" w:type="dxa"/>
          </w:tcPr>
          <w:p>
            <w:pPr/>
            <w:r>
              <w:t xml:space="preserve">-10.3%</w:t>
            </w:r>
          </w:p>
        </w:tc>
      </w:tr>
      <w:tr>
        <w:tc>
          <w:tcPr>
            <w:tcW w:w="3331" w:type="dxa"/>
          </w:tcPr>
          <w:p>
            <w:pPr/>
            <w:r>
              <w:t xml:space="preserve">Weekend</w:t>
            </w:r>
          </w:p>
        </w:tc>
        <w:tc>
          <w:tcPr>
            <w:tcW w:w="2520" w:type="dxa"/>
          </w:tcPr>
          <w:p>
            <w:pPr/>
            <w:r>
              <w:t xml:space="preserve">289.6</w:t>
            </w:r>
          </w:p>
        </w:tc>
        <w:tc>
          <w:tcPr>
            <w:tcW w:w="2520" w:type="dxa"/>
          </w:tcPr>
          <w:p>
            <w:pPr/>
            <w:r>
              <w:t xml:space="preserve">262.3</w:t>
            </w:r>
          </w:p>
        </w:tc>
        <w:tc>
          <w:tcPr>
            <w:tcW w:w="988" w:type="dxa"/>
          </w:tcPr>
          <w:p>
            <w:pPr/>
            <w:r>
              <w:t xml:space="preserve">-9.4%</w:t>
            </w:r>
          </w:p>
        </w:tc>
      </w:tr>
      <w:tr>
        <w:tc>
          <w:tcPr>
            <w:tcW w:w="3331" w:type="dxa"/>
          </w:tcPr>
          <w:p>
            <w:pPr/>
            <w:r>
              <w:t xml:space="preserve">Card</w:t>
            </w:r>
          </w:p>
        </w:tc>
        <w:tc>
          <w:tcPr>
            <w:tcW w:w="2520" w:type="dxa"/>
          </w:tcPr>
          <w:p>
            <w:pPr/>
            <w:r>
              <w:t xml:space="preserve">289.8</w:t>
            </w:r>
          </w:p>
        </w:tc>
        <w:tc>
          <w:tcPr>
            <w:tcW w:w="2520" w:type="dxa"/>
          </w:tcPr>
          <w:p>
            <w:pPr/>
            <w:r>
              <w:t xml:space="preserve">260.8</w:t>
            </w:r>
          </w:p>
        </w:tc>
        <w:tc>
          <w:tcPr>
            <w:tcW w:w="988" w:type="dxa"/>
          </w:tcPr>
          <w:p>
            <w:pPr/>
            <w:r>
              <w:t xml:space="preserve">-10.0%</w:t>
            </w:r>
          </w:p>
        </w:tc>
      </w:tr>
      <w:tr>
        <w:tc>
          <w:tcPr>
            <w:tcW w:w="3331" w:type="dxa"/>
          </w:tcPr>
          <w:p>
            <w:pPr/>
            <w:r>
              <w:t xml:space="preserve">Cash</w:t>
            </w:r>
          </w:p>
        </w:tc>
        <w:tc>
          <w:tcPr>
            <w:tcW w:w="2520" w:type="dxa"/>
          </w:tcPr>
          <w:p>
            <w:pPr/>
            <w:r>
              <w:t xml:space="preserve">291.1</w:t>
            </w:r>
          </w:p>
        </w:tc>
        <w:tc>
          <w:tcPr>
            <w:tcW w:w="2520" w:type="dxa"/>
          </w:tcPr>
          <w:p>
            <w:pPr/>
            <w:r>
              <w:t xml:space="preserve">259.8</w:t>
            </w:r>
          </w:p>
        </w:tc>
        <w:tc>
          <w:tcPr>
            <w:tcW w:w="988" w:type="dxa"/>
          </w:tcPr>
          <w:p>
            <w:pPr/>
            <w:r>
              <w:t xml:space="preserve">-10.8%</w:t>
            </w:r>
          </w:p>
        </w:tc>
      </w:tr>
      <w:tr>
        <w:tc>
          <w:tcPr>
            <w:tcW w:w="3331" w:type="dxa"/>
          </w:tcPr>
          <w:p>
            <w:pPr/>
            <w:r>
              <w:t xml:space="preserve">Mobile</w:t>
            </w:r>
          </w:p>
        </w:tc>
        <w:tc>
          <w:tcPr>
            <w:tcW w:w="2520" w:type="dxa"/>
          </w:tcPr>
          <w:p>
            <w:pPr/>
            <w:r>
              <w:t xml:space="preserve">288.5</w:t>
            </w:r>
          </w:p>
        </w:tc>
        <w:tc>
          <w:tcPr>
            <w:tcW w:w="2520" w:type="dxa"/>
          </w:tcPr>
          <w:p>
            <w:pPr/>
            <w:r>
              <w:t xml:space="preserve">263.6</w:t>
            </w:r>
          </w:p>
        </w:tc>
        <w:tc>
          <w:tcPr>
            <w:tcW w:w="988" w:type="dxa"/>
          </w:tcPr>
          <w:p>
            <w:pPr/>
            <w:r>
              <w:t xml:space="preserve">-8.6%</w:t>
            </w:r>
          </w:p>
        </w:tc>
      </w:tr>
    </w:tbl>
    <w:p>
      <w:pPr/>
      <w:r>
        <w:t xml:space="preserve">Weekday, weekend and payment method all fall by similar amounts, so they are not drivers. Large stores and Gauteng fall more, but this partly reflects where competitors opened: 7 of the 12 exposed stores are in Gauteng and 6 are Large. The clearest split is stores with a nearby competitor, which fell about twice as much as the rest. Non-loyalty shoppers also fell more than members.</w:t>
      </w:r>
    </w:p>
    <w:p>
      <w:pPr>
        <w:pStyle w:val="Heading3"/>
      </w:pPr>
      <w:r>
        <w:t xml:space="preserve">5.3 Nearby competitor (H1)</w:t>
      </w:r>
    </w:p>
    <w:p>
      <w:pPr/>
      <w:r>
        <w:t xml:space="preserve">Twelve stores had a discounter open within 2 km between 1 August and 15 October 2025. A fair test compares each store 60 days before and after its opening date, against the 30 stores that never had a competitor over the same dates. This difference-in-differences design removes season and chain-wide drift.</w:t>
      </w:r>
    </w:p>
    <w:tbl>
      <w:tblPr>
        <w:tblStyle w:val="TableGrid"/>
        <w:tblW w:w="0" w:type="auto"/>
        <w:tblLayout w:type="fixed"/>
        <w:tblLook w:val="04A0" w:firstRow="1" w:lastRow="0" w:firstColumn="0" w:lastColumn="0" w:noHBand="0" w:noVBand="1"/>
      </w:tblPr>
      <w:tblGrid>
        <w:gridCol w:w="1026"/>
        <w:gridCol w:w="988"/>
        <w:gridCol w:w="1303"/>
        <w:gridCol w:w="1145"/>
        <w:gridCol w:w="1383"/>
        <w:gridCol w:w="1854"/>
        <w:gridCol w:w="1660"/>
      </w:tblGrid>
      <w:tr>
        <w:trPr>
          <w:tblHeader/>
        </w:trPr>
        <w:tc>
          <w:tcPr>
            <w:tcW w:w="1026" w:type="dxa"/>
            <w:shd w:val="clear" w:color="auto" w:fill="F2F2F2"/>
          </w:tcPr>
          <w:p>
            <w:pPr/>
            <w:r>
              <w:t xml:space="preserve">Store</w:t>
            </w:r>
          </w:p>
        </w:tc>
        <w:tc>
          <w:tcPr>
            <w:tcW w:w="988" w:type="dxa"/>
            <w:shd w:val="clear" w:color="auto" w:fill="F2F2F2"/>
          </w:tcPr>
          <w:p>
            <w:pPr/>
            <w:r>
              <w:t xml:space="preserve">Opened</w:t>
            </w:r>
          </w:p>
        </w:tc>
        <w:tc>
          <w:tcPr>
            <w:tcW w:w="1303" w:type="dxa"/>
            <w:shd w:val="clear" w:color="auto" w:fill="F2F2F2"/>
          </w:tcPr>
          <w:p>
            <w:pPr/>
            <w:r>
              <w:t xml:space="preserve">Before (R)</w:t>
            </w:r>
          </w:p>
        </w:tc>
        <w:tc>
          <w:tcPr>
            <w:tcW w:w="1145" w:type="dxa"/>
            <w:shd w:val="clear" w:color="auto" w:fill="F2F2F2"/>
          </w:tcPr>
          <w:p>
            <w:pPr/>
            <w:r>
              <w:t xml:space="preserve">After (R)</w:t>
            </w:r>
          </w:p>
        </w:tc>
        <w:tc>
          <w:tcPr>
            <w:tcW w:w="1383" w:type="dxa"/>
            <w:shd w:val="clear" w:color="auto" w:fill="F2F2F2"/>
          </w:tcPr>
          <w:p>
            <w:pPr/>
            <w:r>
              <w:t xml:space="preserve">Change (R)</w:t>
            </w:r>
          </w:p>
        </w:tc>
        <w:tc>
          <w:tcPr>
            <w:tcW w:w="1854" w:type="dxa"/>
            <w:shd w:val="clear" w:color="auto" w:fill="F2F2F2"/>
          </w:tcPr>
          <w:p>
            <w:pPr/>
            <w:r>
              <w:t xml:space="preserve">Control change (R)</w:t>
            </w:r>
          </w:p>
        </w:tc>
        <w:tc>
          <w:tcPr>
            <w:tcW w:w="1660" w:type="dxa"/>
            <w:shd w:val="clear" w:color="auto" w:fill="F2F2F2"/>
          </w:tcPr>
          <w:p>
            <w:pPr/>
            <w:r>
              <w:t xml:space="preserve">Net effect (R)</w:t>
            </w:r>
          </w:p>
        </w:tc>
      </w:tr>
      <w:tr>
        <w:tc>
          <w:tcPr>
            <w:tcW w:w="1026" w:type="dxa"/>
          </w:tcPr>
          <w:p>
            <w:pPr/>
            <w:r>
              <w:t xml:space="preserve">ST1035</w:t>
            </w:r>
          </w:p>
        </w:tc>
        <w:tc>
          <w:tcPr>
            <w:tcW w:w="988" w:type="dxa"/>
          </w:tcPr>
          <w:p>
            <w:pPr/>
            <w:r>
              <w:t xml:space="preserve">1 Aug</w:t>
            </w:r>
          </w:p>
        </w:tc>
        <w:tc>
          <w:tcPr>
            <w:tcW w:w="1303" w:type="dxa"/>
          </w:tcPr>
          <w:p>
            <w:pPr/>
            <w:r>
              <w:t xml:space="preserve">307.3</w:t>
            </w:r>
          </w:p>
        </w:tc>
        <w:tc>
          <w:tcPr>
            <w:tcW w:w="1145" w:type="dxa"/>
          </w:tcPr>
          <w:p>
            <w:pPr/>
            <w:r>
              <w:t xml:space="preserve">228.6</w:t>
            </w:r>
          </w:p>
        </w:tc>
        <w:tc>
          <w:tcPr>
            <w:tcW w:w="1383" w:type="dxa"/>
          </w:tcPr>
          <w:p>
            <w:pPr/>
            <w:r>
              <w:t xml:space="preserve">-78.8</w:t>
            </w:r>
          </w:p>
        </w:tc>
        <w:tc>
          <w:tcPr>
            <w:tcW w:w="1854" w:type="dxa"/>
          </w:tcPr>
          <w:p>
            <w:pPr/>
            <w:r>
              <w:t xml:space="preserve">-5.1</w:t>
            </w:r>
          </w:p>
        </w:tc>
        <w:tc>
          <w:tcPr>
            <w:tcW w:w="1660" w:type="dxa"/>
          </w:tcPr>
          <w:p>
            <w:pPr/>
            <w:r>
              <w:t xml:space="preserve">-73.6</w:t>
            </w:r>
          </w:p>
        </w:tc>
      </w:tr>
      <w:tr>
        <w:tc>
          <w:tcPr>
            <w:tcW w:w="1026" w:type="dxa"/>
          </w:tcPr>
          <w:p>
            <w:pPr/>
            <w:r>
              <w:t xml:space="preserve">ST1008</w:t>
            </w:r>
          </w:p>
        </w:tc>
        <w:tc>
          <w:tcPr>
            <w:tcW w:w="988" w:type="dxa"/>
          </w:tcPr>
          <w:p>
            <w:pPr/>
            <w:r>
              <w:t xml:space="preserve">20 Aug</w:t>
            </w:r>
          </w:p>
        </w:tc>
        <w:tc>
          <w:tcPr>
            <w:tcW w:w="1303" w:type="dxa"/>
          </w:tcPr>
          <w:p>
            <w:pPr/>
            <w:r>
              <w:t xml:space="preserve">289.1</w:t>
            </w:r>
          </w:p>
        </w:tc>
        <w:tc>
          <w:tcPr>
            <w:tcW w:w="1145" w:type="dxa"/>
          </w:tcPr>
          <w:p>
            <w:pPr/>
            <w:r>
              <w:t xml:space="preserve">223.6</w:t>
            </w:r>
          </w:p>
        </w:tc>
        <w:tc>
          <w:tcPr>
            <w:tcW w:w="1383" w:type="dxa"/>
          </w:tcPr>
          <w:p>
            <w:pPr/>
            <w:r>
              <w:t xml:space="preserve">-65.5</w:t>
            </w:r>
          </w:p>
        </w:tc>
        <w:tc>
          <w:tcPr>
            <w:tcW w:w="1854" w:type="dxa"/>
          </w:tcPr>
          <w:p>
            <w:pPr/>
            <w:r>
              <w:t xml:space="preserve">-0.8</w:t>
            </w:r>
          </w:p>
        </w:tc>
        <w:tc>
          <w:tcPr>
            <w:tcW w:w="1660" w:type="dxa"/>
          </w:tcPr>
          <w:p>
            <w:pPr/>
            <w:r>
              <w:t xml:space="preserve">-64.7</w:t>
            </w:r>
          </w:p>
        </w:tc>
      </w:tr>
      <w:tr>
        <w:tc>
          <w:tcPr>
            <w:tcW w:w="1026" w:type="dxa"/>
          </w:tcPr>
          <w:p>
            <w:pPr/>
            <w:r>
              <w:t xml:space="preserve">ST1011</w:t>
            </w:r>
          </w:p>
        </w:tc>
        <w:tc>
          <w:tcPr>
            <w:tcW w:w="988" w:type="dxa"/>
          </w:tcPr>
          <w:p>
            <w:pPr/>
            <w:r>
              <w:t xml:space="preserve">20 Aug</w:t>
            </w:r>
          </w:p>
        </w:tc>
        <w:tc>
          <w:tcPr>
            <w:tcW w:w="1303" w:type="dxa"/>
          </w:tcPr>
          <w:p>
            <w:pPr/>
            <w:r>
              <w:t xml:space="preserve">280.8</w:t>
            </w:r>
          </w:p>
        </w:tc>
        <w:tc>
          <w:tcPr>
            <w:tcW w:w="1145" w:type="dxa"/>
          </w:tcPr>
          <w:p>
            <w:pPr/>
            <w:r>
              <w:t xml:space="preserve">225.6</w:t>
            </w:r>
          </w:p>
        </w:tc>
        <w:tc>
          <w:tcPr>
            <w:tcW w:w="1383" w:type="dxa"/>
          </w:tcPr>
          <w:p>
            <w:pPr/>
            <w:r>
              <w:t xml:space="preserve">-55.2</w:t>
            </w:r>
          </w:p>
        </w:tc>
        <w:tc>
          <w:tcPr>
            <w:tcW w:w="1854" w:type="dxa"/>
          </w:tcPr>
          <w:p>
            <w:pPr/>
            <w:r>
              <w:t xml:space="preserve">-0.8</w:t>
            </w:r>
          </w:p>
        </w:tc>
        <w:tc>
          <w:tcPr>
            <w:tcW w:w="1660" w:type="dxa"/>
          </w:tcPr>
          <w:p>
            <w:pPr/>
            <w:r>
              <w:t xml:space="preserve">-54.4</w:t>
            </w:r>
          </w:p>
        </w:tc>
      </w:tr>
      <w:tr>
        <w:tc>
          <w:tcPr>
            <w:tcW w:w="1026" w:type="dxa"/>
          </w:tcPr>
          <w:p>
            <w:pPr/>
            <w:r>
              <w:t xml:space="preserve">ST1023</w:t>
            </w:r>
          </w:p>
        </w:tc>
        <w:tc>
          <w:tcPr>
            <w:tcW w:w="988" w:type="dxa"/>
          </w:tcPr>
          <w:p>
            <w:pPr/>
            <w:r>
              <w:t xml:space="preserve">20 Aug</w:t>
            </w:r>
          </w:p>
        </w:tc>
        <w:tc>
          <w:tcPr>
            <w:tcW w:w="1303" w:type="dxa"/>
          </w:tcPr>
          <w:p>
            <w:pPr/>
            <w:r>
              <w:t xml:space="preserve">296.0</w:t>
            </w:r>
          </w:p>
        </w:tc>
        <w:tc>
          <w:tcPr>
            <w:tcW w:w="1145" w:type="dxa"/>
          </w:tcPr>
          <w:p>
            <w:pPr/>
            <w:r>
              <w:t xml:space="preserve">247.5</w:t>
            </w:r>
          </w:p>
        </w:tc>
        <w:tc>
          <w:tcPr>
            <w:tcW w:w="1383" w:type="dxa"/>
          </w:tcPr>
          <w:p>
            <w:pPr/>
            <w:r>
              <w:t xml:space="preserve">-48.5</w:t>
            </w:r>
          </w:p>
        </w:tc>
        <w:tc>
          <w:tcPr>
            <w:tcW w:w="1854" w:type="dxa"/>
          </w:tcPr>
          <w:p>
            <w:pPr/>
            <w:r>
              <w:t xml:space="preserve">-0.8</w:t>
            </w:r>
          </w:p>
        </w:tc>
        <w:tc>
          <w:tcPr>
            <w:tcW w:w="1660" w:type="dxa"/>
          </w:tcPr>
          <w:p>
            <w:pPr/>
            <w:r>
              <w:t xml:space="preserve">-47.7</w:t>
            </w:r>
          </w:p>
        </w:tc>
      </w:tr>
      <w:tr>
        <w:tc>
          <w:tcPr>
            <w:tcW w:w="1026" w:type="dxa"/>
          </w:tcPr>
          <w:p>
            <w:pPr/>
            <w:r>
              <w:t xml:space="preserve">ST1033</w:t>
            </w:r>
          </w:p>
        </w:tc>
        <w:tc>
          <w:tcPr>
            <w:tcW w:w="988" w:type="dxa"/>
          </w:tcPr>
          <w:p>
            <w:pPr/>
            <w:r>
              <w:t xml:space="preserve">20 Aug</w:t>
            </w:r>
          </w:p>
        </w:tc>
        <w:tc>
          <w:tcPr>
            <w:tcW w:w="1303" w:type="dxa"/>
          </w:tcPr>
          <w:p>
            <w:pPr/>
            <w:r>
              <w:t xml:space="preserve">257.9</w:t>
            </w:r>
          </w:p>
        </w:tc>
        <w:tc>
          <w:tcPr>
            <w:tcW w:w="1145" w:type="dxa"/>
          </w:tcPr>
          <w:p>
            <w:pPr/>
            <w:r>
              <w:t xml:space="preserve">228.3</w:t>
            </w:r>
          </w:p>
        </w:tc>
        <w:tc>
          <w:tcPr>
            <w:tcW w:w="1383" w:type="dxa"/>
          </w:tcPr>
          <w:p>
            <w:pPr/>
            <w:r>
              <w:t xml:space="preserve">-29.6</w:t>
            </w:r>
          </w:p>
        </w:tc>
        <w:tc>
          <w:tcPr>
            <w:tcW w:w="1854" w:type="dxa"/>
          </w:tcPr>
          <w:p>
            <w:pPr/>
            <w:r>
              <w:t xml:space="preserve">-0.8</w:t>
            </w:r>
          </w:p>
        </w:tc>
        <w:tc>
          <w:tcPr>
            <w:tcW w:w="1660" w:type="dxa"/>
          </w:tcPr>
          <w:p>
            <w:pPr/>
            <w:r>
              <w:t xml:space="preserve">-28.8</w:t>
            </w:r>
          </w:p>
        </w:tc>
      </w:tr>
      <w:tr>
        <w:tc>
          <w:tcPr>
            <w:tcW w:w="1026" w:type="dxa"/>
          </w:tcPr>
          <w:p>
            <w:pPr/>
            <w:r>
              <w:t xml:space="preserve">ST1012</w:t>
            </w:r>
          </w:p>
        </w:tc>
        <w:tc>
          <w:tcPr>
            <w:tcW w:w="988" w:type="dxa"/>
          </w:tcPr>
          <w:p>
            <w:pPr/>
            <w:r>
              <w:t xml:space="preserve">10 Sep</w:t>
            </w:r>
          </w:p>
        </w:tc>
        <w:tc>
          <w:tcPr>
            <w:tcW w:w="1303" w:type="dxa"/>
          </w:tcPr>
          <w:p>
            <w:pPr/>
            <w:r>
              <w:t xml:space="preserve">281.3</w:t>
            </w:r>
          </w:p>
        </w:tc>
        <w:tc>
          <w:tcPr>
            <w:tcW w:w="1145" w:type="dxa"/>
          </w:tcPr>
          <w:p>
            <w:pPr/>
            <w:r>
              <w:t xml:space="preserve">225.9</w:t>
            </w:r>
          </w:p>
        </w:tc>
        <w:tc>
          <w:tcPr>
            <w:tcW w:w="1383" w:type="dxa"/>
          </w:tcPr>
          <w:p>
            <w:pPr/>
            <w:r>
              <w:t xml:space="preserve">-55.5</w:t>
            </w:r>
          </w:p>
        </w:tc>
        <w:tc>
          <w:tcPr>
            <w:tcW w:w="1854" w:type="dxa"/>
          </w:tcPr>
          <w:p>
            <w:pPr/>
            <w:r>
              <w:t xml:space="preserve">1.8</w:t>
            </w:r>
          </w:p>
        </w:tc>
        <w:tc>
          <w:tcPr>
            <w:tcW w:w="1660" w:type="dxa"/>
          </w:tcPr>
          <w:p>
            <w:pPr/>
            <w:r>
              <w:t xml:space="preserve">-57.2</w:t>
            </w:r>
          </w:p>
        </w:tc>
      </w:tr>
      <w:tr>
        <w:tc>
          <w:tcPr>
            <w:tcW w:w="1026" w:type="dxa"/>
          </w:tcPr>
          <w:p>
            <w:pPr/>
            <w:r>
              <w:t xml:space="preserve">ST1021</w:t>
            </w:r>
          </w:p>
        </w:tc>
        <w:tc>
          <w:tcPr>
            <w:tcW w:w="988" w:type="dxa"/>
          </w:tcPr>
          <w:p>
            <w:pPr/>
            <w:r>
              <w:t xml:space="preserve">10 Sep</w:t>
            </w:r>
          </w:p>
        </w:tc>
        <w:tc>
          <w:tcPr>
            <w:tcW w:w="1303" w:type="dxa"/>
          </w:tcPr>
          <w:p>
            <w:pPr/>
            <w:r>
              <w:t xml:space="preserve">248.8</w:t>
            </w:r>
          </w:p>
        </w:tc>
        <w:tc>
          <w:tcPr>
            <w:tcW w:w="1145" w:type="dxa"/>
          </w:tcPr>
          <w:p>
            <w:pPr/>
            <w:r>
              <w:t xml:space="preserve">233.3</w:t>
            </w:r>
          </w:p>
        </w:tc>
        <w:tc>
          <w:tcPr>
            <w:tcW w:w="1383" w:type="dxa"/>
          </w:tcPr>
          <w:p>
            <w:pPr/>
            <w:r>
              <w:t xml:space="preserve">-15.4</w:t>
            </w:r>
          </w:p>
        </w:tc>
        <w:tc>
          <w:tcPr>
            <w:tcW w:w="1854" w:type="dxa"/>
          </w:tcPr>
          <w:p>
            <w:pPr/>
            <w:r>
              <w:t xml:space="preserve">1.8</w:t>
            </w:r>
          </w:p>
        </w:tc>
        <w:tc>
          <w:tcPr>
            <w:tcW w:w="1660" w:type="dxa"/>
          </w:tcPr>
          <w:p>
            <w:pPr/>
            <w:r>
              <w:t xml:space="preserve">-17.2</w:t>
            </w:r>
          </w:p>
        </w:tc>
      </w:tr>
      <w:tr>
        <w:tc>
          <w:tcPr>
            <w:tcW w:w="1026" w:type="dxa"/>
          </w:tcPr>
          <w:p>
            <w:pPr/>
            <w:r>
              <w:t xml:space="preserve">ST1004</w:t>
            </w:r>
          </w:p>
        </w:tc>
        <w:tc>
          <w:tcPr>
            <w:tcW w:w="988" w:type="dxa"/>
          </w:tcPr>
          <w:p>
            <w:pPr/>
            <w:r>
              <w:t xml:space="preserve">25 Sep</w:t>
            </w:r>
          </w:p>
        </w:tc>
        <w:tc>
          <w:tcPr>
            <w:tcW w:w="1303" w:type="dxa"/>
          </w:tcPr>
          <w:p>
            <w:pPr/>
            <w:r>
              <w:t xml:space="preserve">276.1</w:t>
            </w:r>
          </w:p>
        </w:tc>
        <w:tc>
          <w:tcPr>
            <w:tcW w:w="1145" w:type="dxa"/>
          </w:tcPr>
          <w:p>
            <w:pPr/>
            <w:r>
              <w:t xml:space="preserve">214.0</w:t>
            </w:r>
          </w:p>
        </w:tc>
        <w:tc>
          <w:tcPr>
            <w:tcW w:w="1383" w:type="dxa"/>
          </w:tcPr>
          <w:p>
            <w:pPr/>
            <w:r>
              <w:t xml:space="preserve">-62.1</w:t>
            </w:r>
          </w:p>
        </w:tc>
        <w:tc>
          <w:tcPr>
            <w:tcW w:w="1854" w:type="dxa"/>
          </w:tcPr>
          <w:p>
            <w:pPr/>
            <w:r>
              <w:t xml:space="preserve">-2.3</w:t>
            </w:r>
          </w:p>
        </w:tc>
        <w:tc>
          <w:tcPr>
            <w:tcW w:w="1660" w:type="dxa"/>
          </w:tcPr>
          <w:p>
            <w:pPr/>
            <w:r>
              <w:t xml:space="preserve">-59.8</w:t>
            </w:r>
          </w:p>
        </w:tc>
      </w:tr>
      <w:tr>
        <w:tc>
          <w:tcPr>
            <w:tcW w:w="1026" w:type="dxa"/>
          </w:tcPr>
          <w:p>
            <w:pPr/>
            <w:r>
              <w:t xml:space="preserve">ST1015</w:t>
            </w:r>
          </w:p>
        </w:tc>
        <w:tc>
          <w:tcPr>
            <w:tcW w:w="988" w:type="dxa"/>
          </w:tcPr>
          <w:p>
            <w:pPr/>
            <w:r>
              <w:t xml:space="preserve">15 Oct</w:t>
            </w:r>
          </w:p>
        </w:tc>
        <w:tc>
          <w:tcPr>
            <w:tcW w:w="1303" w:type="dxa"/>
          </w:tcPr>
          <w:p>
            <w:pPr/>
            <w:r>
              <w:t xml:space="preserve">267.9</w:t>
            </w:r>
          </w:p>
        </w:tc>
        <w:tc>
          <w:tcPr>
            <w:tcW w:w="1145" w:type="dxa"/>
          </w:tcPr>
          <w:p>
            <w:pPr/>
            <w:r>
              <w:t xml:space="preserve">218.8</w:t>
            </w:r>
          </w:p>
        </w:tc>
        <w:tc>
          <w:tcPr>
            <w:tcW w:w="1383" w:type="dxa"/>
          </w:tcPr>
          <w:p>
            <w:pPr/>
            <w:r>
              <w:t xml:space="preserve">-49.1</w:t>
            </w:r>
          </w:p>
        </w:tc>
        <w:tc>
          <w:tcPr>
            <w:tcW w:w="1854" w:type="dxa"/>
          </w:tcPr>
          <w:p>
            <w:pPr/>
            <w:r>
              <w:t xml:space="preserve">-8.9</w:t>
            </w:r>
          </w:p>
        </w:tc>
        <w:tc>
          <w:tcPr>
            <w:tcW w:w="1660" w:type="dxa"/>
          </w:tcPr>
          <w:p>
            <w:pPr/>
            <w:r>
              <w:t xml:space="preserve">-40.2</w:t>
            </w:r>
          </w:p>
        </w:tc>
      </w:tr>
      <w:tr>
        <w:tc>
          <w:tcPr>
            <w:tcW w:w="1026" w:type="dxa"/>
          </w:tcPr>
          <w:p>
            <w:pPr/>
            <w:r>
              <w:t xml:space="preserve">ST1017</w:t>
            </w:r>
          </w:p>
        </w:tc>
        <w:tc>
          <w:tcPr>
            <w:tcW w:w="988" w:type="dxa"/>
          </w:tcPr>
          <w:p>
            <w:pPr/>
            <w:r>
              <w:t xml:space="preserve">15 Oct</w:t>
            </w:r>
          </w:p>
        </w:tc>
        <w:tc>
          <w:tcPr>
            <w:tcW w:w="1303" w:type="dxa"/>
          </w:tcPr>
          <w:p>
            <w:pPr/>
            <w:r>
              <w:t xml:space="preserve">267.2</w:t>
            </w:r>
          </w:p>
        </w:tc>
        <w:tc>
          <w:tcPr>
            <w:tcW w:w="1145" w:type="dxa"/>
          </w:tcPr>
          <w:p>
            <w:pPr/>
            <w:r>
              <w:t xml:space="preserve">226.1</w:t>
            </w:r>
          </w:p>
        </w:tc>
        <w:tc>
          <w:tcPr>
            <w:tcW w:w="1383" w:type="dxa"/>
          </w:tcPr>
          <w:p>
            <w:pPr/>
            <w:r>
              <w:t xml:space="preserve">-41.1</w:t>
            </w:r>
          </w:p>
        </w:tc>
        <w:tc>
          <w:tcPr>
            <w:tcW w:w="1854" w:type="dxa"/>
          </w:tcPr>
          <w:p>
            <w:pPr/>
            <w:r>
              <w:t xml:space="preserve">-8.9</w:t>
            </w:r>
          </w:p>
        </w:tc>
        <w:tc>
          <w:tcPr>
            <w:tcW w:w="1660" w:type="dxa"/>
          </w:tcPr>
          <w:p>
            <w:pPr/>
            <w:r>
              <w:t xml:space="preserve">-32.2</w:t>
            </w:r>
          </w:p>
        </w:tc>
      </w:tr>
      <w:tr>
        <w:tc>
          <w:tcPr>
            <w:tcW w:w="1026" w:type="dxa"/>
          </w:tcPr>
          <w:p>
            <w:pPr/>
            <w:r>
              <w:t xml:space="preserve">ST1018</w:t>
            </w:r>
          </w:p>
        </w:tc>
        <w:tc>
          <w:tcPr>
            <w:tcW w:w="988" w:type="dxa"/>
          </w:tcPr>
          <w:p>
            <w:pPr/>
            <w:r>
              <w:t xml:space="preserve">15 Oct</w:t>
            </w:r>
          </w:p>
        </w:tc>
        <w:tc>
          <w:tcPr>
            <w:tcW w:w="1303" w:type="dxa"/>
          </w:tcPr>
          <w:p>
            <w:pPr/>
            <w:r>
              <w:t xml:space="preserve">267.5</w:t>
            </w:r>
          </w:p>
        </w:tc>
        <w:tc>
          <w:tcPr>
            <w:tcW w:w="1145" w:type="dxa"/>
          </w:tcPr>
          <w:p>
            <w:pPr/>
            <w:r>
              <w:t xml:space="preserve">224.6</w:t>
            </w:r>
          </w:p>
        </w:tc>
        <w:tc>
          <w:tcPr>
            <w:tcW w:w="1383" w:type="dxa"/>
          </w:tcPr>
          <w:p>
            <w:pPr/>
            <w:r>
              <w:t xml:space="preserve">-42.9</w:t>
            </w:r>
          </w:p>
        </w:tc>
        <w:tc>
          <w:tcPr>
            <w:tcW w:w="1854" w:type="dxa"/>
          </w:tcPr>
          <w:p>
            <w:pPr/>
            <w:r>
              <w:t xml:space="preserve">-8.9</w:t>
            </w:r>
          </w:p>
        </w:tc>
        <w:tc>
          <w:tcPr>
            <w:tcW w:w="1660" w:type="dxa"/>
          </w:tcPr>
          <w:p>
            <w:pPr/>
            <w:r>
              <w:t xml:space="preserve">-34.0</w:t>
            </w:r>
          </w:p>
        </w:tc>
      </w:tr>
      <w:tr>
        <w:tc>
          <w:tcPr>
            <w:tcW w:w="1026" w:type="dxa"/>
          </w:tcPr>
          <w:p>
            <w:pPr/>
            <w:r>
              <w:t xml:space="preserve">ST1024</w:t>
            </w:r>
          </w:p>
        </w:tc>
        <w:tc>
          <w:tcPr>
            <w:tcW w:w="988" w:type="dxa"/>
          </w:tcPr>
          <w:p>
            <w:pPr/>
            <w:r>
              <w:t xml:space="preserve">15 Oct</w:t>
            </w:r>
          </w:p>
        </w:tc>
        <w:tc>
          <w:tcPr>
            <w:tcW w:w="1303" w:type="dxa"/>
          </w:tcPr>
          <w:p>
            <w:pPr/>
            <w:r>
              <w:t xml:space="preserve">273.8</w:t>
            </w:r>
          </w:p>
        </w:tc>
        <w:tc>
          <w:tcPr>
            <w:tcW w:w="1145" w:type="dxa"/>
          </w:tcPr>
          <w:p>
            <w:pPr/>
            <w:r>
              <w:t xml:space="preserve">217.1</w:t>
            </w:r>
          </w:p>
        </w:tc>
        <w:tc>
          <w:tcPr>
            <w:tcW w:w="1383" w:type="dxa"/>
          </w:tcPr>
          <w:p>
            <w:pPr/>
            <w:r>
              <w:t xml:space="preserve">-56.7</w:t>
            </w:r>
          </w:p>
        </w:tc>
        <w:tc>
          <w:tcPr>
            <w:tcW w:w="1854" w:type="dxa"/>
          </w:tcPr>
          <w:p>
            <w:pPr/>
            <w:r>
              <w:t xml:space="preserve">-8.9</w:t>
            </w:r>
          </w:p>
        </w:tc>
        <w:tc>
          <w:tcPr>
            <w:tcW w:w="1660" w:type="dxa"/>
          </w:tcPr>
          <w:p>
            <w:pPr/>
            <w:r>
              <w:t xml:space="preserve">-47.8</w:t>
            </w:r>
          </w:p>
        </w:tc>
      </w:tr>
    </w:tbl>
    <w:p>
      <w:pPr/>
      <w:r>
        <w:t xml:space="preserve">On average, baskets at exposed stores fell R50.0, against R3.6 at control stores, a net effect of about </w:t>
      </w:r>
      <w:r>
        <w:rPr>
          <w:b/>
        </w:rPr>
        <w:t xml:space="preserve">-R46.5 per basket</w:t>
      </w:r>
      <w:r>
        <w:t xml:space="preserve">. All 12 stores fell more than control. In the six weeks before the opening, baskets were stable, and the step down appears in the first two weeks after the opening. At these stores the top-up share rose from about 39% before the opening to about 55% after. That timing is what makes a competitor explanation credible rather than a coincidence.</w:t>
      </w:r>
    </w:p>
    <w:p>
      <w:pPr/>
      <w:r>
        <w:t xml:space="preserve">In scale terms, the 6,339 transactions at these stores after their openings represent 9.9% of all trips. A net R46.5 per basket on those trips is about R295,000 of sample revenue, around 1.7% of the sample's full-year revenue. The H1 to H2 fall in sample revenue was R348,000. This is a comparison of scale, not an exact split of the fall, because trips also rose.</w:t>
      </w:r>
    </w:p>
    <w:p>
      <w:pPr>
        <w:pStyle w:val="Heading3"/>
      </w:pPr>
      <w:r>
        <w:t xml:space="preserve">5.4 Stockouts (H2)</w:t>
      </w:r>
    </w:p>
    <w:p>
      <w:pPr/>
      <w:r>
        <w:t xml:space="preserve">All 119 stockout events are Household Cleaning, on Saturdays (60) or Sundays (59), at six stores (ST1002, ST1006, ST1024, ST1039, ST1040, ST1041), between 6 September and 20 December. Every note reads 'Replenishment gap - weekend delivery missed'.</w:t>
      </w:r>
    </w:p>
    <w:p>
      <w:pPr/>
      <w:r>
        <w:t xml:space="preserve">To compare fairly, we looked only at weekend days from 6 September at those same six stores:</w:t>
      </w:r>
    </w:p>
    <w:tbl>
      <w:tblPr>
        <w:tblStyle w:val="TableGrid"/>
        <w:tblW w:w="0" w:type="auto"/>
        <w:tblLayout w:type="fixed"/>
        <w:tblLook w:val="04A0" w:firstRow="1" w:lastRow="0" w:firstColumn="0" w:lastColumn="0" w:noHBand="0" w:noVBand="1"/>
      </w:tblPr>
      <w:tblGrid>
        <w:gridCol w:w="2334"/>
        <w:gridCol w:w="844"/>
        <w:gridCol w:w="2367"/>
        <w:gridCol w:w="2122"/>
        <w:gridCol w:w="1691"/>
      </w:tblGrid>
      <w:tr>
        <w:trPr>
          <w:tblHeader/>
        </w:trPr>
        <w:tc>
          <w:tcPr>
            <w:tcW w:w="2334" w:type="dxa"/>
            <w:shd w:val="clear" w:color="auto" w:fill="F2F2F2"/>
          </w:tcPr>
          <w:p>
            <w:pPr/>
            <w:r>
              <w:t xml:space="preserve">Weekend store-day</w:t>
            </w:r>
          </w:p>
        </w:tc>
        <w:tc>
          <w:tcPr>
            <w:tcW w:w="844" w:type="dxa"/>
            <w:shd w:val="clear" w:color="auto" w:fill="F2F2F2"/>
          </w:tcPr>
          <w:p>
            <w:pPr/>
            <w:r>
              <w:t xml:space="preserve">Trips</w:t>
            </w:r>
          </w:p>
        </w:tc>
        <w:tc>
          <w:tcPr>
            <w:tcW w:w="2367" w:type="dxa"/>
            <w:shd w:val="clear" w:color="auto" w:fill="F2F2F2"/>
          </w:tcPr>
          <w:p>
            <w:pPr/>
            <w:r>
              <w:t xml:space="preserve">Average basket (R)</w:t>
            </w:r>
          </w:p>
        </w:tc>
        <w:tc>
          <w:tcPr>
            <w:tcW w:w="2122" w:type="dxa"/>
            <w:shd w:val="clear" w:color="auto" w:fill="F2F2F2"/>
          </w:tcPr>
          <w:p>
            <w:pPr/>
            <w:r>
              <w:t xml:space="preserve">Items per basket</w:t>
            </w:r>
          </w:p>
        </w:tc>
        <w:tc>
          <w:tcPr>
            <w:tcW w:w="1691" w:type="dxa"/>
            <w:shd w:val="clear" w:color="auto" w:fill="F2F2F2"/>
          </w:tcPr>
          <w:p>
            <w:pPr/>
            <w:r>
              <w:t xml:space="preserve">Top-up share</w:t>
            </w:r>
          </w:p>
        </w:tc>
      </w:tr>
      <w:tr>
        <w:tc>
          <w:tcPr>
            <w:tcW w:w="2334" w:type="dxa"/>
          </w:tcPr>
          <w:p>
            <w:pPr/>
            <w:r>
              <w:t xml:space="preserve">No stockout</w:t>
            </w:r>
          </w:p>
        </w:tc>
        <w:tc>
          <w:tcPr>
            <w:tcW w:w="844" w:type="dxa"/>
          </w:tcPr>
          <w:p>
            <w:pPr/>
            <w:r>
              <w:t xml:space="preserve">437</w:t>
            </w:r>
          </w:p>
        </w:tc>
        <w:tc>
          <w:tcPr>
            <w:tcW w:w="2367" w:type="dxa"/>
          </w:tcPr>
          <w:p>
            <w:pPr/>
            <w:r>
              <w:t xml:space="preserve">263.92</w:t>
            </w:r>
          </w:p>
        </w:tc>
        <w:tc>
          <w:tcPr>
            <w:tcW w:w="2122" w:type="dxa"/>
          </w:tcPr>
          <w:p>
            <w:pPr/>
            <w:r>
              <w:t xml:space="preserve">12.71</w:t>
            </w:r>
          </w:p>
        </w:tc>
        <w:tc>
          <w:tcPr>
            <w:tcW w:w="1691" w:type="dxa"/>
          </w:tcPr>
          <w:p>
            <w:pPr/>
            <w:r>
              <w:t xml:space="preserve">47%</w:t>
            </w:r>
          </w:p>
        </w:tc>
      </w:tr>
      <w:tr>
        <w:tc>
          <w:tcPr>
            <w:tcW w:w="2334" w:type="dxa"/>
          </w:tcPr>
          <w:p>
            <w:pPr/>
            <w:r>
              <w:t xml:space="preserve">Stockout</w:t>
            </w:r>
          </w:p>
        </w:tc>
        <w:tc>
          <w:tcPr>
            <w:tcW w:w="844" w:type="dxa"/>
          </w:tcPr>
          <w:p>
            <w:pPr/>
            <w:r>
              <w:t xml:space="preserve">606</w:t>
            </w:r>
          </w:p>
        </w:tc>
        <w:tc>
          <w:tcPr>
            <w:tcW w:w="2367" w:type="dxa"/>
          </w:tcPr>
          <w:p>
            <w:pPr/>
            <w:r>
              <w:t xml:space="preserve">232.24</w:t>
            </w:r>
          </w:p>
        </w:tc>
        <w:tc>
          <w:tcPr>
            <w:tcW w:w="2122" w:type="dxa"/>
          </w:tcPr>
          <w:p>
            <w:pPr/>
            <w:r>
              <w:t xml:space="preserve">11.30</w:t>
            </w:r>
          </w:p>
        </w:tc>
        <w:tc>
          <w:tcPr>
            <w:tcW w:w="1691" w:type="dxa"/>
          </w:tcPr>
          <w:p>
            <w:pPr/>
            <w:r>
              <w:t xml:space="preserve">47%</w:t>
            </w:r>
          </w:p>
        </w:tc>
      </w:tr>
    </w:tbl>
    <w:p>
      <w:pPr/>
      <w:r>
        <w:t xml:space="preserve">Baskets were </w:t>
      </w:r>
      <w:r>
        <w:rPr>
          <w:b/>
        </w:rPr>
        <w:t xml:space="preserve">R31.7 (12.0%) smaller</w:t>
      </w:r>
      <w:r>
        <w:t xml:space="preserve"> on stockout days (p = 0.0045, so unlikely to be chance). Top-up share did not change, so baskets themselves shrank, which is a genuine per-trip effect rather than mix shift. But only 0.9% of all trips were affected, worth about R19,000 in the sample. It is real, but a minor driver of the chain-wide fall. One caution: ST1024 also had a competitor open in October.</w:t>
      </w:r>
    </w:p>
    <w:p>
      <w:pPr>
        <w:pStyle w:val="Heading3"/>
      </w:pPr>
      <w:r>
        <w:t xml:space="preserve">5.5 The chain-wide drift</w:t>
      </w:r>
    </w:p>
    <w:p>
      <w:pPr/>
      <w:r>
        <w:t xml:space="preserve">At the 30 stores with no competitor, top-up share still rose from 35.8% in January to 47.5% in December, and the average basket fell 7.2% from H1 to H2. So competition cannot be the whole story. Possible causes include household budget pressure, shoppers moving big shops to discounters in general (not only near these 12 stores), and changes in how people plan their shopping. </w:t>
      </w:r>
      <w:r>
        <w:rPr>
          <w:b/>
        </w:rPr>
        <w:t xml:space="preserve">None of these can be tested with this extract</w:t>
      </w:r>
      <w:r>
        <w:t xml:space="preserve">, so we label the cause as unexplained rather than guess.</w:t>
      </w:r>
    </w:p>
    <w:p>
      <w:pPr>
        <w:pStyle w:val="Heading3"/>
      </w:pPr>
      <w:r>
        <w:t xml:space="preserve">5.6 Hypotheses accepted and rejected</w:t>
      </w:r>
    </w:p>
    <w:tbl>
      <w:tblPr>
        <w:tblStyle w:val="TableGrid"/>
        <w:tblW w:w="0" w:type="auto"/>
        <w:tblLayout w:type="fixed"/>
        <w:tblLook w:val="04A0" w:firstRow="1" w:lastRow="0" w:firstColumn="0" w:lastColumn="0" w:noHBand="0" w:noVBand="1"/>
      </w:tblPr>
      <w:tblGrid>
        <w:gridCol w:w="720"/>
        <w:gridCol w:w="2054"/>
        <w:gridCol w:w="1992"/>
        <w:gridCol w:w="4594"/>
      </w:tblGrid>
      <w:tr>
        <w:trPr>
          <w:tblHeader/>
        </w:trPr>
        <w:tc>
          <w:tcPr>
            <w:tcW w:w="720" w:type="dxa"/>
            <w:shd w:val="clear" w:color="auto" w:fill="F2F2F2"/>
          </w:tcPr>
          <w:p>
            <w:pPr/>
            <w:r>
              <w:t xml:space="preserve">#</w:t>
            </w:r>
          </w:p>
        </w:tc>
        <w:tc>
          <w:tcPr>
            <w:tcW w:w="2054" w:type="dxa"/>
            <w:shd w:val="clear" w:color="auto" w:fill="F2F2F2"/>
          </w:tcPr>
          <w:p>
            <w:pPr/>
            <w:r>
              <w:t xml:space="preserve">Hypothesis</w:t>
            </w:r>
          </w:p>
        </w:tc>
        <w:tc>
          <w:tcPr>
            <w:tcW w:w="1992" w:type="dxa"/>
            <w:shd w:val="clear" w:color="auto" w:fill="F2F2F2"/>
          </w:tcPr>
          <w:p>
            <w:pPr/>
            <w:r>
              <w:t xml:space="preserve">Verdict</w:t>
            </w:r>
          </w:p>
        </w:tc>
        <w:tc>
          <w:tcPr>
            <w:tcW w:w="4594" w:type="dxa"/>
            <w:shd w:val="clear" w:color="auto" w:fill="F2F2F2"/>
          </w:tcPr>
          <w:p>
            <w:pPr/>
            <w:r>
              <w:t xml:space="preserve">Evidence</w:t>
            </w:r>
          </w:p>
        </w:tc>
      </w:tr>
      <w:tr>
        <w:tc>
          <w:tcPr>
            <w:tcW w:w="720" w:type="dxa"/>
          </w:tcPr>
          <w:p>
            <w:pPr/>
            <w:r>
              <w:t xml:space="preserve">H1</w:t>
            </w:r>
          </w:p>
        </w:tc>
        <w:tc>
          <w:tcPr>
            <w:tcW w:w="2054" w:type="dxa"/>
          </w:tcPr>
          <w:p>
            <w:pPr/>
            <w:r>
              <w:t xml:space="preserve">Nearby competitor</w:t>
            </w:r>
          </w:p>
        </w:tc>
        <w:tc>
          <w:tcPr>
            <w:tcW w:w="1992" w:type="dxa"/>
          </w:tcPr>
          <w:p>
            <w:pPr/>
            <w:r>
              <w:rPr>
                <w:b/>
              </w:rPr>
              <w:t xml:space="preserve">Supported, main identified driver</w:t>
            </w:r>
          </w:p>
        </w:tc>
        <w:tc>
          <w:tcPr>
            <w:tcW w:w="4594" w:type="dxa"/>
          </w:tcPr>
          <w:p>
            <w:pPr/>
            <w:r>
              <w:t xml:space="preserve">About -R46.5 per basket vs control, 12 of 12 stores, step at opening date</w:t>
            </w:r>
          </w:p>
        </w:tc>
      </w:tr>
      <w:tr>
        <w:tc>
          <w:tcPr>
            <w:tcW w:w="720" w:type="dxa"/>
          </w:tcPr>
          <w:p>
            <w:pPr/>
            <w:r>
              <w:t xml:space="preserve">H2</w:t>
            </w:r>
          </w:p>
        </w:tc>
        <w:tc>
          <w:tcPr>
            <w:tcW w:w="2054" w:type="dxa"/>
          </w:tcPr>
          <w:p>
            <w:pPr/>
            <w:r>
              <w:t xml:space="preserve">Stockouts</w:t>
            </w:r>
          </w:p>
        </w:tc>
        <w:tc>
          <w:tcPr>
            <w:tcW w:w="1992" w:type="dxa"/>
          </w:tcPr>
          <w:p>
            <w:pPr/>
            <w:r>
              <w:rPr>
                <w:b/>
              </w:rPr>
              <w:t xml:space="preserve">Supported, minor</w:t>
            </w:r>
          </w:p>
        </w:tc>
        <w:tc>
          <w:tcPr>
            <w:tcW w:w="4594" w:type="dxa"/>
          </w:tcPr>
          <w:p>
            <w:pPr/>
            <w:r>
              <w:t xml:space="preserve">-R31.7 (-12%) on affected store-days, 0.9% of trips</w:t>
            </w:r>
          </w:p>
        </w:tc>
      </w:tr>
      <w:tr>
        <w:tc>
          <w:tcPr>
            <w:tcW w:w="720" w:type="dxa"/>
          </w:tcPr>
          <w:p>
            <w:pPr/>
            <w:r>
              <w:t xml:space="preserve">H3</w:t>
            </w:r>
          </w:p>
        </w:tc>
        <w:tc>
          <w:tcPr>
            <w:tcW w:w="2054" w:type="dxa"/>
          </w:tcPr>
          <w:p>
            <w:pPr/>
            <w:r>
              <w:t xml:space="preserve">Trading down</w:t>
            </w:r>
          </w:p>
        </w:tc>
        <w:tc>
          <w:tcPr>
            <w:tcW w:w="1992" w:type="dxa"/>
          </w:tcPr>
          <w:p>
            <w:pPr/>
            <w:r>
              <w:rPr>
                <w:b/>
              </w:rPr>
              <w:t xml:space="preserve">Rejected</w:t>
            </w:r>
          </w:p>
        </w:tc>
        <w:tc>
          <w:tcPr>
            <w:tcW w:w="4594" w:type="dxa"/>
          </w:tcPr>
          <w:p>
            <w:pPr/>
            <w:r>
              <w:t xml:space="preserve">Rand per item rose 1.6%</w:t>
            </w:r>
          </w:p>
        </w:tc>
      </w:tr>
      <w:tr>
        <w:tc>
          <w:tcPr>
            <w:tcW w:w="720" w:type="dxa"/>
          </w:tcPr>
          <w:p>
            <w:pPr/>
            <w:r>
              <w:t xml:space="preserve">H4</w:t>
            </w:r>
          </w:p>
        </w:tc>
        <w:tc>
          <w:tcPr>
            <w:tcW w:w="2054" w:type="dxa"/>
          </w:tcPr>
          <w:p>
            <w:pPr/>
            <w:r>
              <w:t xml:space="preserve">Shift to top-up trips</w:t>
            </w:r>
          </w:p>
        </w:tc>
        <w:tc>
          <w:tcPr>
            <w:tcW w:w="1992" w:type="dxa"/>
          </w:tcPr>
          <w:p>
            <w:pPr/>
            <w:r>
              <w:rPr>
                <w:b/>
              </w:rPr>
              <w:t xml:space="preserve">Supported, dominant mechanism</w:t>
            </w:r>
          </w:p>
        </w:tc>
        <w:tc>
          <w:tcPr>
            <w:tcW w:w="4594" w:type="dxa"/>
          </w:tcPr>
          <w:p>
            <w:pPr/>
            <w:r>
              <w:t xml:space="preserve">91% of the fall; both trip types flat</w:t>
            </w:r>
          </w:p>
        </w:tc>
      </w:tr>
      <w:tr>
        <w:tc>
          <w:tcPr>
            <w:tcW w:w="720" w:type="dxa"/>
          </w:tcPr>
          <w:p>
            <w:pPr/>
            <w:r>
              <w:t xml:space="preserve">H5</w:t>
            </w:r>
          </w:p>
        </w:tc>
        <w:tc>
          <w:tcPr>
            <w:tcW w:w="2054" w:type="dxa"/>
          </w:tcPr>
          <w:p>
            <w:pPr/>
            <w:r>
              <w:t xml:space="preserve">Format or province</w:t>
            </w:r>
          </w:p>
        </w:tc>
        <w:tc>
          <w:tcPr>
            <w:tcW w:w="1992" w:type="dxa"/>
          </w:tcPr>
          <w:p>
            <w:pPr/>
            <w:r>
              <w:rPr>
                <w:b/>
              </w:rPr>
              <w:t xml:space="preserve">Mostly rejected</w:t>
            </w:r>
          </w:p>
        </w:tc>
        <w:tc>
          <w:tcPr>
            <w:tcW w:w="4594" w:type="dxa"/>
          </w:tcPr>
          <w:p>
            <w:pPr/>
            <w:r>
              <w:t xml:space="preserve">Gaps follow where competitors opened</w:t>
            </w:r>
          </w:p>
        </w:tc>
      </w:tr>
      <w:tr>
        <w:tc>
          <w:tcPr>
            <w:tcW w:w="720" w:type="dxa"/>
          </w:tcPr>
          <w:p>
            <w:pPr/>
            <w:r>
              <w:t xml:space="preserve">H6</w:t>
            </w:r>
          </w:p>
        </w:tc>
        <w:tc>
          <w:tcPr>
            <w:tcW w:w="2054" w:type="dxa"/>
          </w:tcPr>
          <w:p>
            <w:pPr/>
            <w:r>
              <w:t xml:space="preserve">Payment method, day of week</w:t>
            </w:r>
          </w:p>
        </w:tc>
        <w:tc>
          <w:tcPr>
            <w:tcW w:w="1992" w:type="dxa"/>
          </w:tcPr>
          <w:p>
            <w:pPr/>
            <w:r>
              <w:rPr>
                <w:b/>
              </w:rPr>
              <w:t xml:space="preserve">Rejected</w:t>
            </w:r>
          </w:p>
        </w:tc>
        <w:tc>
          <w:tcPr>
            <w:tcW w:w="4594" w:type="dxa"/>
          </w:tcPr>
          <w:p>
            <w:pPr/>
            <w:r>
              <w:t xml:space="preserve">All fall by similar amounts</w:t>
            </w:r>
          </w:p>
        </w:tc>
      </w:tr>
      <w:tr>
        <w:tc>
          <w:tcPr>
            <w:tcW w:w="720" w:type="dxa"/>
          </w:tcPr>
          <w:p>
            <w:pPr/>
            <w:r>
              <w:t xml:space="preserve">H7</w:t>
            </w:r>
          </w:p>
        </w:tc>
        <w:tc>
          <w:tcPr>
            <w:tcW w:w="2054" w:type="dxa"/>
          </w:tcPr>
          <w:p>
            <w:pPr/>
            <w:r>
              <w:t xml:space="preserve">Loyalty vs non-loyalty</w:t>
            </w:r>
          </w:p>
        </w:tc>
        <w:tc>
          <w:tcPr>
            <w:tcW w:w="1992" w:type="dxa"/>
          </w:tcPr>
          <w:p>
            <w:pPr/>
            <w:r>
              <w:rPr>
                <w:b/>
              </w:rPr>
              <w:t xml:space="preserve">Partly supported</w:t>
            </w:r>
          </w:p>
        </w:tc>
        <w:tc>
          <w:tcPr>
            <w:tcW w:w="4594" w:type="dxa"/>
          </w:tcPr>
          <w:p>
            <w:pPr/>
            <w:r>
              <w:t xml:space="preserve">Non-members fell 12.3%, members 7.0%. Cannot separate behaviour from shopper mix</w:t>
            </w:r>
          </w:p>
        </w:tc>
      </w:tr>
    </w:tbl>
    <w:p>
      <w:pPr>
        <w:pStyle w:val="Heading3"/>
      </w:pPr>
      <w:r>
        <w:t xml:space="preserve">5.7 How confident are we?</w:t>
      </w:r>
    </w:p>
    <w:tbl>
      <w:tblPr>
        <w:tblStyle w:val="TableGrid"/>
        <w:tblW w:w="0" w:type="auto"/>
        <w:tblLayout w:type="fixed"/>
        <w:tblLook w:val="04A0" w:firstRow="1" w:lastRow="0" w:firstColumn="0" w:lastColumn="0" w:noHBand="0" w:noVBand="1"/>
      </w:tblPr>
      <w:tblGrid>
        <w:gridCol w:w="3056"/>
        <w:gridCol w:w="1384"/>
        <w:gridCol w:w="4920"/>
      </w:tblGrid>
      <w:tr>
        <w:trPr>
          <w:tblHeader/>
        </w:trPr>
        <w:tc>
          <w:tcPr>
            <w:tcW w:w="3056" w:type="dxa"/>
            <w:shd w:val="clear" w:color="auto" w:fill="F2F2F2"/>
          </w:tcPr>
          <w:p>
            <w:pPr/>
            <w:r>
              <w:t xml:space="preserve">Finding</w:t>
            </w:r>
          </w:p>
        </w:tc>
        <w:tc>
          <w:tcPr>
            <w:tcW w:w="1384" w:type="dxa"/>
            <w:shd w:val="clear" w:color="auto" w:fill="F2F2F2"/>
          </w:tcPr>
          <w:p>
            <w:pPr/>
            <w:r>
              <w:t xml:space="preserve">Confidence</w:t>
            </w:r>
          </w:p>
        </w:tc>
        <w:tc>
          <w:tcPr>
            <w:tcW w:w="4920" w:type="dxa"/>
            <w:shd w:val="clear" w:color="auto" w:fill="F2F2F2"/>
          </w:tcPr>
          <w:p>
            <w:pPr/>
            <w:r>
              <w:t xml:space="preserve">Why</w:t>
            </w:r>
          </w:p>
        </w:tc>
      </w:tr>
      <w:tr>
        <w:tc>
          <w:tcPr>
            <w:tcW w:w="3056" w:type="dxa"/>
          </w:tcPr>
          <w:p>
            <w:pPr/>
            <w:r>
              <w:t xml:space="preserve">The decline is real and driven by trip mix</w:t>
            </w:r>
          </w:p>
        </w:tc>
        <w:tc>
          <w:tcPr>
            <w:tcW w:w="1384" w:type="dxa"/>
          </w:tcPr>
          <w:p>
            <w:pPr/>
            <w:r>
              <w:t xml:space="preserve">High</w:t>
            </w:r>
          </w:p>
        </w:tc>
        <w:tc>
          <w:tcPr>
            <w:tcW w:w="4920" w:type="dxa"/>
          </w:tcPr>
          <w:p>
            <w:pPr/>
            <w:r>
              <w:t xml:space="preserve">Large sample, consistent every month, simple decomposition</w:t>
            </w:r>
          </w:p>
        </w:tc>
      </w:tr>
      <w:tr>
        <w:tc>
          <w:tcPr>
            <w:tcW w:w="3056" w:type="dxa"/>
          </w:tcPr>
          <w:p>
            <w:pPr/>
            <w:r>
              <w:t xml:space="preserve">Competitor openings cut baskets</w:t>
            </w:r>
          </w:p>
        </w:tc>
        <w:tc>
          <w:tcPr>
            <w:tcW w:w="1384" w:type="dxa"/>
          </w:tcPr>
          <w:p>
            <w:pPr/>
            <w:r>
              <w:t xml:space="preserve">High</w:t>
            </w:r>
          </w:p>
        </w:tc>
        <w:tc>
          <w:tcPr>
            <w:tcW w:w="4920" w:type="dxa"/>
          </w:tcPr>
          <w:p>
            <w:pPr/>
            <w:r>
              <w:t xml:space="preserve">Before and after against control, 12 of 12 stores, timing matches</w:t>
            </w:r>
          </w:p>
        </w:tc>
      </w:tr>
      <w:tr>
        <w:tc>
          <w:tcPr>
            <w:tcW w:w="3056" w:type="dxa"/>
          </w:tcPr>
          <w:p>
            <w:pPr/>
            <w:r>
              <w:t xml:space="preserve">Stockouts reduce baskets</w:t>
            </w:r>
          </w:p>
        </w:tc>
        <w:tc>
          <w:tcPr>
            <w:tcW w:w="1384" w:type="dxa"/>
          </w:tcPr>
          <w:p>
            <w:pPr/>
            <w:r>
              <w:t xml:space="preserve">Medium</w:t>
            </w:r>
          </w:p>
        </w:tc>
        <w:tc>
          <w:tcPr>
            <w:tcW w:w="4920" w:type="dxa"/>
          </w:tcPr>
          <w:p>
            <w:pPr/>
            <w:r>
              <w:t xml:space="preserve">Clear effect but only 119 store-days and one store overlaps with a competitor</w:t>
            </w:r>
          </w:p>
        </w:tc>
      </w:tr>
      <w:tr>
        <w:tc>
          <w:tcPr>
            <w:tcW w:w="3056" w:type="dxa"/>
          </w:tcPr>
          <w:p>
            <w:pPr/>
            <w:r>
              <w:t xml:space="preserve">Cause of the chain-wide drift</w:t>
            </w:r>
          </w:p>
        </w:tc>
        <w:tc>
          <w:tcPr>
            <w:tcW w:w="1384" w:type="dxa"/>
          </w:tcPr>
          <w:p>
            <w:pPr/>
            <w:r>
              <w:t xml:space="preserve">Low</w:t>
            </w:r>
          </w:p>
        </w:tc>
        <w:tc>
          <w:tcPr>
            <w:tcW w:w="4920" w:type="dxa"/>
          </w:tcPr>
          <w:p>
            <w:pPr/>
            <w:r>
              <w:t xml:space="preserve">No data on prices, household budgets or competitor activity elsewhere</w:t>
            </w:r>
          </w:p>
        </w:tc>
      </w:tr>
    </w:tbl>
    <w:p>
      <w:pPr>
        <w:pStyle w:val="Heading2"/>
      </w:pPr>
      <w:r>
        <w:t xml:space="preserve">6. Root cause</w:t>
      </w:r>
    </w:p>
    <w:p>
      <w:pPr/>
      <w:r>
        <w:t xml:space="preserve">The basket is not shrinking because shoppers are buying cheaper goods or spending less on each type of trip. It is shrinking because </w:t>
      </w:r>
      <w:r>
        <w:rPr>
          <w:b/>
        </w:rPr>
        <w:t xml:space="preserve">FreshMart is losing big shops and gaining small top-ups</w:t>
      </w:r>
      <w:r>
        <w:t xml:space="preserve">. Big shops fell from 62% to 54% of trips, and the top-up share rose to half of all trips by December.</w:t>
      </w:r>
    </w:p>
    <w:p>
      <w:pPr/>
      <w:r>
        <w:t xml:space="preserve">Three things sit behind that, in order of what we can prove:</w:t>
      </w:r>
    </w:p>
    <w:p>
      <w:pPr>
        <w:pStyle w:val="ListParagraph"/>
        <w:numPr>
          <w:ilvl w:val="0"/>
          <w:numId w:val="4"/>
        </w:numPr>
      </w:pPr>
      <w:r>
        <w:rPr>
          <w:b/>
        </w:rPr>
        <w:t xml:space="preserve">A discounter opening nearby takes big shops away.</w:t>
      </w:r>
      <w:r>
        <w:t xml:space="preserve"> Proven at 12 stores, worth about R46 per basket.</w:t>
      </w:r>
    </w:p>
    <w:p>
      <w:pPr>
        <w:pStyle w:val="ListParagraph"/>
        <w:numPr>
          <w:ilvl w:val="0"/>
          <w:numId w:val="4"/>
        </w:numPr>
      </w:pPr>
      <w:r>
        <w:rPr>
          <w:b/>
        </w:rPr>
        <w:t xml:space="preserve">A slower chain-wide drift toward top-up shopping</w:t>
      </w:r>
      <w:r>
        <w:t xml:space="preserve">, seen even where no competitor opened. We see it but cannot explain it with this data.</w:t>
      </w:r>
    </w:p>
    <w:p>
      <w:pPr>
        <w:pStyle w:val="ListParagraph"/>
        <w:numPr>
          <w:ilvl w:val="0"/>
          <w:numId w:val="4"/>
        </w:numPr>
      </w:pPr>
      <w:r>
        <w:rPr>
          <w:b/>
        </w:rPr>
        <w:t xml:space="preserve">Weekend stockouts in Household Cleaning</w:t>
      </w:r>
      <w:r>
        <w:t xml:space="preserve"> shrink baskets at six stores. Proven but small.</w:t>
      </w:r>
    </w:p>
    <w:p>
      <w:pPr>
        <w:pStyle w:val="Heading2"/>
      </w:pPr>
      <w:r>
        <w:t xml:space="preserve">7. Recommendations</w:t>
      </w:r>
    </w:p>
    <w:tbl>
      <w:tblPr>
        <w:tblStyle w:val="TableGrid"/>
        <w:tblW w:w="0" w:type="auto"/>
        <w:tblLayout w:type="fixed"/>
        <w:tblLook w:val="04A0" w:firstRow="1" w:lastRow="0" w:firstColumn="0" w:lastColumn="0" w:noHBand="0" w:noVBand="1"/>
      </w:tblPr>
      <w:tblGrid>
        <w:gridCol w:w="1027"/>
        <w:gridCol w:w="2004"/>
        <w:gridCol w:w="2174"/>
        <w:gridCol w:w="1306"/>
        <w:gridCol w:w="1560"/>
        <w:gridCol w:w="1289"/>
      </w:tblGrid>
      <w:tr>
        <w:trPr>
          <w:tblHeader/>
        </w:trPr>
        <w:tc>
          <w:tcPr>
            <w:tcW w:w="1027" w:type="dxa"/>
            <w:shd w:val="clear" w:color="auto" w:fill="F2F2F2"/>
          </w:tcPr>
          <w:p>
            <w:pPr/>
            <w:r>
              <w:t xml:space="preserve">Priority</w:t>
            </w:r>
          </w:p>
        </w:tc>
        <w:tc>
          <w:tcPr>
            <w:tcW w:w="2004" w:type="dxa"/>
            <w:shd w:val="clear" w:color="auto" w:fill="F2F2F2"/>
          </w:tcPr>
          <w:p>
            <w:pPr/>
            <w:r>
              <w:t xml:space="preserve">Action</w:t>
            </w:r>
          </w:p>
        </w:tc>
        <w:tc>
          <w:tcPr>
            <w:tcW w:w="2174" w:type="dxa"/>
            <w:shd w:val="clear" w:color="auto" w:fill="F2F2F2"/>
          </w:tcPr>
          <w:p>
            <w:pPr/>
            <w:r>
              <w:t xml:space="preserve">Expected impact</w:t>
            </w:r>
          </w:p>
        </w:tc>
        <w:tc>
          <w:tcPr>
            <w:tcW w:w="1306" w:type="dxa"/>
            <w:shd w:val="clear" w:color="auto" w:fill="F2F2F2"/>
          </w:tcPr>
          <w:p>
            <w:pPr/>
            <w:r>
              <w:t xml:space="preserve">Effort and cost</w:t>
            </w:r>
          </w:p>
        </w:tc>
        <w:tc>
          <w:tcPr>
            <w:tcW w:w="1560" w:type="dxa"/>
            <w:shd w:val="clear" w:color="auto" w:fill="F2F2F2"/>
          </w:tcPr>
          <w:p>
            <w:pPr/>
            <w:r>
              <w:t xml:space="preserve">Owner</w:t>
            </w:r>
          </w:p>
        </w:tc>
        <w:tc>
          <w:tcPr>
            <w:tcW w:w="1289" w:type="dxa"/>
            <w:shd w:val="clear" w:color="auto" w:fill="F2F2F2"/>
          </w:tcPr>
          <w:p>
            <w:pPr/>
            <w:r>
              <w:t xml:space="preserve">Risks</w:t>
            </w:r>
          </w:p>
        </w:tc>
      </w:tr>
      <w:tr>
        <w:tc>
          <w:tcPr>
            <w:tcW w:w="1027" w:type="dxa"/>
          </w:tcPr>
          <w:p>
            <w:pPr/>
            <w:r>
              <w:t xml:space="preserve">1</w:t>
            </w:r>
          </w:p>
        </w:tc>
        <w:tc>
          <w:tcPr>
            <w:tcW w:w="2004" w:type="dxa"/>
          </w:tcPr>
          <w:p>
            <w:pPr/>
            <w:r>
              <w:rPr>
                <w:b/>
              </w:rPr>
              <w:t xml:space="preserve">Defend big shops at the 12 exposed stores.</w:t>
            </w:r>
            <w:r>
              <w:t xml:space="preserve"> Basket-threshold rewards and price-matching on staple lines, piloted before roll-out</w:t>
            </w:r>
          </w:p>
        </w:tc>
        <w:tc>
          <w:tcPr>
            <w:tcW w:w="2174" w:type="dxa"/>
          </w:tcPr>
          <w:p>
            <w:pPr/>
            <w:r>
              <w:t xml:space="preserve">Target: recover half of the R46 gap (about R23 per basket) within 6 months. On the sample's post-opening trips that is about R146,000, or 0.8% of sample revenue. A target to test, not a forecast</w:t>
            </w:r>
          </w:p>
        </w:tc>
        <w:tc>
          <w:tcPr>
            <w:tcW w:w="1306" w:type="dxa"/>
          </w:tcPr>
          <w:p>
            <w:pPr/>
            <w:r>
              <w:t xml:space="preserve">Medium. Main cost is discount depth, to be costed by Finance</w:t>
            </w:r>
          </w:p>
        </w:tc>
        <w:tc>
          <w:tcPr>
            <w:tcW w:w="1560" w:type="dxa"/>
          </w:tcPr>
          <w:p>
            <w:pPr/>
            <w:r>
              <w:t xml:space="preserve">Pricing Manager</w:t>
            </w:r>
          </w:p>
        </w:tc>
        <w:tc>
          <w:tcPr>
            <w:tcW w:w="1289" w:type="dxa"/>
          </w:tcPr>
          <w:p>
            <w:pPr/>
            <w:r>
              <w:t xml:space="preserve">Margin erosion. Offers may subsidise shoppers who would have stayed. Mitigate with a controlled pilot</w:t>
            </w:r>
          </w:p>
        </w:tc>
      </w:tr>
      <w:tr>
        <w:tc>
          <w:tcPr>
            <w:tcW w:w="1027" w:type="dxa"/>
          </w:tcPr>
          <w:p>
            <w:pPr/>
            <w:r>
              <w:t xml:space="preserve">2</w:t>
            </w:r>
          </w:p>
        </w:tc>
        <w:tc>
          <w:tcPr>
            <w:tcW w:w="2004" w:type="dxa"/>
          </w:tcPr>
          <w:p>
            <w:pPr/>
            <w:r>
              <w:rPr>
                <w:b/>
              </w:rPr>
              <w:t xml:space="preserve">Close the weekend replenishment gap.</w:t>
            </w:r>
            <w:r>
              <w:t xml:space="preserve"> Guarantee Saturday and Sunday Household Cleaning deliveries at the 6 affected stores</w:t>
            </w:r>
          </w:p>
        </w:tc>
        <w:tc>
          <w:tcPr>
            <w:tcW w:w="2174" w:type="dxa"/>
          </w:tcPr>
          <w:p>
            <w:pPr/>
            <w:r>
              <w:t xml:space="preserve">Removes the R32 basket penalty on affected days, about R19,000 in the sample. Small but fast</w:t>
            </w:r>
          </w:p>
        </w:tc>
        <w:tc>
          <w:tcPr>
            <w:tcW w:w="1306" w:type="dxa"/>
          </w:tcPr>
          <w:p>
            <w:pPr/>
            <w:r>
              <w:t xml:space="preserve">Low. A delivery schedule and escalation fix</w:t>
            </w:r>
          </w:p>
        </w:tc>
        <w:tc>
          <w:tcPr>
            <w:tcW w:w="1560" w:type="dxa"/>
          </w:tcPr>
          <w:p>
            <w:pPr/>
            <w:r>
              <w:t xml:space="preserve">Merchandising Lead with Store Managers</w:t>
            </w:r>
          </w:p>
        </w:tc>
        <w:tc>
          <w:tcPr>
            <w:tcW w:w="1289" w:type="dxa"/>
          </w:tcPr>
          <w:p>
            <w:pPr/>
            <w:r>
              <w:t xml:space="preserve">Low. Check that the fix does not just move the stockout to another category</w:t>
            </w:r>
          </w:p>
        </w:tc>
      </w:tr>
      <w:tr>
        <w:tc>
          <w:tcPr>
            <w:tcW w:w="1027" w:type="dxa"/>
          </w:tcPr>
          <w:p>
            <w:pPr/>
            <w:r>
              <w:t xml:space="preserve">3</w:t>
            </w:r>
          </w:p>
        </w:tc>
        <w:tc>
          <w:tcPr>
            <w:tcW w:w="2004" w:type="dxa"/>
          </w:tcPr>
          <w:p>
            <w:pPr/>
            <w:r>
              <w:rPr>
                <w:b/>
              </w:rPr>
              <w:t xml:space="preserve">Prepare for the next openings and fix loyalty data.</w:t>
            </w:r>
            <w:r>
              <w:t xml:space="preserve"> Competitor watchlist with an early-warning trigger, and loyalty ID capture at every till</w:t>
            </w:r>
          </w:p>
        </w:tc>
        <w:tc>
          <w:tcPr>
            <w:tcW w:w="2174" w:type="dxa"/>
          </w:tcPr>
          <w:p>
            <w:pPr/>
            <w:r>
              <w:t xml:space="preserve">Earlier response to new competitors. Unlocks customer-level analysis, which is what is missing to explain the chain-wide drift</w:t>
            </w:r>
          </w:p>
        </w:tc>
        <w:tc>
          <w:tcPr>
            <w:tcW w:w="1306" w:type="dxa"/>
          </w:tcPr>
          <w:p>
            <w:pPr/>
            <w:r>
              <w:t xml:space="preserve">Low to medium. Analytics set-up and till-process change</w:t>
            </w:r>
          </w:p>
        </w:tc>
        <w:tc>
          <w:tcPr>
            <w:tcW w:w="1560" w:type="dxa"/>
          </w:tcPr>
          <w:p>
            <w:pPr/>
            <w:r>
              <w:t xml:space="preserve">Head of Retail Operations</w:t>
            </w:r>
          </w:p>
        </w:tc>
        <w:tc>
          <w:tcPr>
            <w:tcW w:w="1289" w:type="dxa"/>
          </w:tcPr>
          <w:p>
            <w:pPr/>
            <w:r>
              <w:t xml:space="preserve">Slow benefit. Needs till staff and system changes</w:t>
            </w:r>
          </w:p>
        </w:tc>
      </w:tr>
    </w:tbl>
    <w:p>
      <w:pPr/>
      <w:r>
        <w:rPr>
          <w:b/>
        </w:rPr>
        <w:t xml:space="preserve">Why this order:</w:t>
      </w:r>
      <w:r>
        <w:t xml:space="preserve"> Priority 1 addresses the largest proven effect. Priority 2 is cheap and certain, so it should not wait. Priority 3 builds the capability to stay ahead of the next openings and to explain what we cannot yet explain.</w:t>
      </w:r>
    </w:p>
    <w:p>
      <w:pPr>
        <w:pStyle w:val="Heading2"/>
      </w:pPr>
      <w:r>
        <w:t xml:space="preserve">8. Success metrics and monitoring</w:t>
      </w:r>
    </w:p>
    <w:p>
      <w:pPr>
        <w:pStyle w:val="Heading3"/>
      </w:pPr>
      <w:r>
        <w:t xml:space="preserve">8.1 Targets</w:t>
      </w:r>
    </w:p>
    <w:tbl>
      <w:tblPr>
        <w:tblStyle w:val="TableGrid"/>
        <w:tblW w:w="0" w:type="auto"/>
        <w:tblLayout w:type="fixed"/>
        <w:tblLook w:val="04A0" w:firstRow="1" w:lastRow="0" w:firstColumn="0" w:lastColumn="0" w:noHBand="0" w:noVBand="1"/>
      </w:tblPr>
      <w:tblGrid>
        <w:gridCol w:w="1423"/>
        <w:gridCol w:w="3750"/>
        <w:gridCol w:w="4187"/>
      </w:tblGrid>
      <w:tr>
        <w:trPr>
          <w:tblHeader/>
        </w:trPr>
        <w:tc>
          <w:tcPr>
            <w:tcW w:w="1423" w:type="dxa"/>
            <w:shd w:val="clear" w:color="auto" w:fill="F2F2F2"/>
          </w:tcPr>
          <w:p>
            <w:pPr/>
            <w:r>
              <w:t xml:space="preserve">Type</w:t>
            </w:r>
          </w:p>
        </w:tc>
        <w:tc>
          <w:tcPr>
            <w:tcW w:w="3750" w:type="dxa"/>
            <w:shd w:val="clear" w:color="auto" w:fill="F2F2F2"/>
          </w:tcPr>
          <w:p>
            <w:pPr/>
            <w:r>
              <w:t xml:space="preserve">Metric</w:t>
            </w:r>
          </w:p>
        </w:tc>
        <w:tc>
          <w:tcPr>
            <w:tcW w:w="4187" w:type="dxa"/>
            <w:shd w:val="clear" w:color="auto" w:fill="F2F2F2"/>
          </w:tcPr>
          <w:p>
            <w:pPr/>
            <w:r>
              <w:t xml:space="preserve">Target</w:t>
            </w:r>
          </w:p>
        </w:tc>
      </w:tr>
      <w:tr>
        <w:tc>
          <w:tcPr>
            <w:tcW w:w="1423" w:type="dxa"/>
          </w:tcPr>
          <w:p>
            <w:pPr/>
            <w:r>
              <w:t xml:space="preserve">Primary</w:t>
            </w:r>
          </w:p>
        </w:tc>
        <w:tc>
          <w:tcPr>
            <w:tcW w:w="3750" w:type="dxa"/>
          </w:tcPr>
          <w:p>
            <w:pPr/>
            <w:r>
              <w:t xml:space="preserve">Average basket value at treated stores</w:t>
            </w:r>
          </w:p>
        </w:tc>
        <w:tc>
          <w:tcPr>
            <w:tcW w:w="4187" w:type="dxa"/>
          </w:tcPr>
          <w:p>
            <w:pPr/>
            <w:r>
              <w:t xml:space="preserve">Treated stores beat matched control stores by at least R15 per basket after 8 weeks (proposed threshold, to be agreed)</w:t>
            </w:r>
          </w:p>
        </w:tc>
      </w:tr>
      <w:tr>
        <w:tc>
          <w:tcPr>
            <w:tcW w:w="1423" w:type="dxa"/>
          </w:tcPr>
          <w:p>
            <w:pPr/>
            <w:r>
              <w:t xml:space="preserve">Primary</w:t>
            </w:r>
          </w:p>
        </w:tc>
        <w:tc>
          <w:tcPr>
            <w:tcW w:w="3750" w:type="dxa"/>
          </w:tcPr>
          <w:p>
            <w:pPr/>
            <w:r>
              <w:t xml:space="preserve">Top-up share of trips at treated stores</w:t>
            </w:r>
          </w:p>
        </w:tc>
        <w:tc>
          <w:tcPr>
            <w:tcW w:w="4187" w:type="dxa"/>
          </w:tcPr>
          <w:p>
            <w:pPr/>
            <w:r>
              <w:t xml:space="preserve">Stops rising and begins to fall</w:t>
            </w:r>
          </w:p>
        </w:tc>
      </w:tr>
      <w:tr>
        <w:tc>
          <w:tcPr>
            <w:tcW w:w="1423" w:type="dxa"/>
          </w:tcPr>
          <w:p>
            <w:pPr/>
            <w:r>
              <w:t xml:space="preserve">Secondary</w:t>
            </w:r>
          </w:p>
        </w:tc>
        <w:tc>
          <w:tcPr>
            <w:tcW w:w="3750" w:type="dxa"/>
          </w:tcPr>
          <w:p>
            <w:pPr/>
            <w:r>
              <w:t xml:space="preserve">Big-shop basket value, trips per store, revenue per store</w:t>
            </w:r>
          </w:p>
        </w:tc>
        <w:tc>
          <w:tcPr>
            <w:tcW w:w="4187" w:type="dxa"/>
          </w:tcPr>
          <w:p>
            <w:pPr/>
            <w:r>
              <w:t xml:space="preserve">At or above control</w:t>
            </w:r>
          </w:p>
        </w:tc>
      </w:tr>
      <w:tr>
        <w:tc>
          <w:tcPr>
            <w:tcW w:w="1423" w:type="dxa"/>
          </w:tcPr>
          <w:p>
            <w:pPr/>
            <w:r>
              <w:t xml:space="preserve">Guardrail</w:t>
            </w:r>
          </w:p>
        </w:tc>
        <w:tc>
          <w:tcPr>
            <w:tcW w:w="3750" w:type="dxa"/>
          </w:tcPr>
          <w:p>
            <w:pPr/>
            <w:r>
              <w:t xml:space="preserve">Gross margin and discount cost per basket</w:t>
            </w:r>
          </w:p>
        </w:tc>
        <w:tc>
          <w:tcPr>
            <w:tcW w:w="4187" w:type="dxa"/>
          </w:tcPr>
          <w:p>
            <w:pPr/>
            <w:r>
              <w:t xml:space="preserve">Margin loss stays within the limit Finance sets</w:t>
            </w:r>
          </w:p>
        </w:tc>
      </w:tr>
      <w:tr>
        <w:tc>
          <w:tcPr>
            <w:tcW w:w="1423" w:type="dxa"/>
          </w:tcPr>
          <w:p>
            <w:pPr/>
            <w:r>
              <w:t xml:space="preserve">Operational</w:t>
            </w:r>
          </w:p>
        </w:tc>
        <w:tc>
          <w:tcPr>
            <w:tcW w:w="3750" w:type="dxa"/>
          </w:tcPr>
          <w:p>
            <w:pPr/>
            <w:r>
              <w:t xml:space="preserve">Weekend stockout days on core categories</w:t>
            </w:r>
          </w:p>
        </w:tc>
        <w:tc>
          <w:tcPr>
            <w:tcW w:w="4187" w:type="dxa"/>
          </w:tcPr>
          <w:p>
            <w:pPr/>
            <w:r>
              <w:t xml:space="preserve">Zero at the 6 affected stores</w:t>
            </w:r>
          </w:p>
        </w:tc>
      </w:tr>
    </w:tbl>
    <w:p>
      <w:pPr>
        <w:pStyle w:val="Heading3"/>
      </w:pPr>
      <w:r>
        <w:t xml:space="preserve">8.2 A fair test</w:t>
      </w:r>
    </w:p>
    <w:p>
      <w:pPr/>
      <w:r>
        <w:t xml:space="preserve">Twelve stores are exposed, so we split them into pilot (treatment) and comparison (control) groups matched on format, province and opening date, for example six and six. We measure each store's weekly average basket for 8 weeks and compare the change against the matched control stores, the same before and after method used in Section 5.3. With only a handful of stores per group, we compare store-level weekly averages and treat the result as strong directional evidence, not a precise estimate. The same design can be repeated at stores where a competitor opens later.</w:t>
      </w:r>
    </w:p>
    <w:p>
      <w:pPr>
        <w:pStyle w:val="Heading3"/>
      </w:pPr>
      <w:r>
        <w:t xml:space="preserve">8.3 Monitoring dashboard</w:t>
      </w:r>
    </w:p>
    <w:tbl>
      <w:tblPr>
        <w:tblStyle w:val="TableGrid"/>
        <w:tblW w:w="0" w:type="auto"/>
        <w:tblLayout w:type="fixed"/>
        <w:tblLook w:val="04A0" w:firstRow="1" w:lastRow="0" w:firstColumn="0" w:lastColumn="0" w:noHBand="0" w:noVBand="1"/>
      </w:tblPr>
      <w:tblGrid>
        <w:gridCol w:w="3873"/>
        <w:gridCol w:w="1542"/>
        <w:gridCol w:w="3945"/>
      </w:tblGrid>
      <w:tr>
        <w:trPr>
          <w:tblHeader/>
        </w:trPr>
        <w:tc>
          <w:tcPr>
            <w:tcW w:w="3873" w:type="dxa"/>
            <w:shd w:val="clear" w:color="auto" w:fill="F2F2F2"/>
          </w:tcPr>
          <w:p>
            <w:pPr/>
            <w:r>
              <w:t xml:space="preserve">Metric</w:t>
            </w:r>
          </w:p>
        </w:tc>
        <w:tc>
          <w:tcPr>
            <w:tcW w:w="1542" w:type="dxa"/>
            <w:shd w:val="clear" w:color="auto" w:fill="F2F2F2"/>
          </w:tcPr>
          <w:p>
            <w:pPr/>
            <w:r>
              <w:t xml:space="preserve">Frequency</w:t>
            </w:r>
          </w:p>
        </w:tc>
        <w:tc>
          <w:tcPr>
            <w:tcW w:w="3945" w:type="dxa"/>
            <w:shd w:val="clear" w:color="auto" w:fill="F2F2F2"/>
          </w:tcPr>
          <w:p>
            <w:pPr/>
            <w:r>
              <w:t xml:space="preserve">Alert trigger</w:t>
            </w:r>
          </w:p>
        </w:tc>
      </w:tr>
      <w:tr>
        <w:tc>
          <w:tcPr>
            <w:tcW w:w="3873" w:type="dxa"/>
          </w:tcPr>
          <w:p>
            <w:pPr/>
            <w:r>
              <w:t xml:space="preserve">Top-up share of trips, by store</w:t>
            </w:r>
          </w:p>
        </w:tc>
        <w:tc>
          <w:tcPr>
            <w:tcW w:w="1542" w:type="dxa"/>
          </w:tcPr>
          <w:p>
            <w:pPr/>
            <w:r>
              <w:t xml:space="preserve">Weekly</w:t>
            </w:r>
          </w:p>
        </w:tc>
        <w:tc>
          <w:tcPr>
            <w:tcW w:w="3945" w:type="dxa"/>
          </w:tcPr>
          <w:p>
            <w:pPr/>
            <w:r>
              <w:t xml:space="preserve">Up more than 3 percentage points on a 4-week average</w:t>
            </w:r>
          </w:p>
        </w:tc>
      </w:tr>
      <w:tr>
        <w:tc>
          <w:tcPr>
            <w:tcW w:w="3873" w:type="dxa"/>
          </w:tcPr>
          <w:p>
            <w:pPr/>
            <w:r>
              <w:t xml:space="preserve">Big-shop basket value and big-shop trips, by store</w:t>
            </w:r>
          </w:p>
        </w:tc>
        <w:tc>
          <w:tcPr>
            <w:tcW w:w="1542" w:type="dxa"/>
          </w:tcPr>
          <w:p>
            <w:pPr/>
            <w:r>
              <w:t xml:space="preserve">Weekly</w:t>
            </w:r>
          </w:p>
        </w:tc>
        <w:tc>
          <w:tcPr>
            <w:tcW w:w="3945" w:type="dxa"/>
          </w:tcPr>
          <w:p>
            <w:pPr/>
            <w:r>
              <w:t xml:space="preserve">Falls against own 8-week baseline</w:t>
            </w:r>
          </w:p>
        </w:tc>
      </w:tr>
      <w:tr>
        <w:tc>
          <w:tcPr>
            <w:tcW w:w="3873" w:type="dxa"/>
          </w:tcPr>
          <w:p>
            <w:pPr/>
            <w:r>
              <w:t xml:space="preserve">Trips, average basket and revenue per store</w:t>
            </w:r>
          </w:p>
        </w:tc>
        <w:tc>
          <w:tcPr>
            <w:tcW w:w="1542" w:type="dxa"/>
          </w:tcPr>
          <w:p>
            <w:pPr/>
            <w:r>
              <w:t xml:space="preserve">Weekly</w:t>
            </w:r>
          </w:p>
        </w:tc>
        <w:tc>
          <w:tcPr>
            <w:tcW w:w="3945" w:type="dxa"/>
          </w:tcPr>
          <w:p>
            <w:pPr/>
            <w:r>
              <w:t xml:space="preserve">Basket down while trips rise</w:t>
            </w:r>
          </w:p>
        </w:tc>
      </w:tr>
      <w:tr>
        <w:tc>
          <w:tcPr>
            <w:tcW w:w="3873" w:type="dxa"/>
          </w:tcPr>
          <w:p>
            <w:pPr/>
            <w:r>
              <w:t xml:space="preserve">Weekend stockout days, by category</w:t>
            </w:r>
          </w:p>
        </w:tc>
        <w:tc>
          <w:tcPr>
            <w:tcW w:w="1542" w:type="dxa"/>
          </w:tcPr>
          <w:p>
            <w:pPr/>
            <w:r>
              <w:t xml:space="preserve">Weekly</w:t>
            </w:r>
          </w:p>
        </w:tc>
        <w:tc>
          <w:tcPr>
            <w:tcW w:w="3945" w:type="dxa"/>
          </w:tcPr>
          <w:p>
            <w:pPr/>
            <w:r>
              <w:t xml:space="preserve">Any stockout on a core category at a weekend</w:t>
            </w:r>
          </w:p>
        </w:tc>
      </w:tr>
      <w:tr>
        <w:tc>
          <w:tcPr>
            <w:tcW w:w="3873" w:type="dxa"/>
          </w:tcPr>
          <w:p>
            <w:pPr/>
            <w:r>
              <w:t xml:space="preserve">New competitor within 2 km</w:t>
            </w:r>
          </w:p>
        </w:tc>
        <w:tc>
          <w:tcPr>
            <w:tcW w:w="1542" w:type="dxa"/>
          </w:tcPr>
          <w:p>
            <w:pPr/>
            <w:r>
              <w:t xml:space="preserve">Event-driven</w:t>
            </w:r>
          </w:p>
        </w:tc>
        <w:tc>
          <w:tcPr>
            <w:tcW w:w="3945" w:type="dxa"/>
          </w:tcPr>
          <w:p>
            <w:pPr/>
            <w:r>
              <w:t xml:space="preserve">Add to watchlist and track 60 days before and after</w:t>
            </w:r>
          </w:p>
        </w:tc>
      </w:tr>
      <w:tr>
        <w:tc>
          <w:tcPr>
            <w:tcW w:w="3873" w:type="dxa"/>
          </w:tcPr>
          <w:p>
            <w:pPr/>
            <w:r>
              <w:t xml:space="preserve">Loyalty ID capture rate and repeat trips per ID</w:t>
            </w:r>
          </w:p>
        </w:tc>
        <w:tc>
          <w:tcPr>
            <w:tcW w:w="1542" w:type="dxa"/>
          </w:tcPr>
          <w:p>
            <w:pPr/>
            <w:r>
              <w:t xml:space="preserve">Monthly</w:t>
            </w:r>
          </w:p>
        </w:tc>
        <w:tc>
          <w:tcPr>
            <w:tcW w:w="3945" w:type="dxa"/>
          </w:tcPr>
          <w:p>
            <w:pPr/>
            <w:r>
              <w:t xml:space="preserve">Rate below target</w:t>
            </w:r>
          </w:p>
        </w:tc>
      </w:tr>
    </w:tbl>
    <w:p>
      <w:pPr>
        <w:pStyle w:val="Heading2"/>
      </w:pPr>
      <w:r>
        <w:t xml:space="preserve">9. Assumptions and limitations</w:t>
      </w:r>
    </w:p>
    <w:p>
      <w:pPr>
        <w:pStyle w:val="ListParagraph"/>
        <w:numPr>
          <w:ilvl w:val="0"/>
          <w:numId w:val="5"/>
        </w:numPr>
      </w:pPr>
      <w:r>
        <w:t xml:space="preserve">The extract is a </w:t>
      </w:r>
      <w:r>
        <w:rPr>
          <w:b/>
        </w:rPr>
        <w:t xml:space="preserve">sample</w:t>
      </w:r>
      <w:r>
        <w:t xml:space="preserve"> of transactions. We compare patterns and do not report total turnover.</w:t>
      </w:r>
    </w:p>
    <w:p>
      <w:pPr>
        <w:pStyle w:val="ListParagraph"/>
        <w:numPr>
          <w:ilvl w:val="0"/>
          <w:numId w:val="5"/>
        </w:numPr>
      </w:pPr>
      <w:r>
        <w:t xml:space="preserve">The data covers </w:t>
      </w:r>
      <w:r>
        <w:rPr>
          <w:b/>
        </w:rPr>
        <w:t xml:space="preserve">2025 only</w:t>
      </w:r>
      <w:r>
        <w:t xml:space="preserve">, so we compare H1 with H2. We cannot verify a year-on-year footfall figure and cannot separate seasonality from trend with certainty, although the control-store design removes common seasonal effects in Section 5.3.</w:t>
      </w:r>
    </w:p>
    <w:p>
      <w:pPr>
        <w:pStyle w:val="ListParagraph"/>
        <w:numPr>
          <w:ilvl w:val="0"/>
          <w:numId w:val="5"/>
        </w:numPr>
      </w:pPr>
      <w:r>
        <w:rPr>
          <w:b/>
        </w:rPr>
        <w:t xml:space="preserve">Loyalty IDs almost never repeat</w:t>
      </w:r>
      <w:r>
        <w:t xml:space="preserve"> (1.02 trips per ID), so we cannot follow individual customers. The conclusion rests on trip mix, not customer cohorts. We therefore cannot say whether individual shoppers switched from big shops to top-ups or whether a different type of shopper is visiting.</w:t>
      </w:r>
    </w:p>
    <w:p>
      <w:pPr>
        <w:pStyle w:val="ListParagraph"/>
        <w:numPr>
          <w:ilvl w:val="0"/>
          <w:numId w:val="5"/>
        </w:numPr>
      </w:pPr>
      <w:r>
        <w:t xml:space="preserve">The 8-item top-up cut-off is a judgement based on the shape of the distribution. The finding holds across similar cut-offs because both trip types are flat.</w:t>
      </w:r>
    </w:p>
    <w:p>
      <w:pPr>
        <w:pStyle w:val="ListParagraph"/>
        <w:numPr>
          <w:ilvl w:val="0"/>
          <w:numId w:val="5"/>
        </w:numPr>
      </w:pPr>
      <w:r>
        <w:t xml:space="preserve">Competitor stores were not chosen at random, so the control group is observational. The before and after design reduces, but does not eliminate, this risk.</w:t>
      </w:r>
    </w:p>
    <w:p>
      <w:pPr>
        <w:pStyle w:val="ListParagraph"/>
        <w:numPr>
          <w:ilvl w:val="0"/>
          <w:numId w:val="5"/>
        </w:numPr>
      </w:pPr>
      <w:r>
        <w:t xml:space="preserve">Stockout effects rest on 119 store-days, and one affected store also had a competitor open.</w:t>
      </w:r>
    </w:p>
    <w:p>
      <w:pPr>
        <w:pStyle w:val="ListParagraph"/>
        <w:numPr>
          <w:ilvl w:val="0"/>
          <w:numId w:val="5"/>
        </w:numPr>
      </w:pPr>
      <w:r>
        <w:t xml:space="preserve">Cost figures are not in the data. Cost and margin impact must be estimated by Finance before any offer is rolled out.</w:t>
      </w:r>
    </w:p>
    <w:p>
      <w:pPr>
        <w:pStyle w:val="ListParagraph"/>
        <w:numPr>
          <w:ilvl w:val="0"/>
          <w:numId w:val="5"/>
        </w:numPr>
      </w:pPr>
      <w:r>
        <w:t xml:space="preserve">The chain-wide drift is </w:t>
      </w:r>
      <w:r>
        <w:rPr>
          <w:b/>
        </w:rPr>
        <w:t xml:space="preserve">unexplained</w:t>
      </w:r>
      <w:r>
        <w:t xml:space="preserve">. Prices, competitor activity beyond the 12 stores and household-level data would be needed.</w:t>
      </w:r>
    </w:p>
    <w:p>
      <w:pPr>
        <w:pStyle w:val="Heading2"/>
      </w:pPr>
      <w:r>
        <w:t xml:space="preserve">Appendix: reproducibility</w:t>
      </w:r>
    </w:p>
    <w:p>
      <w:pPr/>
      <w:r>
        <w:t xml:space="preserve">Every number in this report comes from the notebook FreshMart_Basket_Analysis.ipynb, which reads FreshMart_Dataset.xlsx. Its sections follow this report: data quality checks, derived fields and joins, trend, trip mix and decomposition, segments, competitor before and after test, stockout test, and the loyalty ID limitation. The matching 10-slide deck presents the same findings.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FreshMart Supermarkets Why Is Our Basket Getting Smaller</dc:title>
  <dc:description>Claude Docs node/a57c1b16-a694@1 docx-w7</dc:description>
  <cp:revision>1</cp:revision>
</cp:coreProperties>
</file>