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rPr>
          <w:sz w:val="60"/>
          <w:szCs w:val="60"/>
        </w:rPr>
        <w:t xml:space="preserve">🌿</w:t>
      </w:r>
    </w:p>
    <w:p>
      <w:pPr>
        <w:spacing w:after="50"/>
      </w:pPr>
    </w:p>
    <w:p>
      <w:pPr>
        <w:spacing w:after="80"/>
        <w:jc w:val="center"/>
      </w:pPr>
      <w:r>
        <w:rPr>
          <w:rFonts w:ascii="Georgia" w:cs="Georgia" w:eastAsia="Georgia" w:hAnsi="Georgia"/>
          <w:b/>
          <w:bCs/>
          <w:color w:val="1f2937"/>
          <w:sz w:val="40"/>
          <w:szCs w:val="40"/>
        </w:rPr>
        <w:t xml:space="preserve">De Excel gubernamental a aplicación web</w:t>
      </w:r>
    </w:p>
    <w:p>
      <w:pPr>
        <w:spacing w:after="200"/>
        <w:jc w:val="center"/>
      </w:pPr>
      <w:r>
        <w:rPr>
          <w:rFonts w:ascii="Georgia" w:cs="Georgia" w:eastAsia="Georgia" w:hAnsi="Georgia"/>
          <w:color w:val="15803d"/>
          <w:sz w:val="28"/>
          <w:szCs w:val="28"/>
        </w:rPr>
        <w:t xml:space="preserve">Cómo digitalicé la calculadora de huella de carbono del MITECO</w:t>
      </w:r>
    </w:p>
    <w:p>
      <w:pPr>
        <w:spacing w:after="50"/>
        <w:jc w:val="center"/>
      </w:pPr>
      <w:r>
        <w:rPr>
          <w:rFonts w:ascii="Georgia" w:cs="Georgia" w:eastAsia="Georgia" w:hAnsi="Georgia"/>
          <w:b/>
          <w:bCs/>
          <w:color w:val="1f2937"/>
          <w:sz w:val="22"/>
          <w:szCs w:val="22"/>
        </w:rPr>
        <w:t xml:space="preserve">David Antizar</w:t>
      </w:r>
      <w:r>
        <w:rPr>
          <w:rFonts w:ascii="Georgia" w:cs="Georgia" w:eastAsia="Georgia" w:hAnsi="Georgia"/>
          <w:color w:val="6b7280"/>
          <w:sz w:val="22"/>
          <w:szCs w:val="22"/>
        </w:rPr>
        <w:t xml:space="preserve">  ·  Febrero 2026</w:t>
      </w:r>
    </w:p>
    <w:p>
      <w:pPr>
        <w:spacing w:after="100"/>
        <w:jc w:val="center"/>
      </w:pPr>
      <w:r>
        <w:rPr>
          <w:rFonts w:ascii="Georgia" w:cs="Georgia" w:eastAsia="Georgia" w:hAnsi="Georgia"/>
          <w:color w:val="2563eb"/>
          <w:sz w:val="20"/>
          <w:szCs w:val="20"/>
          <w:u w:val="single"/>
        </w:rPr>
        <w:t xml:space="preserve">github.com/Ntizar/HuelladeCarbono</w:t>
      </w:r>
    </w:p>
    <w:p>
      <w:pPr>
        <w:spacing w:before="300" w:after="300"/>
        <w:jc w:val="center"/>
      </w:pPr>
      <w:r>
        <w:rPr>
          <w:color w:val="16a34a"/>
          <w:sz w:val="22"/>
          <w:szCs w:val="22"/>
        </w:rPr>
        <w:t xml:space="preserve">───────────────────────────</w:t>
      </w:r>
    </w:p>
    <w:p>
      <w:pPr>
        <w:spacing w:before="400" w:after="150"/>
      </w:pPr>
      <w:r>
        <w:rPr>
          <w:rFonts w:ascii="Georgia" w:cs="Georgia" w:eastAsia="Georgia" w:hAnsi="Georgia"/>
          <w:b/>
          <w:bCs/>
          <w:color w:val="15803d"/>
          <w:sz w:val="28"/>
          <w:szCs w:val="28"/>
        </w:rPr>
        <w:t xml:space="preserve">El problema: una hoja de Excel para calcular algo que importa</w:t>
      </w:r>
    </w:p>
    <w:p>
      <w:pPr>
        <w:spacing w:after="150"/>
        <w:jc w:val="both"/>
      </w:pPr>
      <w:r>
        <w:rPr>
          <w:rFonts w:ascii="Georgia" w:cs="Georgia" w:eastAsia="Georgia" w:hAnsi="Georgia"/>
          <w:color w:val="1f2937"/>
          <w:sz w:val="22"/>
          <w:szCs w:val="22"/>
        </w:rPr>
        <w:t xml:space="preserve">En España, cualquier organización que quiera calcular su huella de carbono y registrarla en el Registro Nacional del MITECO tiene que usar una herramienta oficial: una hoja Excel con 13 pestañas, fórmulas ocultas en celdas protegidas y cero capacidad de colaboración.</w:t>
      </w:r>
    </w:p>
    <w:p>
      <w:pPr>
        <w:spacing w:after="150"/>
        <w:jc w:val="both"/>
      </w:pPr>
      <w:r>
        <w:rPr>
          <w:rFonts w:ascii="Georgia" w:cs="Georgia" w:eastAsia="Georgia" w:hAnsi="Georgia"/>
          <w:color w:val="1f2937"/>
          <w:sz w:val="22"/>
          <w:szCs w:val="22"/>
        </w:rPr>
        <w:t xml:space="preserve">La Calculadora de Huella de Carbono del MITECO (actualmente en su Versión 31) lleva funcionando desde 2007. Y funciona — técnicamente. Pero tiene todas las limitaciones que te puedes imaginar de un archivo .xlsx que se envía por email entre departamentos:</w:t>
      </w:r>
    </w:p>
    <w:p>
      <w:pPr>
        <w:pStyle w:val="ListParagraph"/>
        <w:numPr>
          <w:ilvl w:val="0"/>
          <w:numId w:val="1"/>
        </w:numPr>
        <w:spacing w:after="60"/>
      </w:pPr>
      <w:r>
        <w:rPr>
          <w:rFonts w:ascii="Georgia" w:cs="Georgia" w:eastAsia="Georgia" w:hAnsi="Georgia"/>
          <w:color w:val="1f2937"/>
          <w:sz w:val="22"/>
          <w:szCs w:val="22"/>
        </w:rPr>
        <w:t xml:space="preserve">Un solo usuario puede trabajar a la vez</w:t>
      </w:r>
    </w:p>
    <w:p>
      <w:pPr>
        <w:pStyle w:val="ListParagraph"/>
        <w:numPr>
          <w:ilvl w:val="0"/>
          <w:numId w:val="1"/>
        </w:numPr>
        <w:spacing w:after="60"/>
      </w:pPr>
      <w:r>
        <w:rPr>
          <w:rFonts w:ascii="Georgia" w:cs="Georgia" w:eastAsia="Georgia" w:hAnsi="Georgia"/>
          <w:color w:val="1f2937"/>
          <w:sz w:val="22"/>
          <w:szCs w:val="22"/>
        </w:rPr>
        <w:t xml:space="preserve">No hay historial de cambios — si alguien borra algo, se pierde</w:t>
      </w:r>
    </w:p>
    <w:p>
      <w:pPr>
        <w:pStyle w:val="ListParagraph"/>
        <w:numPr>
          <w:ilvl w:val="0"/>
          <w:numId w:val="1"/>
        </w:numPr>
        <w:spacing w:after="60"/>
      </w:pPr>
      <w:r>
        <w:rPr>
          <w:rFonts w:ascii="Georgia" w:cs="Georgia" w:eastAsia="Georgia" w:hAnsi="Georgia"/>
          <w:color w:val="1f2937"/>
          <w:sz w:val="22"/>
          <w:szCs w:val="22"/>
        </w:rPr>
        <w:t xml:space="preserve">Las fórmulas de cálculo están ocultas en celdas protegidas</w:t>
      </w:r>
    </w:p>
    <w:p>
      <w:pPr>
        <w:pStyle w:val="ListParagraph"/>
        <w:numPr>
          <w:ilvl w:val="0"/>
          <w:numId w:val="1"/>
        </w:numPr>
        <w:spacing w:after="60"/>
      </w:pPr>
      <w:r>
        <w:rPr>
          <w:rFonts w:ascii="Georgia" w:cs="Georgia" w:eastAsia="Georgia" w:hAnsi="Georgia"/>
          <w:color w:val="1f2937"/>
          <w:sz w:val="22"/>
          <w:szCs w:val="22"/>
        </w:rPr>
        <w:t xml:space="preserve">No valida los datos que introduces — puedes meter texto donde va un número</w:t>
      </w:r>
    </w:p>
    <w:p>
      <w:pPr>
        <w:pStyle w:val="ListParagraph"/>
        <w:numPr>
          <w:ilvl w:val="0"/>
          <w:numId w:val="1"/>
        </w:numPr>
        <w:spacing w:after="60"/>
      </w:pPr>
      <w:r>
        <w:rPr>
          <w:rFonts w:ascii="Georgia" w:cs="Georgia" w:eastAsia="Georgia" w:hAnsi="Georgia"/>
          <w:color w:val="1f2937"/>
          <w:sz w:val="22"/>
          <w:szCs w:val="22"/>
        </w:rPr>
        <w:t xml:space="preserve">No hay gráficos interactivos, ni dashboard, ni KPIs</w:t>
      </w:r>
    </w:p>
    <w:p>
      <w:pPr>
        <w:pStyle w:val="ListParagraph"/>
        <w:numPr>
          <w:ilvl w:val="0"/>
          <w:numId w:val="1"/>
        </w:numPr>
        <w:spacing w:after="60"/>
      </w:pPr>
      <w:r>
        <w:rPr>
          <w:rFonts w:ascii="Georgia" w:cs="Georgia" w:eastAsia="Georgia" w:hAnsi="Georgia"/>
          <w:color w:val="1f2937"/>
          <w:sz w:val="22"/>
          <w:szCs w:val="22"/>
        </w:rPr>
        <w:t xml:space="preserve">La única forma de compartirlo es por email, sin control de versiones</w:t>
      </w:r>
    </w:p>
    <w:p>
      <w:pPr>
        <w:spacing w:after="150"/>
        <w:jc w:val="both"/>
      </w:pPr>
      <w:r>
        <w:rPr>
          <w:rFonts w:ascii="Georgia" w:cs="Georgia" w:eastAsia="Georgia" w:hAnsi="Georgia"/>
          <w:color w:val="1f2937"/>
          <w:sz w:val="22"/>
          <w:szCs w:val="22"/>
        </w:rPr>
        <w:t xml:space="preserve">Y esto es lo que usa el gobierno español para que las empresas reporten algo tan importante como sus emisiones de CO₂.</w:t>
      </w:r>
    </w:p>
    <w:p>
      <w:pPr>
        <w:pBdr>
          <w:left w:val="single" w:color="16a34a" w:sz="6"/>
        </w:pBdr>
        <w:spacing w:before="100" w:after="200"/>
        <w:ind w:left="400"/>
      </w:pPr>
      <w:r>
        <w:rPr>
          <w:rFonts w:ascii="Georgia" w:cs="Georgia" w:eastAsia="Georgia" w:hAnsi="Georgia"/>
          <w:i/>
          <w:iCs/>
          <w:color w:val="15803d"/>
          <w:sz w:val="22"/>
          <w:szCs w:val="22"/>
        </w:rPr>
        <w:t xml:space="preserve">Digitalizar no es "pasar algo a la nube". Digitalizar bien significa repensar el flujo completo del dato: quién lo introduce, cómo se valida, cómo se calcula, quién puede verlo y cómo se auditan los cambios.</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Excel MITECO vs Dashboard ]</w:t>
      </w:r>
    </w:p>
    <w:p>
      <w:pPr>
        <w:spacing w:after="200"/>
        <w:jc w:val="center"/>
      </w:pPr>
      <w:r>
        <w:rPr>
          <w:rFonts w:ascii="Georgia" w:cs="Georgia" w:eastAsia="Georgia" w:hAnsi="Georgia"/>
          <w:i/>
          <w:iCs/>
          <w:color w:val="6b7280"/>
          <w:sz w:val="18"/>
          <w:szCs w:val="18"/>
        </w:rPr>
        <w:t xml:space="preserve">Captura del Excel original del MITECO (izquierda) y del nuevo Dashboard (derecha). Reemplazar con capturas reales de la aplicación.</w:t>
      </w:r>
    </w:p>
    <w:p>
      <w:pPr>
        <w:spacing w:before="400" w:after="150"/>
      </w:pPr>
      <w:r>
        <w:rPr>
          <w:rFonts w:ascii="Georgia" w:cs="Georgia" w:eastAsia="Georgia" w:hAnsi="Georgia"/>
          <w:b/>
          <w:bCs/>
          <w:color w:val="15803d"/>
          <w:sz w:val="28"/>
          <w:szCs w:val="28"/>
        </w:rPr>
        <w:t xml:space="preserve">Lo que construí: una aplicación web completa</w:t>
      </w:r>
    </w:p>
    <w:p>
      <w:pPr>
        <w:spacing w:after="150"/>
        <w:jc w:val="both"/>
      </w:pPr>
      <w:r>
        <w:rPr>
          <w:rFonts w:ascii="Georgia" w:cs="Georgia" w:eastAsia="Georgia" w:hAnsi="Georgia"/>
          <w:color w:val="1f2937"/>
          <w:sz w:val="22"/>
          <w:szCs w:val="22"/>
        </w:rPr>
        <w:t xml:space="preserve">Decidí reimaginar la calculadora del MITECO como lo que debería haber sido siempre: una aplicación web profesional, con validación en tiempo real, auditoría automática, gráficos interactivos y roles de usuario.</w:t>
      </w:r>
    </w:p>
    <w:p>
      <w:pPr>
        <w:spacing w:after="150"/>
        <w:jc w:val="both"/>
      </w:pPr>
      <w:r>
        <w:rPr>
          <w:rFonts w:ascii="Georgia" w:cs="Georgia" w:eastAsia="Georgia" w:hAnsi="Georgia"/>
          <w:color w:val="1f2937"/>
          <w:sz w:val="22"/>
          <w:szCs w:val="22"/>
        </w:rPr>
        <w:t xml:space="preserve">No se trata de copiar el Excel y meterlo en un navegador. Se trata de entender qué hace esa herramienta, por qué lo hace, y construir algo que haga lo mismo pero muchísimo mejor.</w:t>
      </w:r>
    </w:p>
    <w:p>
      <w:pPr>
        <w:spacing w:after="150"/>
        <w:jc w:val="both"/>
      </w:pPr>
      <w:r>
        <w:rPr>
          <w:rFonts w:ascii="Georgia" w:cs="Georgia" w:eastAsia="Georgia" w:hAnsi="Georgia"/>
          <w:color w:val="1f2937"/>
          <w:sz w:val="22"/>
          <w:szCs w:val="22"/>
        </w:rPr>
        <w:t xml:space="preserve">La herramienta cubre los dos alcances que exige el estándar GHG Protocol para huella de carbono organizacional:</w:t>
      </w:r>
    </w:p>
    <w:p>
      <w:pPr>
        <w:pStyle w:val="ListParagraph"/>
        <w:numPr>
          <w:ilvl w:val="0"/>
          <w:numId w:val="1"/>
        </w:numPr>
        <w:spacing w:after="60"/>
      </w:pPr>
      <w:r>
        <w:rPr>
          <w:rFonts w:ascii="Georgia" w:cs="Georgia" w:eastAsia="Georgia" w:hAnsi="Georgia"/>
          <w:b/>
          <w:bCs/>
          <w:color w:val="1f2937"/>
          <w:sz w:val="22"/>
          <w:szCs w:val="22"/>
        </w:rPr>
        <w:t xml:space="preserve">Alcance 1 — Emisiones directas: </w:t>
      </w:r>
      <w:r>
        <w:rPr>
          <w:rFonts w:ascii="Georgia" w:cs="Georgia" w:eastAsia="Georgia" w:hAnsi="Georgia"/>
          <w:color w:val="1f2937"/>
          <w:sz w:val="22"/>
          <w:szCs w:val="22"/>
        </w:rPr>
        <w:t xml:space="preserve">combustión en instalaciones fijas (calderas, hornos), vehículos de flota propia, gases refrigerantes en equipos de climatización y procesos industriales.</w:t>
      </w:r>
    </w:p>
    <w:p>
      <w:pPr>
        <w:pStyle w:val="ListParagraph"/>
        <w:numPr>
          <w:ilvl w:val="0"/>
          <w:numId w:val="1"/>
        </w:numPr>
        <w:spacing w:after="60"/>
      </w:pPr>
      <w:r>
        <w:rPr>
          <w:rFonts w:ascii="Georgia" w:cs="Georgia" w:eastAsia="Georgia" w:hAnsi="Georgia"/>
          <w:b/>
          <w:bCs/>
          <w:color w:val="1f2937"/>
          <w:sz w:val="22"/>
          <w:szCs w:val="22"/>
        </w:rPr>
        <w:t xml:space="preserve">Alcance 2 — Emisiones indirectas: </w:t>
      </w:r>
      <w:r>
        <w:rPr>
          <w:rFonts w:ascii="Georgia" w:cs="Georgia" w:eastAsia="Georgia" w:hAnsi="Georgia"/>
          <w:color w:val="1f2937"/>
          <w:sz w:val="22"/>
          <w:szCs w:val="22"/>
        </w:rPr>
        <w:t xml:space="preserve">consumo de electricidad adquirida, con factor de emisión específico por comercializadora según la CNMC.</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Dashboard principal ]</w:t>
      </w:r>
    </w:p>
    <w:p>
      <w:pPr>
        <w:spacing w:after="200"/>
        <w:jc w:val="center"/>
      </w:pPr>
      <w:r>
        <w:rPr>
          <w:rFonts w:ascii="Georgia" w:cs="Georgia" w:eastAsia="Georgia" w:hAnsi="Georgia"/>
          <w:i/>
          <w:iCs/>
          <w:color w:val="6b7280"/>
          <w:sz w:val="18"/>
          <w:szCs w:val="18"/>
        </w:rPr>
        <w:t xml:space="preserve">Captura del Dashboard mostrando KPIs (Total HC, Alcance 1, Alcance 2, Ratio/empleado), gráficos de barras y donas, filtros por sede/año/alcance/contaminante.</w:t>
      </w:r>
    </w:p>
    <w:p>
      <w:pPr>
        <w:spacing w:before="400" w:after="150"/>
      </w:pPr>
      <w:r>
        <w:rPr>
          <w:rFonts w:ascii="Georgia" w:cs="Georgia" w:eastAsia="Georgia" w:hAnsi="Georgia"/>
          <w:b/>
          <w:bCs/>
          <w:color w:val="15803d"/>
          <w:sz w:val="28"/>
          <w:szCs w:val="28"/>
        </w:rPr>
        <w:t xml:space="preserve">Antes y después: Excel vs aplicación web</w:t>
      </w:r>
    </w:p>
    <w:p>
      <w:pPr>
        <w:spacing w:after="150"/>
        <w:jc w:val="both"/>
      </w:pPr>
      <w:r>
        <w:rPr>
          <w:rFonts w:ascii="Georgia" w:cs="Georgia" w:eastAsia="Georgia" w:hAnsi="Georgia"/>
          <w:color w:val="1f2937"/>
          <w:sz w:val="22"/>
          <w:szCs w:val="22"/>
        </w:rPr>
        <w:t xml:space="preserve">Esta tabla resume los cambios principales. Cada fila es una limitación real del Excel que ahora tiene solución: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5803d" w:val="clear"/>
            <w:vAlign w:val="center"/>
          </w:tcPr>
          <w:p>
            <w:pPr>
              <w:jc w:val="center"/>
            </w:pPr>
            <w:r>
              <w:rPr>
                <w:rFonts w:ascii="Georgia" w:cs="Georgia" w:eastAsia="Georgia" w:hAnsi="Georgia"/>
                <w:b/>
                <w:bCs/>
                <w:color w:val="ffffff"/>
                <w:sz w:val="20"/>
                <w:szCs w:val="20"/>
              </w:rPr>
              <w:t xml:space="preserve">Excel MITECO V.31 ❌</w:t>
            </w:r>
          </w:p>
        </w:tc>
        <w:tc>
          <w:tcPr>
            <w:tcW w:type="pct" w:w="50%"/>
            <w:shd w:fill="15803d" w:val="clear"/>
            <w:vAlign w:val="center"/>
          </w:tcPr>
          <w:p>
            <w:pPr>
              <w:jc w:val="center"/>
            </w:pPr>
            <w:r>
              <w:rPr>
                <w:rFonts w:ascii="Georgia" w:cs="Georgia" w:eastAsia="Georgia" w:hAnsi="Georgia"/>
                <w:b/>
                <w:bCs/>
                <w:color w:val="ffffff"/>
                <w:sz w:val="20"/>
                <w:szCs w:val="20"/>
              </w:rPr>
              <w:t xml:space="preserve">Nueva herramienta web ✅</w:t>
            </w:r>
          </w:p>
        </w:tc>
      </w:tr>
      <w:tr>
        <w:tc>
          <w:tcPr>
            <w:tcW w:type="pct" w:w="50%"/>
            <w:shd w:fill="ffffff" w:val="clear"/>
          </w:tcPr>
          <w:p>
            <w:pPr>
              <w:spacing w:after="40"/>
            </w:pPr>
            <w:r>
              <w:rPr>
                <w:rFonts w:ascii="Georgia" w:cs="Georgia" w:eastAsia="Georgia" w:hAnsi="Georgia"/>
                <w:color w:val="1f2937"/>
                <w:sz w:val="19"/>
                <w:szCs w:val="19"/>
              </w:rPr>
              <w:t xml:space="preserve">Archivo .xlsx local, un solo usuario</w:t>
            </w:r>
          </w:p>
        </w:tc>
        <w:tc>
          <w:tcPr>
            <w:tcW w:type="pct" w:w="50%"/>
            <w:shd w:fill="f0fdf4" w:val="clear"/>
          </w:tcPr>
          <w:p>
            <w:pPr>
              <w:spacing w:after="40"/>
            </w:pPr>
            <w:r>
              <w:rPr>
                <w:rFonts w:ascii="Georgia" w:cs="Georgia" w:eastAsia="Georgia" w:hAnsi="Georgia"/>
                <w:color w:val="1f2937"/>
                <w:sz w:val="19"/>
                <w:szCs w:val="19"/>
              </w:rPr>
              <w:t xml:space="preserve">App web accesible desde cualquier navegador, multi-usuario</w:t>
            </w:r>
          </w:p>
        </w:tc>
      </w:tr>
      <w:tr>
        <w:tc>
          <w:tcPr>
            <w:tcW w:type="pct" w:w="50%"/>
            <w:shd w:fill="f3f4f6" w:val="clear"/>
          </w:tcPr>
          <w:p>
            <w:pPr>
              <w:spacing w:after="40"/>
            </w:pPr>
            <w:r>
              <w:rPr>
                <w:rFonts w:ascii="Georgia" w:cs="Georgia" w:eastAsia="Georgia" w:hAnsi="Georgia"/>
                <w:color w:val="1f2937"/>
                <w:sz w:val="19"/>
                <w:szCs w:val="19"/>
              </w:rPr>
              <w:t xml:space="preserve">Sin historial de cambios ni auditoría</w:t>
            </w:r>
          </w:p>
        </w:tc>
        <w:tc>
          <w:tcPr>
            <w:tcW w:type="pct" w:w="50%"/>
            <w:shd w:fill="e8fbe8" w:val="clear"/>
          </w:tcPr>
          <w:p>
            <w:pPr>
              <w:spacing w:after="40"/>
            </w:pPr>
            <w:r>
              <w:rPr>
                <w:rFonts w:ascii="Georgia" w:cs="Georgia" w:eastAsia="Georgia" w:hAnsi="Georgia"/>
                <w:color w:val="1f2937"/>
                <w:sz w:val="19"/>
                <w:szCs w:val="19"/>
              </w:rPr>
              <w:t xml:space="preserve">Log completo de cada acción con timestamp y usuario</w:t>
            </w:r>
          </w:p>
        </w:tc>
      </w:tr>
      <w:tr>
        <w:tc>
          <w:tcPr>
            <w:tcW w:type="pct" w:w="50%"/>
            <w:shd w:fill="ffffff" w:val="clear"/>
          </w:tcPr>
          <w:p>
            <w:pPr>
              <w:spacing w:after="40"/>
            </w:pPr>
            <w:r>
              <w:rPr>
                <w:rFonts w:ascii="Georgia" w:cs="Georgia" w:eastAsia="Georgia" w:hAnsi="Georgia"/>
                <w:color w:val="1f2937"/>
                <w:sz w:val="19"/>
                <w:szCs w:val="19"/>
              </w:rPr>
              <w:t xml:space="preserve">Fórmulas ocultas en celdas protegidas</w:t>
            </w:r>
          </w:p>
        </w:tc>
        <w:tc>
          <w:tcPr>
            <w:tcW w:type="pct" w:w="50%"/>
            <w:shd w:fill="f0fdf4" w:val="clear"/>
          </w:tcPr>
          <w:p>
            <w:pPr>
              <w:spacing w:after="40"/>
            </w:pPr>
            <w:r>
              <w:rPr>
                <w:rFonts w:ascii="Georgia" w:cs="Georgia" w:eastAsia="Georgia" w:hAnsi="Georgia"/>
                <w:color w:val="1f2937"/>
                <w:sz w:val="19"/>
                <w:szCs w:val="19"/>
              </w:rPr>
              <w:t xml:space="preserve">Motor de cálculo transparente y testado con tests unitarios</w:t>
            </w:r>
          </w:p>
        </w:tc>
      </w:tr>
      <w:tr>
        <w:tc>
          <w:tcPr>
            <w:tcW w:type="pct" w:w="50%"/>
            <w:shd w:fill="f3f4f6" w:val="clear"/>
          </w:tcPr>
          <w:p>
            <w:pPr>
              <w:spacing w:after="40"/>
            </w:pPr>
            <w:r>
              <w:rPr>
                <w:rFonts w:ascii="Georgia" w:cs="Georgia" w:eastAsia="Georgia" w:hAnsi="Georgia"/>
                <w:color w:val="1f2937"/>
                <w:sz w:val="19"/>
                <w:szCs w:val="19"/>
              </w:rPr>
              <w:t xml:space="preserve">Sin validación de datos al introducirlos</w:t>
            </w:r>
          </w:p>
        </w:tc>
        <w:tc>
          <w:tcPr>
            <w:tcW w:type="pct" w:w="50%"/>
            <w:shd w:fill="e8fbe8" w:val="clear"/>
          </w:tcPr>
          <w:p>
            <w:pPr>
              <w:spacing w:after="40"/>
            </w:pPr>
            <w:r>
              <w:rPr>
                <w:rFonts w:ascii="Georgia" w:cs="Georgia" w:eastAsia="Georgia" w:hAnsi="Georgia"/>
                <w:color w:val="1f2937"/>
                <w:sz w:val="19"/>
                <w:szCs w:val="19"/>
              </w:rPr>
              <w:t xml:space="preserve">Validación instantánea con schemas Zod</w:t>
            </w:r>
          </w:p>
        </w:tc>
      </w:tr>
      <w:tr>
        <w:tc>
          <w:tcPr>
            <w:tcW w:type="pct" w:w="50%"/>
            <w:shd w:fill="ffffff" w:val="clear"/>
          </w:tcPr>
          <w:p>
            <w:pPr>
              <w:spacing w:after="40"/>
            </w:pPr>
            <w:r>
              <w:rPr>
                <w:rFonts w:ascii="Georgia" w:cs="Georgia" w:eastAsia="Georgia" w:hAnsi="Georgia"/>
                <w:color w:val="1f2937"/>
                <w:sz w:val="19"/>
                <w:szCs w:val="19"/>
              </w:rPr>
              <w:t xml:space="preserve">Solo exporta a .xlsx</w:t>
            </w:r>
          </w:p>
        </w:tc>
        <w:tc>
          <w:tcPr>
            <w:tcW w:type="pct" w:w="50%"/>
            <w:shd w:fill="f0fdf4" w:val="clear"/>
          </w:tcPr>
          <w:p>
            <w:pPr>
              <w:spacing w:after="40"/>
            </w:pPr>
            <w:r>
              <w:rPr>
                <w:rFonts w:ascii="Georgia" w:cs="Georgia" w:eastAsia="Georgia" w:hAnsi="Georgia"/>
                <w:color w:val="1f2937"/>
                <w:sz w:val="19"/>
                <w:szCs w:val="19"/>
              </w:rPr>
              <w:t xml:space="preserve">Exporta a Excel, CSV, JSON y PDF</w:t>
            </w:r>
          </w:p>
        </w:tc>
      </w:tr>
      <w:tr>
        <w:tc>
          <w:tcPr>
            <w:tcW w:type="pct" w:w="50%"/>
            <w:shd w:fill="f3f4f6" w:val="clear"/>
          </w:tcPr>
          <w:p>
            <w:pPr>
              <w:spacing w:after="40"/>
            </w:pPr>
            <w:r>
              <w:rPr>
                <w:rFonts w:ascii="Georgia" w:cs="Georgia" w:eastAsia="Georgia" w:hAnsi="Georgia"/>
                <w:color w:val="1f2937"/>
                <w:sz w:val="19"/>
                <w:szCs w:val="19"/>
              </w:rPr>
              <w:t xml:space="preserve">Sin gráficos interactivos</w:t>
            </w:r>
          </w:p>
        </w:tc>
        <w:tc>
          <w:tcPr>
            <w:tcW w:type="pct" w:w="50%"/>
            <w:shd w:fill="e8fbe8" w:val="clear"/>
          </w:tcPr>
          <w:p>
            <w:pPr>
              <w:spacing w:after="40"/>
            </w:pPr>
            <w:r>
              <w:rPr>
                <w:rFonts w:ascii="Georgia" w:cs="Georgia" w:eastAsia="Georgia" w:hAnsi="Georgia"/>
                <w:color w:val="1f2937"/>
                <w:sz w:val="19"/>
                <w:szCs w:val="19"/>
              </w:rPr>
              <w:t xml:space="preserve">Dashboard con KPIs, gráficos de barras, donas, comparativas</w:t>
            </w:r>
          </w:p>
        </w:tc>
      </w:tr>
      <w:tr>
        <w:tc>
          <w:tcPr>
            <w:tcW w:type="pct" w:w="50%"/>
            <w:shd w:fill="ffffff" w:val="clear"/>
          </w:tcPr>
          <w:p>
            <w:pPr>
              <w:spacing w:after="40"/>
            </w:pPr>
            <w:r>
              <w:rPr>
                <w:rFonts w:ascii="Georgia" w:cs="Georgia" w:eastAsia="Georgia" w:hAnsi="Georgia"/>
                <w:color w:val="1f2937"/>
                <w:sz w:val="19"/>
                <w:szCs w:val="19"/>
              </w:rPr>
              <w:t xml:space="preserve">13 pestañas complejas de Excel</w:t>
            </w:r>
          </w:p>
        </w:tc>
        <w:tc>
          <w:tcPr>
            <w:tcW w:type="pct" w:w="50%"/>
            <w:shd w:fill="f0fdf4" w:val="clear"/>
          </w:tcPr>
          <w:p>
            <w:pPr>
              <w:spacing w:after="40"/>
            </w:pPr>
            <w:r>
              <w:rPr>
                <w:rFonts w:ascii="Georgia" w:cs="Georgia" w:eastAsia="Georgia" w:hAnsi="Georgia"/>
                <w:color w:val="1f2937"/>
                <w:sz w:val="19"/>
                <w:szCs w:val="19"/>
              </w:rPr>
              <w:t xml:space="preserve">UI moderna con 13 secciones intuitivas y responsive</w:t>
            </w:r>
          </w:p>
        </w:tc>
      </w:tr>
      <w:tr>
        <w:tc>
          <w:tcPr>
            <w:tcW w:type="pct" w:w="50%"/>
            <w:shd w:fill="f3f4f6" w:val="clear"/>
          </w:tcPr>
          <w:p>
            <w:pPr>
              <w:spacing w:after="40"/>
            </w:pPr>
            <w:r>
              <w:rPr>
                <w:rFonts w:ascii="Georgia" w:cs="Georgia" w:eastAsia="Georgia" w:hAnsi="Georgia"/>
                <w:color w:val="1f2937"/>
                <w:sz w:val="19"/>
                <w:szCs w:val="19"/>
              </w:rPr>
              <w:t xml:space="preserve">Sin control de acceso ni seguridad</w:t>
            </w:r>
          </w:p>
        </w:tc>
        <w:tc>
          <w:tcPr>
            <w:tcW w:type="pct" w:w="50%"/>
            <w:shd w:fill="e8fbe8" w:val="clear"/>
          </w:tcPr>
          <w:p>
            <w:pPr>
              <w:spacing w:after="40"/>
            </w:pPr>
            <w:r>
              <w:rPr>
                <w:rFonts w:ascii="Georgia" w:cs="Georgia" w:eastAsia="Georgia" w:hAnsi="Georgia"/>
                <w:color w:val="1f2937"/>
                <w:sz w:val="19"/>
                <w:szCs w:val="19"/>
              </w:rPr>
              <w:t xml:space="preserve">Autenticación segura con 3 roles diferenciados</w:t>
            </w:r>
          </w:p>
        </w:tc>
      </w:tr>
    </w:tbl>
    <w:p>
      <w:pPr>
        <w:spacing w:after="100"/>
      </w:pP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Formulario de Alcance 1 — Instalaciones fijas ]</w:t>
      </w:r>
    </w:p>
    <w:p>
      <w:pPr>
        <w:spacing w:after="200"/>
        <w:jc w:val="center"/>
      </w:pPr>
      <w:r>
        <w:rPr>
          <w:rFonts w:ascii="Georgia" w:cs="Georgia" w:eastAsia="Georgia" w:hAnsi="Georgia"/>
          <w:i/>
          <w:iCs/>
          <w:color w:val="6b7280"/>
          <w:sz w:val="18"/>
          <w:szCs w:val="18"/>
        </w:rPr>
        <w:t xml:space="preserve">Captura del formulario de combustión fija con selector de sede, selector de combustible, cantidad, y vista previa del cálculo automático.</w:t>
      </w:r>
    </w:p>
    <w:p>
      <w:pPr>
        <w:spacing w:before="400" w:after="150"/>
      </w:pPr>
      <w:r>
        <w:rPr>
          <w:rFonts w:ascii="Georgia" w:cs="Georgia" w:eastAsia="Georgia" w:hAnsi="Georgia"/>
          <w:b/>
          <w:bCs/>
          <w:color w:val="15803d"/>
          <w:sz w:val="28"/>
          <w:szCs w:val="28"/>
        </w:rPr>
        <w:t xml:space="preserve">Los cálculos: las mismas fórmulas del MITECO, pero transparentes</w:t>
      </w:r>
    </w:p>
    <w:p>
      <w:pPr>
        <w:spacing w:after="150"/>
        <w:jc w:val="both"/>
      </w:pPr>
      <w:r>
        <w:rPr>
          <w:rFonts w:ascii="Georgia" w:cs="Georgia" w:eastAsia="Georgia" w:hAnsi="Georgia"/>
          <w:color w:val="1f2937"/>
          <w:sz w:val="22"/>
          <w:szCs w:val="22"/>
        </w:rPr>
        <w:t xml:space="preserve">Las fórmulas que usa mi herramienta son exactamente las del MITECO V.31, con los Potenciales de Calentamiento Atmosférico (PCA) del Sexto Informe del IPCC (AR6, 2021). La diferencia es que aquí puedes verlas, entenderlas y verificarlas.</w:t>
      </w:r>
    </w:p>
    <w:p>
      <w:pPr>
        <w:spacing w:before="300" w:after="100"/>
      </w:pPr>
      <w:r>
        <w:rPr>
          <w:rFonts w:ascii="Georgia" w:cs="Georgia" w:eastAsia="Georgia" w:hAnsi="Georgia"/>
          <w:b/>
          <w:bCs/>
          <w:color w:val="1f2937"/>
          <w:sz w:val="24"/>
          <w:szCs w:val="24"/>
        </w:rPr>
        <w:t xml:space="preserve">Combustión fija y vehículos</w:t>
      </w:r>
    </w:p>
    <w:p>
      <w:pPr>
        <w:spacing w:after="150"/>
        <w:jc w:val="both"/>
      </w:pPr>
      <w:r>
        <w:rPr>
          <w:rFonts w:ascii="Georgia" w:cs="Georgia" w:eastAsia="Georgia" w:hAnsi="Georgia"/>
          <w:color w:val="1f2937"/>
          <w:sz w:val="22"/>
          <w:szCs w:val="22"/>
        </w:rPr>
        <w:t xml:space="preserve">Cada combustible tiene tres factores de emisión: uno para CO₂, otro para CH₄ y otro para N₂O. La fórmula multiplica la cantidad consumida por cada factor y convierte los tres gases a CO₂-equivalente:</w:t>
      </w:r>
    </w:p>
    <w:p>
      <w:pPr>
        <w:shd w:fill="f3f4f6" w:val="clear"/>
        <w:spacing w:before="100" w:after="150"/>
        <w:ind w:left="200" w:right="200"/>
      </w:pPr>
      <w:r>
        <w:rPr>
          <w:rFonts w:ascii="Consolas" w:cs="Consolas" w:eastAsia="Consolas" w:hAnsi="Consolas"/>
          <w:color w:val="1f2937"/>
          <w:sz w:val="20"/>
          <w:szCs w:val="20"/>
        </w:rPr>
        <w:t xml:space="preserve">Emisiones CO₂  = Cantidad × FE_CO₂  (kg CO₂/unidad)</w:t>
      </w:r>
    </w:p>
    <w:p>
      <w:pPr>
        <w:shd w:fill="f3f4f6" w:val="clear"/>
        <w:spacing w:before="100" w:after="150"/>
        <w:ind w:left="200" w:right="200"/>
      </w:pPr>
      <w:r>
        <w:rPr>
          <w:rFonts w:ascii="Consolas" w:cs="Consolas" w:eastAsia="Consolas" w:hAnsi="Consolas"/>
          <w:color w:val="1f2937"/>
          <w:sz w:val="20"/>
          <w:szCs w:val="20"/>
        </w:rPr>
        <w:t xml:space="preserve">Emisiones CH₄  = Cantidad × FE_CH₄  (kg) × 27,9  (PCA)</w:t>
      </w:r>
    </w:p>
    <w:p>
      <w:pPr>
        <w:shd w:fill="f3f4f6" w:val="clear"/>
        <w:spacing w:before="100" w:after="150"/>
        <w:ind w:left="200" w:right="200"/>
      </w:pPr>
      <w:r>
        <w:rPr>
          <w:rFonts w:ascii="Consolas" w:cs="Consolas" w:eastAsia="Consolas" w:hAnsi="Consolas"/>
          <w:color w:val="1f2937"/>
          <w:sz w:val="20"/>
          <w:szCs w:val="20"/>
        </w:rPr>
        <w:t xml:space="preserve">Emisiones N₂O  = Cantidad × FE_N₂O  (kg) × 273   (PCA)</w:t>
      </w:r>
    </w:p>
    <w:p>
      <w:pPr>
        <w:shd w:fill="f3f4f6" w:val="clear"/>
        <w:spacing w:before="100" w:after="150"/>
        <w:ind w:left="200" w:right="200"/>
      </w:pPr>
      <w:r>
        <w:rPr>
          <w:rFonts w:ascii="Consolas" w:cs="Consolas" w:eastAsia="Consolas" w:hAnsi="Consolas"/>
          <w:color w:val="1f2937"/>
          <w:sz w:val="20"/>
          <w:szCs w:val="20"/>
        </w:rPr>
        <w:t xml:space="preserve">Total (kg CO₂e) = CO₂ + CH₄ como CO₂e + N₂O como CO₂e</w:t>
      </w:r>
    </w:p>
    <w:p>
      <w:pPr>
        <w:spacing w:after="150"/>
        <w:jc w:val="both"/>
      </w:pPr>
      <w:r>
        <w:rPr>
          <w:rFonts w:ascii="Georgia" w:cs="Georgia" w:eastAsia="Georgia" w:hAnsi="Georgia"/>
          <w:color w:val="1f2937"/>
          <w:sz w:val="22"/>
          <w:szCs w:val="22"/>
        </w:rPr>
        <w:t xml:space="preserve">Los PCA del AR6 del IPCC son: CH₄ = 27,9 (cada kilo de metano calienta como 27,9 kg de CO₂ a 100 años) y N₂O = 273 (cada kilo de óxido nitroso equivale a 273 kg de CO₂).</w:t>
      </w:r>
    </w:p>
    <w:p>
      <w:pPr>
        <w:shd w:fill="f0fdf4" w:val="clear"/>
        <w:spacing w:before="100" w:after="200"/>
        <w:ind w:left="200" w:right="200"/>
      </w:pPr>
      <w:r>
        <w:rPr>
          <w:rFonts w:ascii="Georgia" w:cs="Georgia" w:eastAsia="Georgia" w:hAnsi="Georgia"/>
          <w:b/>
          <w:bCs/>
          <w:color w:val="1f2937"/>
          <w:sz w:val="22"/>
          <w:szCs w:val="22"/>
        </w:rPr>
        <w:t xml:space="preserve">Ejemplo: </w:t>
      </w:r>
      <w:r>
        <w:rPr>
          <w:rFonts w:ascii="Georgia" w:cs="Georgia" w:eastAsia="Georgia" w:hAnsi="Georgia"/>
          <w:color w:val="1f2937"/>
          <w:sz w:val="22"/>
          <w:szCs w:val="22"/>
        </w:rPr>
        <w:t xml:space="preserve">50.000 kWh de Gas Natural → (50.000 × 0,202) + (50.000 × 0,00004 × 27,9) + (50.000 × 0,00001 × 273) = 10.100 + 55,8 + 136,5 = </w:t>
      </w:r>
      <w:r>
        <w:rPr>
          <w:rFonts w:ascii="Georgia" w:cs="Georgia" w:eastAsia="Georgia" w:hAnsi="Georgia"/>
          <w:b/>
          <w:bCs/>
          <w:color w:val="15803d"/>
          <w:sz w:val="22"/>
          <w:szCs w:val="22"/>
        </w:rPr>
        <w:t xml:space="preserve">10.292 kg CO₂e = 10,29 t CO₂e</w:t>
      </w:r>
    </w:p>
    <w:p>
      <w:pPr>
        <w:spacing w:before="300" w:after="100"/>
      </w:pPr>
      <w:r>
        <w:rPr>
          <w:rFonts w:ascii="Georgia" w:cs="Georgia" w:eastAsia="Georgia" w:hAnsi="Georgia"/>
          <w:b/>
          <w:bCs/>
          <w:color w:val="1f2937"/>
          <w:sz w:val="24"/>
          <w:szCs w:val="24"/>
        </w:rPr>
        <w:t xml:space="preserve">Factores de emisión cargados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803d" w:val="clear"/>
          </w:tcPr>
          <w:p>
            <w:pPr>
              <w:jc w:val="center"/>
            </w:pPr>
            <w:r>
              <w:rPr>
                <w:rFonts w:ascii="Georgia" w:cs="Georgia" w:eastAsia="Georgia" w:hAnsi="Georgia"/>
                <w:b/>
                <w:bCs/>
                <w:color w:val="ffffff"/>
                <w:sz w:val="18"/>
                <w:szCs w:val="18"/>
              </w:rPr>
              <w:t xml:space="preserve">Combustible</w:t>
            </w:r>
          </w:p>
        </w:tc>
        <w:tc>
          <w:tcPr>
            <w:shd w:fill="15803d" w:val="clear"/>
          </w:tcPr>
          <w:p>
            <w:pPr>
              <w:jc w:val="center"/>
            </w:pPr>
            <w:r>
              <w:rPr>
                <w:rFonts w:ascii="Georgia" w:cs="Georgia" w:eastAsia="Georgia" w:hAnsi="Georgia"/>
                <w:b/>
                <w:bCs/>
                <w:color w:val="ffffff"/>
                <w:sz w:val="18"/>
                <w:szCs w:val="18"/>
              </w:rPr>
              <w:t xml:space="preserve">Unidad</w:t>
            </w:r>
          </w:p>
        </w:tc>
        <w:tc>
          <w:tcPr>
            <w:shd w:fill="15803d" w:val="clear"/>
          </w:tcPr>
          <w:p>
            <w:pPr>
              <w:jc w:val="center"/>
            </w:pPr>
            <w:r>
              <w:rPr>
                <w:rFonts w:ascii="Georgia" w:cs="Georgia" w:eastAsia="Georgia" w:hAnsi="Georgia"/>
                <w:b/>
                <w:bCs/>
                <w:color w:val="ffffff"/>
                <w:sz w:val="18"/>
                <w:szCs w:val="18"/>
              </w:rPr>
              <w:t xml:space="preserve">FE CO₂ (kg)</w:t>
            </w:r>
          </w:p>
        </w:tc>
        <w:tc>
          <w:tcPr>
            <w:shd w:fill="15803d" w:val="clear"/>
          </w:tcPr>
          <w:p>
            <w:pPr>
              <w:jc w:val="center"/>
            </w:pPr>
            <w:r>
              <w:rPr>
                <w:rFonts w:ascii="Georgia" w:cs="Georgia" w:eastAsia="Georgia" w:hAnsi="Georgia"/>
                <w:b/>
                <w:bCs/>
                <w:color w:val="ffffff"/>
                <w:sz w:val="18"/>
                <w:szCs w:val="18"/>
              </w:rPr>
              <w:t xml:space="preserve">FE CH₄ (kg)</w:t>
            </w:r>
          </w:p>
        </w:tc>
        <w:tc>
          <w:tcPr>
            <w:shd w:fill="15803d" w:val="clear"/>
          </w:tcPr>
          <w:p>
            <w:pPr>
              <w:jc w:val="center"/>
            </w:pPr>
            <w:r>
              <w:rPr>
                <w:rFonts w:ascii="Georgia" w:cs="Georgia" w:eastAsia="Georgia" w:hAnsi="Georgia"/>
                <w:b/>
                <w:bCs/>
                <w:color w:val="ffffff"/>
                <w:sz w:val="18"/>
                <w:szCs w:val="18"/>
              </w:rPr>
              <w:t xml:space="preserve">FE N₂O (kg)</w:t>
            </w:r>
          </w:p>
        </w:tc>
      </w:tr>
      <w:tr>
        <w:tc>
          <w:tcPr>
            <w:shd w:fill="ffffff" w:val="clear"/>
          </w:tcPr>
          <w:p>
            <w:pPr>
              <w:jc w:val="center"/>
            </w:pPr>
            <w:r>
              <w:rPr>
                <w:rFonts w:ascii="Georgia" w:cs="Georgia" w:eastAsia="Georgia" w:hAnsi="Georgia"/>
                <w:color w:val="1f2937"/>
                <w:sz w:val="18"/>
                <w:szCs w:val="18"/>
              </w:rPr>
              <w:t xml:space="preserve">Gas Natural</w:t>
            </w:r>
          </w:p>
        </w:tc>
        <w:tc>
          <w:tcPr>
            <w:shd w:fill="ffffff" w:val="clear"/>
          </w:tcPr>
          <w:p>
            <w:pPr>
              <w:jc w:val="center"/>
            </w:pPr>
            <w:r>
              <w:rPr>
                <w:rFonts w:ascii="Georgia" w:cs="Georgia" w:eastAsia="Georgia" w:hAnsi="Georgia"/>
                <w:color w:val="1f2937"/>
                <w:sz w:val="18"/>
                <w:szCs w:val="18"/>
              </w:rPr>
              <w:t xml:space="preserve">kWh</w:t>
            </w:r>
          </w:p>
        </w:tc>
        <w:tc>
          <w:tcPr>
            <w:shd w:fill="ffffff" w:val="clear"/>
          </w:tcPr>
          <w:p>
            <w:pPr>
              <w:jc w:val="center"/>
            </w:pPr>
            <w:r>
              <w:rPr>
                <w:rFonts w:ascii="Georgia" w:cs="Georgia" w:eastAsia="Georgia" w:hAnsi="Georgia"/>
                <w:color w:val="1f2937"/>
                <w:sz w:val="18"/>
                <w:szCs w:val="18"/>
              </w:rPr>
              <w:t xml:space="preserve">0,202</w:t>
            </w:r>
          </w:p>
        </w:tc>
        <w:tc>
          <w:tcPr>
            <w:shd w:fill="ffffff" w:val="clear"/>
          </w:tcPr>
          <w:p>
            <w:pPr>
              <w:jc w:val="center"/>
            </w:pPr>
            <w:r>
              <w:rPr>
                <w:rFonts w:ascii="Georgia" w:cs="Georgia" w:eastAsia="Georgia" w:hAnsi="Georgia"/>
                <w:color w:val="1f2937"/>
                <w:sz w:val="18"/>
                <w:szCs w:val="18"/>
              </w:rPr>
              <w:t xml:space="preserve">0,00004</w:t>
            </w:r>
          </w:p>
        </w:tc>
        <w:tc>
          <w:tcPr>
            <w:shd w:fill="ffffff" w:val="clear"/>
          </w:tcPr>
          <w:p>
            <w:pPr>
              <w:jc w:val="center"/>
            </w:pPr>
            <w:r>
              <w:rPr>
                <w:rFonts w:ascii="Georgia" w:cs="Georgia" w:eastAsia="Georgia" w:hAnsi="Georgia"/>
                <w:color w:val="1f2937"/>
                <w:sz w:val="18"/>
                <w:szCs w:val="18"/>
              </w:rPr>
              <w:t xml:space="preserve">0,00001</w:t>
            </w:r>
          </w:p>
        </w:tc>
      </w:tr>
      <w:tr>
        <w:tc>
          <w:tcPr>
            <w:shd w:fill="f3f4f6" w:val="clear"/>
          </w:tcPr>
          <w:p>
            <w:pPr>
              <w:jc w:val="center"/>
            </w:pPr>
            <w:r>
              <w:rPr>
                <w:rFonts w:ascii="Georgia" w:cs="Georgia" w:eastAsia="Georgia" w:hAnsi="Georgia"/>
                <w:color w:val="1f2937"/>
                <w:sz w:val="18"/>
                <w:szCs w:val="18"/>
              </w:rPr>
              <w:t xml:space="preserve">Gasóleo C</w:t>
            </w:r>
          </w:p>
        </w:tc>
        <w:tc>
          <w:tcPr>
            <w:shd w:fill="f3f4f6" w:val="clear"/>
          </w:tcPr>
          <w:p>
            <w:pPr>
              <w:jc w:val="center"/>
            </w:pPr>
            <w:r>
              <w:rPr>
                <w:rFonts w:ascii="Georgia" w:cs="Georgia" w:eastAsia="Georgia" w:hAnsi="Georgia"/>
                <w:color w:val="1f2937"/>
                <w:sz w:val="18"/>
                <w:szCs w:val="18"/>
              </w:rPr>
              <w:t xml:space="preserve">litro</w:t>
            </w:r>
          </w:p>
        </w:tc>
        <w:tc>
          <w:tcPr>
            <w:shd w:fill="f3f4f6" w:val="clear"/>
          </w:tcPr>
          <w:p>
            <w:pPr>
              <w:jc w:val="center"/>
            </w:pPr>
            <w:r>
              <w:rPr>
                <w:rFonts w:ascii="Georgia" w:cs="Georgia" w:eastAsia="Georgia" w:hAnsi="Georgia"/>
                <w:color w:val="1f2937"/>
                <w:sz w:val="18"/>
                <w:szCs w:val="18"/>
              </w:rPr>
              <w:t xml:space="preserve">2,868</w:t>
            </w:r>
          </w:p>
        </w:tc>
        <w:tc>
          <w:tcPr>
            <w:shd w:fill="f3f4f6" w:val="clear"/>
          </w:tcPr>
          <w:p>
            <w:pPr>
              <w:jc w:val="center"/>
            </w:pPr>
            <w:r>
              <w:rPr>
                <w:rFonts w:ascii="Georgia" w:cs="Georgia" w:eastAsia="Georgia" w:hAnsi="Georgia"/>
                <w:color w:val="1f2937"/>
                <w:sz w:val="18"/>
                <w:szCs w:val="18"/>
              </w:rPr>
              <w:t xml:space="preserve">0,00022</w:t>
            </w:r>
          </w:p>
        </w:tc>
        <w:tc>
          <w:tcPr>
            <w:shd w:fill="f3f4f6" w:val="clear"/>
          </w:tcPr>
          <w:p>
            <w:pPr>
              <w:jc w:val="center"/>
            </w:pPr>
            <w:r>
              <w:rPr>
                <w:rFonts w:ascii="Georgia" w:cs="Georgia" w:eastAsia="Georgia" w:hAnsi="Georgia"/>
                <w:color w:val="1f2937"/>
                <w:sz w:val="18"/>
                <w:szCs w:val="18"/>
              </w:rPr>
              <w:t xml:space="preserve">0,00004</w:t>
            </w:r>
          </w:p>
        </w:tc>
      </w:tr>
      <w:tr>
        <w:tc>
          <w:tcPr>
            <w:shd w:fill="ffffff" w:val="clear"/>
          </w:tcPr>
          <w:p>
            <w:pPr>
              <w:jc w:val="center"/>
            </w:pPr>
            <w:r>
              <w:rPr>
                <w:rFonts w:ascii="Georgia" w:cs="Georgia" w:eastAsia="Georgia" w:hAnsi="Georgia"/>
                <w:color w:val="1f2937"/>
                <w:sz w:val="18"/>
                <w:szCs w:val="18"/>
              </w:rPr>
              <w:t xml:space="preserve">GLP</w:t>
            </w:r>
          </w:p>
        </w:tc>
        <w:tc>
          <w:tcPr>
            <w:shd w:fill="ffffff" w:val="clear"/>
          </w:tcPr>
          <w:p>
            <w:pPr>
              <w:jc w:val="center"/>
            </w:pPr>
            <w:r>
              <w:rPr>
                <w:rFonts w:ascii="Georgia" w:cs="Georgia" w:eastAsia="Georgia" w:hAnsi="Georgia"/>
                <w:color w:val="1f2937"/>
                <w:sz w:val="18"/>
                <w:szCs w:val="18"/>
              </w:rPr>
              <w:t xml:space="preserve">litro</w:t>
            </w:r>
          </w:p>
        </w:tc>
        <w:tc>
          <w:tcPr>
            <w:shd w:fill="ffffff" w:val="clear"/>
          </w:tcPr>
          <w:p>
            <w:pPr>
              <w:jc w:val="center"/>
            </w:pPr>
            <w:r>
              <w:rPr>
                <w:rFonts w:ascii="Georgia" w:cs="Georgia" w:eastAsia="Georgia" w:hAnsi="Georgia"/>
                <w:color w:val="1f2937"/>
                <w:sz w:val="18"/>
                <w:szCs w:val="18"/>
              </w:rPr>
              <w:t xml:space="preserve">1,656</w:t>
            </w:r>
          </w:p>
        </w:tc>
        <w:tc>
          <w:tcPr>
            <w:shd w:fill="ffffff" w:val="clear"/>
          </w:tcPr>
          <w:p>
            <w:pPr>
              <w:jc w:val="center"/>
            </w:pPr>
            <w:r>
              <w:rPr>
                <w:rFonts w:ascii="Georgia" w:cs="Georgia" w:eastAsia="Georgia" w:hAnsi="Georgia"/>
                <w:color w:val="1f2937"/>
                <w:sz w:val="18"/>
                <w:szCs w:val="18"/>
              </w:rPr>
              <w:t xml:space="preserve">0,00037</w:t>
            </w:r>
          </w:p>
        </w:tc>
        <w:tc>
          <w:tcPr>
            <w:shd w:fill="ffffff" w:val="clear"/>
          </w:tcPr>
          <w:p>
            <w:pPr>
              <w:jc w:val="center"/>
            </w:pPr>
            <w:r>
              <w:rPr>
                <w:rFonts w:ascii="Georgia" w:cs="Georgia" w:eastAsia="Georgia" w:hAnsi="Georgia"/>
                <w:color w:val="1f2937"/>
                <w:sz w:val="18"/>
                <w:szCs w:val="18"/>
              </w:rPr>
              <w:t xml:space="preserve">0,00002</w:t>
            </w:r>
          </w:p>
        </w:tc>
      </w:tr>
      <w:tr>
        <w:tc>
          <w:tcPr>
            <w:shd w:fill="f3f4f6" w:val="clear"/>
          </w:tcPr>
          <w:p>
            <w:pPr>
              <w:jc w:val="center"/>
            </w:pPr>
            <w:r>
              <w:rPr>
                <w:rFonts w:ascii="Georgia" w:cs="Georgia" w:eastAsia="Georgia" w:hAnsi="Georgia"/>
                <w:color w:val="1f2937"/>
                <w:sz w:val="18"/>
                <w:szCs w:val="18"/>
              </w:rPr>
              <w:t xml:space="preserve">Gasolina</w:t>
            </w:r>
          </w:p>
        </w:tc>
        <w:tc>
          <w:tcPr>
            <w:shd w:fill="f3f4f6" w:val="clear"/>
          </w:tcPr>
          <w:p>
            <w:pPr>
              <w:jc w:val="center"/>
            </w:pPr>
            <w:r>
              <w:rPr>
                <w:rFonts w:ascii="Georgia" w:cs="Georgia" w:eastAsia="Georgia" w:hAnsi="Georgia"/>
                <w:color w:val="1f2937"/>
                <w:sz w:val="18"/>
                <w:szCs w:val="18"/>
              </w:rPr>
              <w:t xml:space="preserve">litro</w:t>
            </w:r>
          </w:p>
        </w:tc>
        <w:tc>
          <w:tcPr>
            <w:shd w:fill="f3f4f6" w:val="clear"/>
          </w:tcPr>
          <w:p>
            <w:pPr>
              <w:jc w:val="center"/>
            </w:pPr>
            <w:r>
              <w:rPr>
                <w:rFonts w:ascii="Georgia" w:cs="Georgia" w:eastAsia="Georgia" w:hAnsi="Georgia"/>
                <w:color w:val="1f2937"/>
                <w:sz w:val="18"/>
                <w:szCs w:val="18"/>
              </w:rPr>
              <w:t xml:space="preserve">2,196</w:t>
            </w:r>
          </w:p>
        </w:tc>
        <w:tc>
          <w:tcPr>
            <w:shd w:fill="f3f4f6" w:val="clear"/>
          </w:tcPr>
          <w:p>
            <w:pPr>
              <w:jc w:val="center"/>
            </w:pPr>
            <w:r>
              <w:rPr>
                <w:rFonts w:ascii="Georgia" w:cs="Georgia" w:eastAsia="Georgia" w:hAnsi="Georgia"/>
                <w:color w:val="1f2937"/>
                <w:sz w:val="18"/>
                <w:szCs w:val="18"/>
              </w:rPr>
              <w:t xml:space="preserve">0,00086</w:t>
            </w:r>
          </w:p>
        </w:tc>
        <w:tc>
          <w:tcPr>
            <w:shd w:fill="f3f4f6" w:val="clear"/>
          </w:tcPr>
          <w:p>
            <w:pPr>
              <w:jc w:val="center"/>
            </w:pPr>
            <w:r>
              <w:rPr>
                <w:rFonts w:ascii="Georgia" w:cs="Georgia" w:eastAsia="Georgia" w:hAnsi="Georgia"/>
                <w:color w:val="1f2937"/>
                <w:sz w:val="18"/>
                <w:szCs w:val="18"/>
              </w:rPr>
              <w:t xml:space="preserve">0,00026</w:t>
            </w:r>
          </w:p>
        </w:tc>
      </w:tr>
      <w:tr>
        <w:tc>
          <w:tcPr>
            <w:shd w:fill="ffffff" w:val="clear"/>
          </w:tcPr>
          <w:p>
            <w:pPr>
              <w:jc w:val="center"/>
            </w:pPr>
            <w:r>
              <w:rPr>
                <w:rFonts w:ascii="Georgia" w:cs="Georgia" w:eastAsia="Georgia" w:hAnsi="Georgia"/>
                <w:color w:val="1f2937"/>
                <w:sz w:val="18"/>
                <w:szCs w:val="18"/>
              </w:rPr>
              <w:t xml:space="preserve">Diésel</w:t>
            </w:r>
          </w:p>
        </w:tc>
        <w:tc>
          <w:tcPr>
            <w:shd w:fill="ffffff" w:val="clear"/>
          </w:tcPr>
          <w:p>
            <w:pPr>
              <w:jc w:val="center"/>
            </w:pPr>
            <w:r>
              <w:rPr>
                <w:rFonts w:ascii="Georgia" w:cs="Georgia" w:eastAsia="Georgia" w:hAnsi="Georgia"/>
                <w:color w:val="1f2937"/>
                <w:sz w:val="18"/>
                <w:szCs w:val="18"/>
              </w:rPr>
              <w:t xml:space="preserve">litro</w:t>
            </w:r>
          </w:p>
        </w:tc>
        <w:tc>
          <w:tcPr>
            <w:shd w:fill="ffffff" w:val="clear"/>
          </w:tcPr>
          <w:p>
            <w:pPr>
              <w:jc w:val="center"/>
            </w:pPr>
            <w:r>
              <w:rPr>
                <w:rFonts w:ascii="Georgia" w:cs="Georgia" w:eastAsia="Georgia" w:hAnsi="Georgia"/>
                <w:color w:val="1f2937"/>
                <w:sz w:val="18"/>
                <w:szCs w:val="18"/>
              </w:rPr>
              <w:t xml:space="preserve">2,471</w:t>
            </w:r>
          </w:p>
        </w:tc>
        <w:tc>
          <w:tcPr>
            <w:shd w:fill="ffffff" w:val="clear"/>
          </w:tcPr>
          <w:p>
            <w:pPr>
              <w:jc w:val="center"/>
            </w:pPr>
            <w:r>
              <w:rPr>
                <w:rFonts w:ascii="Georgia" w:cs="Georgia" w:eastAsia="Georgia" w:hAnsi="Georgia"/>
                <w:color w:val="1f2937"/>
                <w:sz w:val="18"/>
                <w:szCs w:val="18"/>
              </w:rPr>
              <w:t xml:space="preserve">0,00010</w:t>
            </w:r>
          </w:p>
        </w:tc>
        <w:tc>
          <w:tcPr>
            <w:shd w:fill="ffffff" w:val="clear"/>
          </w:tcPr>
          <w:p>
            <w:pPr>
              <w:jc w:val="center"/>
            </w:pPr>
            <w:r>
              <w:rPr>
                <w:rFonts w:ascii="Georgia" w:cs="Georgia" w:eastAsia="Georgia" w:hAnsi="Georgia"/>
                <w:color w:val="1f2937"/>
                <w:sz w:val="18"/>
                <w:szCs w:val="18"/>
              </w:rPr>
              <w:t xml:space="preserve">0,00040</w:t>
            </w:r>
          </w:p>
        </w:tc>
      </w:tr>
    </w:tbl>
    <w:p>
      <w:pPr>
        <w:spacing w:after="100"/>
      </w:pPr>
      <w:r>
        <w:rPr>
          <w:rFonts w:ascii="Georgia" w:cs="Georgia" w:eastAsia="Georgia" w:hAnsi="Georgia"/>
          <w:i/>
          <w:iCs/>
          <w:color w:val="6b7280"/>
          <w:sz w:val="22"/>
          <w:szCs w:val="22"/>
        </w:rPr>
        <w:t xml:space="preserve">Fuente: Calculadora MITECO V.31. Datos completos en data/emission_factors.json del repositorio.</w:t>
      </w:r>
    </w:p>
    <w:p>
      <w:pPr>
        <w:spacing w:before="300" w:after="100"/>
      </w:pPr>
      <w:r>
        <w:rPr>
          <w:rFonts w:ascii="Georgia" w:cs="Georgia" w:eastAsia="Georgia" w:hAnsi="Georgia"/>
          <w:b/>
          <w:bCs/>
          <w:color w:val="1f2937"/>
          <w:sz w:val="24"/>
          <w:szCs w:val="24"/>
        </w:rPr>
        <w:t xml:space="preserve">Gases refrigerantes (emisiones fugitivas)</w:t>
      </w:r>
    </w:p>
    <w:p>
      <w:pPr>
        <w:spacing w:after="150"/>
        <w:jc w:val="both"/>
      </w:pPr>
      <w:r>
        <w:rPr>
          <w:rFonts w:ascii="Georgia" w:cs="Georgia" w:eastAsia="Georgia" w:hAnsi="Georgia"/>
          <w:color w:val="1f2937"/>
          <w:sz w:val="22"/>
          <w:szCs w:val="22"/>
        </w:rPr>
        <w:t xml:space="preserve">Los equipos de climatización y refrigeración pierden gas con el tiempo. Cada recarga implica emisiones, y algunos gases son brutalmente potentes: 1 kg de SF₆ equivale a 22,8 toneladas de CO₂.</w:t>
      </w:r>
    </w:p>
    <w:p>
      <w:pPr>
        <w:shd w:fill="f3f4f6" w:val="clear"/>
        <w:spacing w:before="100" w:after="150"/>
        <w:ind w:left="200" w:right="200"/>
      </w:pPr>
      <w:r>
        <w:rPr>
          <w:rFonts w:ascii="Consolas" w:cs="Consolas" w:eastAsia="Consolas" w:hAnsi="Consolas"/>
          <w:color w:val="1f2937"/>
          <w:sz w:val="20"/>
          <w:szCs w:val="20"/>
        </w:rPr>
        <w:t xml:space="preserve">Emisiones (t CO₂e) = Recarga (kg) × PCA del gas / 1000</w:t>
      </w:r>
    </w:p>
    <w:p>
      <w:pPr>
        <w:spacing w:after="150"/>
        <w:jc w:val="both"/>
      </w:pPr>
      <w:r>
        <w:rPr>
          <w:rFonts w:ascii="Georgia" w:cs="Georgia" w:eastAsia="Georgia" w:hAnsi="Georgia"/>
          <w:color w:val="1f2937"/>
          <w:sz w:val="22"/>
          <w:szCs w:val="22"/>
        </w:rPr>
        <w:t xml:space="preserve">La herramienta incluye 20 gases refrigerantes con sus PCA del AR6 IPCC: HFC-134a (1.430), R-410A (2.088), R-404A (3.922), SF₆ (22.800), entre otros.</w:t>
      </w:r>
    </w:p>
    <w:p>
      <w:pPr>
        <w:spacing w:before="300" w:after="100"/>
      </w:pPr>
      <w:r>
        <w:rPr>
          <w:rFonts w:ascii="Georgia" w:cs="Georgia" w:eastAsia="Georgia" w:hAnsi="Georgia"/>
          <w:b/>
          <w:bCs/>
          <w:color w:val="1f2937"/>
          <w:sz w:val="24"/>
          <w:szCs w:val="24"/>
        </w:rPr>
        <w:t xml:space="preserve">Electricidad (Alcance 2)</w:t>
      </w:r>
    </w:p>
    <w:p>
      <w:pPr>
        <w:spacing w:after="150"/>
        <w:jc w:val="both"/>
      </w:pPr>
      <w:r>
        <w:rPr>
          <w:rFonts w:ascii="Georgia" w:cs="Georgia" w:eastAsia="Georgia" w:hAnsi="Georgia"/>
          <w:color w:val="1f2937"/>
          <w:sz w:val="22"/>
          <w:szCs w:val="22"/>
        </w:rPr>
        <w:t xml:space="preserve">Las emisiones por electricidad dependen de la comercializadora contratada. Cada una tiene un mix energético diferente (% renovable, gas, carbón). Si la organización tiene Garantía de Origen renovable, sus emisiones de Alcance 2 son cero.</w:t>
      </w:r>
    </w:p>
    <w:p>
      <w:pPr>
        <w:shd w:fill="f3f4f6" w:val="clear"/>
        <w:spacing w:before="100" w:after="150"/>
        <w:ind w:left="200" w:right="200"/>
      </w:pPr>
      <w:r>
        <w:rPr>
          <w:rFonts w:ascii="Consolas" w:cs="Consolas" w:eastAsia="Consolas" w:hAnsi="Consolas"/>
          <w:color w:val="1f2937"/>
          <w:sz w:val="20"/>
          <w:szCs w:val="20"/>
        </w:rPr>
        <w:t xml:space="preserve">Emisiones (t CO₂) = kWh consumidos × Factor comercializadora (kg CO₂/kWh) / 1000</w:t>
      </w:r>
    </w:p>
    <w:p>
      <w:pPr>
        <w:shd w:fill="f3f4f6" w:val="clear"/>
        <w:spacing w:before="100" w:after="150"/>
        <w:ind w:left="200" w:right="200"/>
      </w:pPr>
      <w:r>
        <w:rPr>
          <w:rFonts w:ascii="Consolas" w:cs="Consolas" w:eastAsia="Consolas" w:hAnsi="Consolas"/>
          <w:color w:val="1f2937"/>
          <w:sz w:val="20"/>
          <w:szCs w:val="20"/>
        </w:rPr>
        <w:t xml:space="preserve">Con Garantía de Origen (GdO) renovable → Emisiones = 0</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Formulario de Alcance 2 — Electricidad ]</w:t>
      </w:r>
    </w:p>
    <w:p>
      <w:pPr>
        <w:spacing w:after="200"/>
        <w:jc w:val="center"/>
      </w:pPr>
      <w:r>
        <w:rPr>
          <w:rFonts w:ascii="Georgia" w:cs="Georgia" w:eastAsia="Georgia" w:hAnsi="Georgia"/>
          <w:i/>
          <w:iCs/>
          <w:color w:val="6b7280"/>
          <w:sz w:val="18"/>
          <w:szCs w:val="18"/>
        </w:rPr>
        <w:t xml:space="preserve">Captura del formulario de electricidad mostrando selector de comercializadora, kWh consumidos, toggle de Garantía de Origen, y cálculo automático.</w:t>
      </w:r>
    </w:p>
    <w:p>
      <w:pPr>
        <w:spacing w:before="400" w:after="150"/>
      </w:pPr>
      <w:r>
        <w:rPr>
          <w:rFonts w:ascii="Georgia" w:cs="Georgia" w:eastAsia="Georgia" w:hAnsi="Georgia"/>
          <w:b/>
          <w:bCs/>
          <w:color w:val="15803d"/>
          <w:sz w:val="28"/>
          <w:szCs w:val="28"/>
        </w:rPr>
        <w:t xml:space="preserve">El sistema por dentro: agentes que trabajan en cadena</w:t>
      </w:r>
    </w:p>
    <w:p>
      <w:pPr>
        <w:spacing w:after="150"/>
        <w:jc w:val="both"/>
      </w:pPr>
      <w:r>
        <w:rPr>
          <w:rFonts w:ascii="Georgia" w:cs="Georgia" w:eastAsia="Georgia" w:hAnsi="Georgia"/>
          <w:color w:val="1f2937"/>
          <w:sz w:val="22"/>
          <w:szCs w:val="22"/>
        </w:rPr>
        <w:t xml:space="preserve">Cada vez que un usuario añade, modifica o elimina un dato, el sistema ejecuta automáticamente un pipeline de 4 agentes especializados. Esto garantiza que ningún dato se guarde sin validar, que todo quede auditado y que las emisiones se recalculen al instante:</w:t>
      </w:r>
    </w:p>
    <w:p>
      <w:pPr>
        <w:spacing w:after="150"/>
        <w:jc w:val="both"/>
      </w:pPr>
      <w:r>
        <w:rPr>
          <w:rFonts w:ascii="Georgia" w:cs="Georgia" w:eastAsia="Georgia" w:hAnsi="Georgia"/>
          <w:b/>
          <w:bCs/>
          <w:color w:val="1f2937"/>
          <w:sz w:val="22"/>
          <w:szCs w:val="22"/>
        </w:rPr>
        <w:t xml:space="preserve">1. Orquestador → </w:t>
      </w:r>
      <w:r>
        <w:rPr>
          <w:rFonts w:ascii="Georgia" w:cs="Georgia" w:eastAsia="Georgia" w:hAnsi="Georgia"/>
          <w:color w:val="1f2937"/>
          <w:sz w:val="22"/>
          <w:szCs w:val="22"/>
        </w:rPr>
        <w:t xml:space="preserve">Recibe el evento de cambio y coordina la ejecución secuencial de todos los agentes.</w:t>
      </w:r>
    </w:p>
    <w:p>
      <w:pPr>
        <w:spacing w:after="150"/>
        <w:jc w:val="both"/>
      </w:pPr>
      <w:r>
        <w:rPr>
          <w:rFonts w:ascii="Georgia" w:cs="Georgia" w:eastAsia="Georgia" w:hAnsi="Georgia"/>
          <w:b/>
          <w:bCs/>
          <w:color w:val="1f2937"/>
          <w:sz w:val="22"/>
          <w:szCs w:val="22"/>
        </w:rPr>
        <w:t xml:space="preserve">2. AuditAgent → </w:t>
      </w:r>
      <w:r>
        <w:rPr>
          <w:rFonts w:ascii="Georgia" w:cs="Georgia" w:eastAsia="Georgia" w:hAnsi="Georgia"/>
          <w:color w:val="1f2937"/>
          <w:sz w:val="22"/>
          <w:szCs w:val="22"/>
        </w:rPr>
        <w:t xml:space="preserve">Registra quién hizo qué, cuándo y con qué datos. Cada acción tiene un UUID único.</w:t>
      </w:r>
    </w:p>
    <w:p>
      <w:pPr>
        <w:spacing w:after="150"/>
        <w:jc w:val="both"/>
      </w:pPr>
      <w:r>
        <w:rPr>
          <w:rFonts w:ascii="Georgia" w:cs="Georgia" w:eastAsia="Georgia" w:hAnsi="Georgia"/>
          <w:b/>
          <w:bCs/>
          <w:color w:val="1f2937"/>
          <w:sz w:val="22"/>
          <w:szCs w:val="22"/>
        </w:rPr>
        <w:t xml:space="preserve">3. ValidationAgent → </w:t>
      </w:r>
      <w:r>
        <w:rPr>
          <w:rFonts w:ascii="Georgia" w:cs="Georgia" w:eastAsia="Georgia" w:hAnsi="Georgia"/>
          <w:color w:val="1f2937"/>
          <w:sz w:val="22"/>
          <w:szCs w:val="22"/>
        </w:rPr>
        <w:t xml:space="preserve">Valida coherencia: años razonables (2007-2027), valores no negativos, combustibles existentes, campos obligatorios.</w:t>
      </w:r>
    </w:p>
    <w:p>
      <w:pPr>
        <w:spacing w:after="150"/>
        <w:jc w:val="both"/>
      </w:pPr>
      <w:r>
        <w:rPr>
          <w:rFonts w:ascii="Georgia" w:cs="Georgia" w:eastAsia="Georgia" w:hAnsi="Georgia"/>
          <w:b/>
          <w:bCs/>
          <w:color w:val="1f2937"/>
          <w:sz w:val="22"/>
          <w:szCs w:val="22"/>
        </w:rPr>
        <w:t xml:space="preserve">4. CalcAgent → </w:t>
      </w:r>
      <w:r>
        <w:rPr>
          <w:rFonts w:ascii="Georgia" w:cs="Georgia" w:eastAsia="Georgia" w:hAnsi="Georgia"/>
          <w:color w:val="1f2937"/>
          <w:sz w:val="22"/>
          <w:szCs w:val="22"/>
        </w:rPr>
        <w:t xml:space="preserve">Aplica todas las fórmulas del MITECO y recalcula los totales. Si la variación supera el 10%, genera una alerta.</w:t>
      </w:r>
    </w:p>
    <w:p>
      <w:pPr>
        <w:pBdr>
          <w:left w:val="single" w:color="16a34a" w:sz="6"/>
        </w:pBdr>
        <w:spacing w:before="100" w:after="200"/>
        <w:ind w:left="400"/>
      </w:pPr>
      <w:r>
        <w:rPr>
          <w:rFonts w:ascii="Georgia" w:cs="Georgia" w:eastAsia="Georgia" w:hAnsi="Georgia"/>
          <w:i/>
          <w:iCs/>
          <w:color w:val="15803d"/>
          <w:sz w:val="22"/>
          <w:szCs w:val="22"/>
        </w:rPr>
        <w:t xml:space="preserve">El usuario solo se preocupa de introducir los datos. El sistema se encarga de que sean correctos, de calcular las emisiones, de registrar la acción y de alertar si algo cambia drásticamente.</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Página de Vehículos — Alcance 1 ]</w:t>
      </w:r>
    </w:p>
    <w:p>
      <w:pPr>
        <w:spacing w:after="200"/>
        <w:jc w:val="center"/>
      </w:pPr>
      <w:r>
        <w:rPr>
          <w:rFonts w:ascii="Georgia" w:cs="Georgia" w:eastAsia="Georgia" w:hAnsi="Georgia"/>
          <w:i/>
          <w:iCs/>
          <w:color w:val="6b7280"/>
          <w:sz w:val="18"/>
          <w:szCs w:val="18"/>
        </w:rPr>
        <w:t xml:space="preserve">Captura de la página de vehículos mostrando el selector de sede compartido, categoría de vehículo, cantidad, y tabla de consumos registrados.</w:t>
      </w:r>
    </w:p>
    <w:p>
      <w:pPr>
        <w:spacing w:before="400" w:after="150"/>
      </w:pPr>
      <w:r>
        <w:rPr>
          <w:rFonts w:ascii="Georgia" w:cs="Georgia" w:eastAsia="Georgia" w:hAnsi="Georgia"/>
          <w:b/>
          <w:bCs/>
          <w:color w:val="15803d"/>
          <w:sz w:val="28"/>
          <w:szCs w:val="28"/>
        </w:rPr>
        <w:t xml:space="preserve">Un dashboard de verdad, no una celda de Excel</w:t>
      </w:r>
    </w:p>
    <w:p>
      <w:pPr>
        <w:spacing w:after="150"/>
        <w:jc w:val="both"/>
      </w:pPr>
      <w:r>
        <w:rPr>
          <w:rFonts w:ascii="Georgia" w:cs="Georgia" w:eastAsia="Georgia" w:hAnsi="Georgia"/>
          <w:color w:val="1f2937"/>
          <w:sz w:val="22"/>
          <w:szCs w:val="22"/>
        </w:rPr>
        <w:t xml:space="preserve">El dashboard es probablemente la mejora más visible. El Excel del MITECO no tiene nada parecido — solo números en celdas. Aquí hay:</w:t>
      </w:r>
    </w:p>
    <w:p>
      <w:pPr>
        <w:pStyle w:val="ListParagraph"/>
        <w:numPr>
          <w:ilvl w:val="0"/>
          <w:numId w:val="1"/>
        </w:numPr>
        <w:spacing w:after="60"/>
      </w:pPr>
      <w:r>
        <w:rPr>
          <w:rFonts w:ascii="Georgia" w:cs="Georgia" w:eastAsia="Georgia" w:hAnsi="Georgia"/>
          <w:b/>
          <w:bCs/>
          <w:color w:val="1f2937"/>
          <w:sz w:val="22"/>
          <w:szCs w:val="22"/>
        </w:rPr>
        <w:t xml:space="preserve">4 filtros interactivos: </w:t>
      </w:r>
      <w:r>
        <w:rPr>
          <w:rFonts w:ascii="Georgia" w:cs="Georgia" w:eastAsia="Georgia" w:hAnsi="Georgia"/>
          <w:color w:val="1f2937"/>
          <w:sz w:val="22"/>
          <w:szCs w:val="22"/>
        </w:rPr>
        <w:t xml:space="preserve">Año (2007-2027), Sede, Alcance (1, 2 o ambos), Contaminante (CO₂, CH₄, N₂O)</w:t>
      </w:r>
    </w:p>
    <w:p>
      <w:pPr>
        <w:pStyle w:val="ListParagraph"/>
        <w:numPr>
          <w:ilvl w:val="0"/>
          <w:numId w:val="1"/>
        </w:numPr>
        <w:spacing w:after="60"/>
      </w:pPr>
      <w:r>
        <w:rPr>
          <w:rFonts w:ascii="Georgia" w:cs="Georgia" w:eastAsia="Georgia" w:hAnsi="Georgia"/>
          <w:b/>
          <w:bCs/>
          <w:color w:val="1f2937"/>
          <w:sz w:val="22"/>
          <w:szCs w:val="22"/>
        </w:rPr>
        <w:t xml:space="preserve">5 KPIs en tiempo real: </w:t>
      </w:r>
      <w:r>
        <w:rPr>
          <w:rFonts w:ascii="Georgia" w:cs="Georgia" w:eastAsia="Georgia" w:hAnsi="Georgia"/>
          <w:color w:val="1f2937"/>
          <w:sz w:val="22"/>
          <w:szCs w:val="22"/>
        </w:rPr>
        <w:t xml:space="preserve">Total HC, Alcance 1, Alcance 2, Ratio por empleado, Número de registros</w:t>
      </w:r>
    </w:p>
    <w:p>
      <w:pPr>
        <w:pStyle w:val="ListParagraph"/>
        <w:numPr>
          <w:ilvl w:val="0"/>
          <w:numId w:val="1"/>
        </w:numPr>
        <w:spacing w:after="60"/>
      </w:pPr>
      <w:r>
        <w:rPr>
          <w:rFonts w:ascii="Georgia" w:cs="Georgia" w:eastAsia="Georgia" w:hAnsi="Georgia"/>
          <w:b/>
          <w:bCs/>
          <w:color w:val="1f2937"/>
          <w:sz w:val="22"/>
          <w:szCs w:val="22"/>
        </w:rPr>
        <w:t xml:space="preserve">4 gráficos: </w:t>
      </w:r>
      <w:r>
        <w:rPr>
          <w:rFonts w:ascii="Georgia" w:cs="Georgia" w:eastAsia="Georgia" w:hAnsi="Georgia"/>
          <w:color w:val="1f2937"/>
          <w:sz w:val="22"/>
          <w:szCs w:val="22"/>
        </w:rPr>
        <w:t xml:space="preserve">Barras apiladas (Alcance 1 vs 2), Dona por categoría, Dona por sede, Dona por contaminante</w:t>
      </w:r>
    </w:p>
    <w:p>
      <w:pPr>
        <w:pStyle w:val="ListParagraph"/>
        <w:numPr>
          <w:ilvl w:val="0"/>
          <w:numId w:val="1"/>
        </w:numPr>
        <w:spacing w:after="60"/>
      </w:pPr>
      <w:r>
        <w:rPr>
          <w:rFonts w:ascii="Georgia" w:cs="Georgia" w:eastAsia="Georgia" w:hAnsi="Georgia"/>
          <w:b/>
          <w:bCs/>
          <w:color w:val="1f2937"/>
          <w:sz w:val="22"/>
          <w:szCs w:val="22"/>
        </w:rPr>
        <w:t xml:space="preserve">Tabla de top emisores: </w:t>
      </w:r>
      <w:r>
        <w:rPr>
          <w:rFonts w:ascii="Georgia" w:cs="Georgia" w:eastAsia="Georgia" w:hAnsi="Georgia"/>
          <w:color w:val="1f2937"/>
          <w:sz w:val="22"/>
          <w:szCs w:val="22"/>
        </w:rPr>
        <w:t xml:space="preserve">Las 8 mayores fuentes de emisión con porcentaje sobre el total</w:t>
      </w:r>
    </w:p>
    <w:p>
      <w:pPr>
        <w:pStyle w:val="ListParagraph"/>
        <w:numPr>
          <w:ilvl w:val="0"/>
          <w:numId w:val="1"/>
        </w:numPr>
        <w:spacing w:after="60"/>
      </w:pPr>
      <w:r>
        <w:rPr>
          <w:rFonts w:ascii="Georgia" w:cs="Georgia" w:eastAsia="Georgia" w:hAnsi="Georgia"/>
          <w:b/>
          <w:bCs/>
          <w:color w:val="1f2937"/>
          <w:sz w:val="22"/>
          <w:szCs w:val="22"/>
        </w:rPr>
        <w:t xml:space="preserve">Comparativa por sede: </w:t>
      </w:r>
      <w:r>
        <w:rPr>
          <w:rFonts w:ascii="Georgia" w:cs="Georgia" w:eastAsia="Georgia" w:hAnsi="Georgia"/>
          <w:color w:val="1f2937"/>
          <w:sz w:val="22"/>
          <w:szCs w:val="22"/>
        </w:rPr>
        <w:t xml:space="preserve">Gráfico de barras horizontales comparando emisiones entre sedes</w:t>
      </w:r>
    </w:p>
    <w:p>
      <w:pPr>
        <w:pStyle w:val="ListParagraph"/>
        <w:numPr>
          <w:ilvl w:val="0"/>
          <w:numId w:val="1"/>
        </w:numPr>
        <w:spacing w:after="60"/>
      </w:pPr>
      <w:r>
        <w:rPr>
          <w:rFonts w:ascii="Georgia" w:cs="Georgia" w:eastAsia="Georgia" w:hAnsi="Georgia"/>
          <w:b/>
          <w:bCs/>
          <w:color w:val="1f2937"/>
          <w:sz w:val="22"/>
          <w:szCs w:val="22"/>
        </w:rPr>
        <w:t xml:space="preserve">3 ratios: </w:t>
      </w:r>
      <w:r>
        <w:rPr>
          <w:rFonts w:ascii="Georgia" w:cs="Georgia" w:eastAsia="Georgia" w:hAnsi="Georgia"/>
          <w:color w:val="1f2937"/>
          <w:sz w:val="22"/>
          <w:szCs w:val="22"/>
        </w:rPr>
        <w:t xml:space="preserve">t CO₂e por m², por empleado y por índice de actividad</w:t>
      </w:r>
    </w:p>
    <w:p>
      <w:pPr>
        <w:spacing w:after="150"/>
        <w:jc w:val="both"/>
      </w:pPr>
      <w:r>
        <w:rPr>
          <w:rFonts w:ascii="Georgia" w:cs="Georgia" w:eastAsia="Georgia" w:hAnsi="Georgia"/>
          <w:color w:val="1f2937"/>
          <w:sz w:val="22"/>
          <w:szCs w:val="22"/>
        </w:rPr>
        <w:t xml:space="preserve">Todo se actualiza en tiempo real cuando cambias un filtro. Si seleccionas una sede concreta, ves solo sus emisiones. Si seleccionas solo CH₄, ves el desglose de metano.</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Dashboard con filtros aplicados ]</w:t>
      </w:r>
    </w:p>
    <w:p>
      <w:pPr>
        <w:spacing w:after="200"/>
        <w:jc w:val="center"/>
      </w:pPr>
      <w:r>
        <w:rPr>
          <w:rFonts w:ascii="Georgia" w:cs="Georgia" w:eastAsia="Georgia" w:hAnsi="Georgia"/>
          <w:i/>
          <w:iCs/>
          <w:color w:val="6b7280"/>
          <w:sz w:val="18"/>
          <w:szCs w:val="18"/>
        </w:rPr>
        <w:t xml:space="preserve">Captura del Dashboard con un filtro de sede activo, mostrando las gráficas actualizadas para esa sede específica y la comparativa entre sedes.</w:t>
      </w:r>
    </w:p>
    <w:p>
      <w:pPr>
        <w:spacing w:before="400" w:after="150"/>
      </w:pPr>
      <w:r>
        <w:rPr>
          <w:rFonts w:ascii="Georgia" w:cs="Georgia" w:eastAsia="Georgia" w:hAnsi="Georgia"/>
          <w:b/>
          <w:bCs/>
          <w:color w:val="15803d"/>
          <w:sz w:val="28"/>
          <w:szCs w:val="28"/>
        </w:rPr>
        <w:t xml:space="preserve">Sedes compartidas: todo conectado</w:t>
      </w:r>
    </w:p>
    <w:p>
      <w:pPr>
        <w:spacing w:after="150"/>
        <w:jc w:val="both"/>
      </w:pPr>
      <w:r>
        <w:rPr>
          <w:rFonts w:ascii="Georgia" w:cs="Georgia" w:eastAsia="Georgia" w:hAnsi="Georgia"/>
          <w:color w:val="1f2937"/>
          <w:sz w:val="22"/>
          <w:szCs w:val="22"/>
        </w:rPr>
        <w:t xml:space="preserve">Una de las cosas que más me molestaba del Excel es que cada pestaña es independiente. Si tu empresa tiene 3 oficinas y quieres saber cuánto emite cada una, tienes que sumar a mano.</w:t>
      </w:r>
    </w:p>
    <w:p>
      <w:pPr>
        <w:spacing w:after="150"/>
        <w:jc w:val="both"/>
      </w:pPr>
      <w:r>
        <w:rPr>
          <w:rFonts w:ascii="Georgia" w:cs="Georgia" w:eastAsia="Georgia" w:hAnsi="Georgia"/>
          <w:color w:val="1f2937"/>
          <w:sz w:val="22"/>
          <w:szCs w:val="22"/>
        </w:rPr>
        <w:t xml:space="preserve">En la nueva herramienta, las sedes (centros de trabajo) se crean una vez y están disponibles en todas las secciones. Cuando registras un consumo de gas natural en Instalaciones Fijas, seleccionas la sede. Cuando registras un vehículo, seleccionas la misma sede. Y en el dashboard, puedes filtrar por esa sede y ver todo junto.</w:t>
      </w:r>
    </w:p>
    <w:p>
      <w:pPr>
        <w:pBdr>
          <w:left w:val="single" w:color="16a34a" w:sz="6"/>
        </w:pBdr>
        <w:spacing w:before="100" w:after="200"/>
        <w:ind w:left="400"/>
      </w:pPr>
      <w:r>
        <w:rPr>
          <w:rFonts w:ascii="Georgia" w:cs="Georgia" w:eastAsia="Georgia" w:hAnsi="Georgia"/>
          <w:i/>
          <w:iCs/>
          <w:color w:val="15803d"/>
          <w:sz w:val="22"/>
          <w:szCs w:val="22"/>
        </w:rPr>
        <w:t xml:space="preserve">Creas una sede en cualquier formulario y automáticamente aparece en todos los demás. Así funciona una aplicación conectada.</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Selector de sede compartido ]</w:t>
      </w:r>
    </w:p>
    <w:p>
      <w:pPr>
        <w:spacing w:after="200"/>
        <w:jc w:val="center"/>
      </w:pPr>
      <w:r>
        <w:rPr>
          <w:rFonts w:ascii="Georgia" w:cs="Georgia" w:eastAsia="Georgia" w:hAnsi="Georgia"/>
          <w:i/>
          <w:iCs/>
          <w:color w:val="6b7280"/>
          <w:sz w:val="18"/>
          <w:szCs w:val="18"/>
        </w:rPr>
        <w:t xml:space="preserve">Captura del componente SedeSelector mostrando el desplegable con las sedes existentes y el botón "Nueva" para crear una sede inline.</w:t>
      </w:r>
    </w:p>
    <w:p>
      <w:pPr>
        <w:spacing w:before="400" w:after="150"/>
      </w:pPr>
      <w:r>
        <w:rPr>
          <w:rFonts w:ascii="Georgia" w:cs="Georgia" w:eastAsia="Georgia" w:hAnsi="Georgia"/>
          <w:b/>
          <w:bCs/>
          <w:color w:val="15803d"/>
          <w:sz w:val="28"/>
          <w:szCs w:val="28"/>
        </w:rPr>
        <w:t xml:space="preserve">Stack tecnológico</w:t>
      </w:r>
    </w:p>
    <w:p>
      <w:pPr>
        <w:spacing w:after="150"/>
        <w:jc w:val="both"/>
      </w:pPr>
      <w:r>
        <w:rPr>
          <w:rFonts w:ascii="Georgia" w:cs="Georgia" w:eastAsia="Georgia" w:hAnsi="Georgia"/>
          <w:color w:val="1f2937"/>
          <w:sz w:val="22"/>
          <w:szCs w:val="22"/>
        </w:rPr>
        <w:t xml:space="preserve">La herramienta está construida con tecnologías modernas y probadas:</w:t>
      </w:r>
    </w:p>
    <w:p>
      <w:pPr>
        <w:pStyle w:val="ListParagraph"/>
        <w:numPr>
          <w:ilvl w:val="0"/>
          <w:numId w:val="1"/>
        </w:numPr>
        <w:spacing w:after="60"/>
      </w:pPr>
      <w:r>
        <w:rPr>
          <w:rFonts w:ascii="Georgia" w:cs="Georgia" w:eastAsia="Georgia" w:hAnsi="Georgia"/>
          <w:b/>
          <w:bCs/>
          <w:color w:val="1f2937"/>
          <w:sz w:val="22"/>
          <w:szCs w:val="22"/>
        </w:rPr>
        <w:t xml:space="preserve">Next.js 14 (App Router) — </w:t>
      </w:r>
      <w:r>
        <w:rPr>
          <w:rFonts w:ascii="Georgia" w:cs="Georgia" w:eastAsia="Georgia" w:hAnsi="Georgia"/>
          <w:color w:val="1f2937"/>
          <w:sz w:val="22"/>
          <w:szCs w:val="22"/>
        </w:rPr>
        <w:t xml:space="preserve">Framework web con SSR, rutas automáticas y API routes integradas.</w:t>
      </w:r>
    </w:p>
    <w:p>
      <w:pPr>
        <w:pStyle w:val="ListParagraph"/>
        <w:numPr>
          <w:ilvl w:val="0"/>
          <w:numId w:val="1"/>
        </w:numPr>
        <w:spacing w:after="60"/>
      </w:pPr>
      <w:r>
        <w:rPr>
          <w:rFonts w:ascii="Georgia" w:cs="Georgia" w:eastAsia="Georgia" w:hAnsi="Georgia"/>
          <w:b/>
          <w:bCs/>
          <w:color w:val="1f2937"/>
          <w:sz w:val="22"/>
          <w:szCs w:val="22"/>
        </w:rPr>
        <w:t xml:space="preserve">TypeScript — </w:t>
      </w:r>
      <w:r>
        <w:rPr>
          <w:rFonts w:ascii="Georgia" w:cs="Georgia" w:eastAsia="Georgia" w:hAnsi="Georgia"/>
          <w:color w:val="1f2937"/>
          <w:sz w:val="22"/>
          <w:szCs w:val="22"/>
        </w:rPr>
        <w:t xml:space="preserve">Tipado estático en todo el proyecto. Cada función, cada tipo, cada esquema está tipado.</w:t>
      </w:r>
    </w:p>
    <w:p>
      <w:pPr>
        <w:pStyle w:val="ListParagraph"/>
        <w:numPr>
          <w:ilvl w:val="0"/>
          <w:numId w:val="1"/>
        </w:numPr>
        <w:spacing w:after="60"/>
      </w:pPr>
      <w:r>
        <w:rPr>
          <w:rFonts w:ascii="Georgia" w:cs="Georgia" w:eastAsia="Georgia" w:hAnsi="Georgia"/>
          <w:b/>
          <w:bCs/>
          <w:color w:val="1f2937"/>
          <w:sz w:val="22"/>
          <w:szCs w:val="22"/>
        </w:rPr>
        <w:t xml:space="preserve">TailwindCSS — </w:t>
      </w:r>
      <w:r>
        <w:rPr>
          <w:rFonts w:ascii="Georgia" w:cs="Georgia" w:eastAsia="Georgia" w:hAnsi="Georgia"/>
          <w:color w:val="1f2937"/>
          <w:sz w:val="22"/>
          <w:szCs w:val="22"/>
        </w:rPr>
        <w:t xml:space="preserve">Estilos rápidos y responsive. Una UI limpia sin escribir CSS a mano.</w:t>
      </w:r>
    </w:p>
    <w:p>
      <w:pPr>
        <w:pStyle w:val="ListParagraph"/>
        <w:numPr>
          <w:ilvl w:val="0"/>
          <w:numId w:val="1"/>
        </w:numPr>
        <w:spacing w:after="60"/>
      </w:pPr>
      <w:r>
        <w:rPr>
          <w:rFonts w:ascii="Georgia" w:cs="Georgia" w:eastAsia="Georgia" w:hAnsi="Georgia"/>
          <w:b/>
          <w:bCs/>
          <w:color w:val="1f2937"/>
          <w:sz w:val="22"/>
          <w:szCs w:val="22"/>
        </w:rPr>
        <w:t xml:space="preserve">Recharts — </w:t>
      </w:r>
      <w:r>
        <w:rPr>
          <w:rFonts w:ascii="Georgia" w:cs="Georgia" w:eastAsia="Georgia" w:hAnsi="Georgia"/>
          <w:color w:val="1f2937"/>
          <w:sz w:val="22"/>
          <w:szCs w:val="22"/>
        </w:rPr>
        <w:t xml:space="preserve">Gráficos interactivos: barras apiladas, donas, tooltips, colores personalizados.</w:t>
      </w:r>
    </w:p>
    <w:p>
      <w:pPr>
        <w:pStyle w:val="ListParagraph"/>
        <w:numPr>
          <w:ilvl w:val="0"/>
          <w:numId w:val="1"/>
        </w:numPr>
        <w:spacing w:after="60"/>
      </w:pPr>
      <w:r>
        <w:rPr>
          <w:rFonts w:ascii="Georgia" w:cs="Georgia" w:eastAsia="Georgia" w:hAnsi="Georgia"/>
          <w:b/>
          <w:bCs/>
          <w:color w:val="1f2937"/>
          <w:sz w:val="22"/>
          <w:szCs w:val="22"/>
        </w:rPr>
        <w:t xml:space="preserve">Zustand — </w:t>
      </w:r>
      <w:r>
        <w:rPr>
          <w:rFonts w:ascii="Georgia" w:cs="Georgia" w:eastAsia="Georgia" w:hAnsi="Georgia"/>
          <w:color w:val="1f2937"/>
          <w:sz w:val="22"/>
          <w:szCs w:val="22"/>
        </w:rPr>
        <w:t xml:space="preserve">Gestión de estado global ligera. Sincroniza los datos entre componentes.</w:t>
      </w:r>
    </w:p>
    <w:p>
      <w:pPr>
        <w:pStyle w:val="ListParagraph"/>
        <w:numPr>
          <w:ilvl w:val="0"/>
          <w:numId w:val="1"/>
        </w:numPr>
        <w:spacing w:after="60"/>
      </w:pPr>
      <w:r>
        <w:rPr>
          <w:rFonts w:ascii="Georgia" w:cs="Georgia" w:eastAsia="Georgia" w:hAnsi="Georgia"/>
          <w:b/>
          <w:bCs/>
          <w:color w:val="1f2937"/>
          <w:sz w:val="22"/>
          <w:szCs w:val="22"/>
        </w:rPr>
        <w:t xml:space="preserve">Zod — </w:t>
      </w:r>
      <w:r>
        <w:rPr>
          <w:rFonts w:ascii="Georgia" w:cs="Georgia" w:eastAsia="Georgia" w:hAnsi="Georgia"/>
          <w:color w:val="1f2937"/>
          <w:sz w:val="22"/>
          <w:szCs w:val="22"/>
        </w:rPr>
        <w:t xml:space="preserve">Validación de schemas. Cada dato que entra se valida contra su esquema antes de guardarse.</w:t>
      </w:r>
    </w:p>
    <w:p>
      <w:pPr>
        <w:pStyle w:val="ListParagraph"/>
        <w:numPr>
          <w:ilvl w:val="0"/>
          <w:numId w:val="1"/>
        </w:numPr>
        <w:spacing w:after="60"/>
      </w:pPr>
      <w:r>
        <w:rPr>
          <w:rFonts w:ascii="Georgia" w:cs="Georgia" w:eastAsia="Georgia" w:hAnsi="Georgia"/>
          <w:b/>
          <w:bCs/>
          <w:color w:val="1f2937"/>
          <w:sz w:val="22"/>
          <w:szCs w:val="22"/>
        </w:rPr>
        <w:t xml:space="preserve">NextAuth.js — </w:t>
      </w:r>
      <w:r>
        <w:rPr>
          <w:rFonts w:ascii="Georgia" w:cs="Georgia" w:eastAsia="Georgia" w:hAnsi="Georgia"/>
          <w:color w:val="1f2937"/>
          <w:sz w:val="22"/>
          <w:szCs w:val="22"/>
        </w:rPr>
        <w:t xml:space="preserve">Autenticación con JWT, sesiones seguras, middleware de protección de rutas.</w:t>
      </w:r>
    </w:p>
    <w:p>
      <w:pPr>
        <w:pStyle w:val="ListParagraph"/>
        <w:numPr>
          <w:ilvl w:val="0"/>
          <w:numId w:val="1"/>
        </w:numPr>
        <w:spacing w:after="60"/>
      </w:pPr>
      <w:r>
        <w:rPr>
          <w:rFonts w:ascii="Georgia" w:cs="Georgia" w:eastAsia="Georgia" w:hAnsi="Georgia"/>
          <w:b/>
          <w:bCs/>
          <w:color w:val="1f2937"/>
          <w:sz w:val="22"/>
          <w:szCs w:val="22"/>
        </w:rPr>
        <w:t xml:space="preserve">ExcelJS + PapaParse — </w:t>
      </w:r>
      <w:r>
        <w:rPr>
          <w:rFonts w:ascii="Georgia" w:cs="Georgia" w:eastAsia="Georgia" w:hAnsi="Georgia"/>
          <w:color w:val="1f2937"/>
          <w:sz w:val="22"/>
          <w:szCs w:val="22"/>
        </w:rPr>
        <w:t xml:space="preserve">Exportación a Excel compatible MITECO, CSV para herramientas BI, y JSON para APIs.</w:t>
      </w:r>
    </w:p>
    <w:p>
      <w:pPr>
        <w:spacing w:before="300" w:after="100"/>
      </w:pPr>
      <w:r>
        <w:rPr>
          <w:rFonts w:ascii="Georgia" w:cs="Georgia" w:eastAsia="Georgia" w:hAnsi="Georgia"/>
          <w:b/>
          <w:bCs/>
          <w:color w:val="1f2937"/>
          <w:sz w:val="24"/>
          <w:szCs w:val="24"/>
        </w:rPr>
        <w:t xml:space="preserve">Almacenamiento basado en archivos</w:t>
      </w:r>
    </w:p>
    <w:p>
      <w:pPr>
        <w:spacing w:after="150"/>
        <w:jc w:val="both"/>
      </w:pPr>
      <w:r>
        <w:rPr>
          <w:rFonts w:ascii="Georgia" w:cs="Georgia" w:eastAsia="Georgia" w:hAnsi="Georgia"/>
          <w:color w:val="1f2937"/>
          <w:sz w:val="22"/>
          <w:szCs w:val="22"/>
        </w:rPr>
        <w:t xml:space="preserve">Los datos se almacenan en JSON y CSV, organizados por organización y año. Cada empresa tiene su carpeta aislada con todos sus datos separados por año de cálculo. Sin base de datos externa — un simple backup de la carpeta data/ es un backup completo.</w:t>
      </w:r>
    </w:p>
    <w:p>
      <w:pPr>
        <w:shd w:fill="f3f4f6" w:val="clear"/>
        <w:spacing w:before="100" w:after="150"/>
        <w:ind w:left="200" w:right="200"/>
      </w:pPr>
      <w:r>
        <w:rPr>
          <w:rFonts w:ascii="Consolas" w:cs="Consolas" w:eastAsia="Consolas" w:hAnsi="Consolas"/>
          <w:color w:val="1f2937"/>
          <w:sz w:val="20"/>
          <w:szCs w:val="20"/>
        </w:rPr>
        <w:t xml:space="preserve">data/orgs/{org_id}/{año}/organizacion.json</w:t>
      </w:r>
    </w:p>
    <w:p>
      <w:pPr>
        <w:shd w:fill="f3f4f6" w:val="clear"/>
        <w:spacing w:before="100" w:after="150"/>
        <w:ind w:left="200" w:right="200"/>
      </w:pPr>
      <w:r>
        <w:rPr>
          <w:rFonts w:ascii="Consolas" w:cs="Consolas" w:eastAsia="Consolas" w:hAnsi="Consolas"/>
          <w:color w:val="1f2937"/>
          <w:sz w:val="20"/>
          <w:szCs w:val="20"/>
        </w:rPr>
        <w:t xml:space="preserve">data/orgs/{org_id}/{año}/scope1_instalaciones_fijas.json</w:t>
      </w:r>
    </w:p>
    <w:p>
      <w:pPr>
        <w:shd w:fill="f3f4f6" w:val="clear"/>
        <w:spacing w:before="100" w:after="150"/>
        <w:ind w:left="200" w:right="200"/>
      </w:pPr>
      <w:r>
        <w:rPr>
          <w:rFonts w:ascii="Consolas" w:cs="Consolas" w:eastAsia="Consolas" w:hAnsi="Consolas"/>
          <w:color w:val="1f2937"/>
          <w:sz w:val="20"/>
          <w:szCs w:val="20"/>
        </w:rPr>
        <w:t xml:space="preserve">data/orgs/{org_id}/{año}/scope1_vehiculos.json</w:t>
      </w:r>
    </w:p>
    <w:p>
      <w:pPr>
        <w:shd w:fill="f3f4f6" w:val="clear"/>
        <w:spacing w:before="100" w:after="150"/>
        <w:ind w:left="200" w:right="200"/>
      </w:pPr>
      <w:r>
        <w:rPr>
          <w:rFonts w:ascii="Consolas" w:cs="Consolas" w:eastAsia="Consolas" w:hAnsi="Consolas"/>
          <w:color w:val="1f2937"/>
          <w:sz w:val="20"/>
          <w:szCs w:val="20"/>
        </w:rPr>
        <w:t xml:space="preserve">data/orgs/{org_id}/{año}/scope1_fugitivas.json</w:t>
      </w:r>
    </w:p>
    <w:p>
      <w:pPr>
        <w:shd w:fill="f3f4f6" w:val="clear"/>
        <w:spacing w:before="100" w:after="150"/>
        <w:ind w:left="200" w:right="200"/>
      </w:pPr>
      <w:r>
        <w:rPr>
          <w:rFonts w:ascii="Consolas" w:cs="Consolas" w:eastAsia="Consolas" w:hAnsi="Consolas"/>
          <w:color w:val="1f2937"/>
          <w:sz w:val="20"/>
          <w:szCs w:val="20"/>
        </w:rPr>
        <w:t xml:space="preserve">data/orgs/{org_id}/{año}/scope2_electricidad.json</w:t>
      </w:r>
    </w:p>
    <w:p>
      <w:pPr>
        <w:shd w:fill="f3f4f6" w:val="clear"/>
        <w:spacing w:before="100" w:after="150"/>
        <w:ind w:left="200" w:right="200"/>
      </w:pPr>
      <w:r>
        <w:rPr>
          <w:rFonts w:ascii="Consolas" w:cs="Consolas" w:eastAsia="Consolas" w:hAnsi="Consolas"/>
          <w:color w:val="1f2937"/>
          <w:sz w:val="20"/>
          <w:szCs w:val="20"/>
        </w:rPr>
        <w:t xml:space="preserve">data/orgs/{org_id}/{año}/results.json</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Página de resultados ]</w:t>
      </w:r>
    </w:p>
    <w:p>
      <w:pPr>
        <w:spacing w:after="200"/>
        <w:jc w:val="center"/>
      </w:pPr>
      <w:r>
        <w:rPr>
          <w:rFonts w:ascii="Georgia" w:cs="Georgia" w:eastAsia="Georgia" w:hAnsi="Georgia"/>
          <w:i/>
          <w:iCs/>
          <w:color w:val="6b7280"/>
          <w:sz w:val="18"/>
          <w:szCs w:val="18"/>
        </w:rPr>
        <w:t xml:space="preserve">Captura de la página de Resultados mostrando el desglose completo por alcance y categoría, con gráficos finales.</w:t>
      </w:r>
    </w:p>
    <w:p>
      <w:pPr>
        <w:spacing w:before="400" w:after="150"/>
      </w:pPr>
      <w:r>
        <w:rPr>
          <w:rFonts w:ascii="Georgia" w:cs="Georgia" w:eastAsia="Georgia" w:hAnsi="Georgia"/>
          <w:b/>
          <w:bCs/>
          <w:color w:val="15803d"/>
          <w:sz w:val="28"/>
          <w:szCs w:val="28"/>
        </w:rPr>
        <w:t xml:space="preserve">Las 13 secciones de la aplicación</w:t>
      </w:r>
    </w:p>
    <w:p>
      <w:pPr>
        <w:spacing w:after="150"/>
        <w:jc w:val="both"/>
      </w:pPr>
      <w:r>
        <w:rPr>
          <w:rFonts w:ascii="Georgia" w:cs="Georgia" w:eastAsia="Georgia" w:hAnsi="Georgia"/>
          <w:color w:val="1f2937"/>
          <w:sz w:val="22"/>
          <w:szCs w:val="22"/>
        </w:rPr>
        <w:t xml:space="preserve">La aplicación tiene 13 secciones que cubren todo el ciclo de cálculo de huella de carbono. Mapean directamente las 13 pestañas del Excel del MITECO, pero con una experiencia de usuario completamente diferente:</w:t>
      </w:r>
    </w:p>
    <w:p>
      <w:pPr>
        <w:pStyle w:val="ListParagraph"/>
        <w:numPr>
          <w:ilvl w:val="0"/>
          <w:numId w:val="1"/>
        </w:numPr>
        <w:spacing w:after="60"/>
      </w:pPr>
      <w:r>
        <w:rPr>
          <w:rFonts w:ascii="Georgia" w:cs="Georgia" w:eastAsia="Georgia" w:hAnsi="Georgia"/>
          <w:b/>
          <w:bCs/>
          <w:color w:val="1f2937"/>
          <w:sz w:val="22"/>
          <w:szCs w:val="22"/>
        </w:rPr>
        <w:t xml:space="preserve">🏠 Dashboard — </w:t>
      </w:r>
      <w:r>
        <w:rPr>
          <w:rFonts w:ascii="Georgia" w:cs="Georgia" w:eastAsia="Georgia" w:hAnsi="Georgia"/>
          <w:color w:val="1f2937"/>
          <w:sz w:val="22"/>
          <w:szCs w:val="22"/>
        </w:rPr>
        <w:t xml:space="preserve">Panel principal con 5 KPIs, 4 gráficos, filtros por año/sede/alcance/contaminante, tabla de top emisores.</w:t>
      </w:r>
    </w:p>
    <w:p>
      <w:pPr>
        <w:pStyle w:val="ListParagraph"/>
        <w:numPr>
          <w:ilvl w:val="0"/>
          <w:numId w:val="1"/>
        </w:numPr>
        <w:spacing w:after="60"/>
      </w:pPr>
      <w:r>
        <w:rPr>
          <w:rFonts w:ascii="Georgia" w:cs="Georgia" w:eastAsia="Georgia" w:hAnsi="Georgia"/>
          <w:b/>
          <w:bCs/>
          <w:color w:val="1f2937"/>
          <w:sz w:val="22"/>
          <w:szCs w:val="22"/>
        </w:rPr>
        <w:t xml:space="preserve">📋 Organización — </w:t>
      </w:r>
      <w:r>
        <w:rPr>
          <w:rFonts w:ascii="Georgia" w:cs="Georgia" w:eastAsia="Georgia" w:hAnsi="Georgia"/>
          <w:color w:val="1f2937"/>
          <w:sz w:val="22"/>
          <w:szCs w:val="22"/>
        </w:rPr>
        <w:t xml:space="preserve">Datos generales: nombre, CIF, CNAE, empleados, superficie, facturación. Necesarios para los ratios.</w:t>
      </w:r>
    </w:p>
    <w:p>
      <w:pPr>
        <w:pStyle w:val="ListParagraph"/>
        <w:numPr>
          <w:ilvl w:val="0"/>
          <w:numId w:val="1"/>
        </w:numPr>
        <w:spacing w:after="60"/>
      </w:pPr>
      <w:r>
        <w:rPr>
          <w:rFonts w:ascii="Georgia" w:cs="Georgia" w:eastAsia="Georgia" w:hAnsi="Georgia"/>
          <w:b/>
          <w:bCs/>
          <w:color w:val="1f2937"/>
          <w:sz w:val="22"/>
          <w:szCs w:val="22"/>
        </w:rPr>
        <w:t xml:space="preserve">🏭 Instalaciones fijas — </w:t>
      </w:r>
      <w:r>
        <w:rPr>
          <w:rFonts w:ascii="Georgia" w:cs="Georgia" w:eastAsia="Georgia" w:hAnsi="Georgia"/>
          <w:color w:val="1f2937"/>
          <w:sz w:val="22"/>
          <w:szCs w:val="22"/>
        </w:rPr>
        <w:t xml:space="preserve">Alcance 1. Combustión en calderas, hornos, generadores. Selector de combustible y cálculo automático.</w:t>
      </w:r>
    </w:p>
    <w:p>
      <w:pPr>
        <w:pStyle w:val="ListParagraph"/>
        <w:numPr>
          <w:ilvl w:val="0"/>
          <w:numId w:val="1"/>
        </w:numPr>
        <w:spacing w:after="60"/>
      </w:pPr>
      <w:r>
        <w:rPr>
          <w:rFonts w:ascii="Georgia" w:cs="Georgia" w:eastAsia="Georgia" w:hAnsi="Georgia"/>
          <w:b/>
          <w:bCs/>
          <w:color w:val="1f2937"/>
          <w:sz w:val="22"/>
          <w:szCs w:val="22"/>
        </w:rPr>
        <w:t xml:space="preserve">🚗 Vehículos — </w:t>
      </w:r>
      <w:r>
        <w:rPr>
          <w:rFonts w:ascii="Georgia" w:cs="Georgia" w:eastAsia="Georgia" w:hAnsi="Georgia"/>
          <w:color w:val="1f2937"/>
          <w:sz w:val="22"/>
          <w:szCs w:val="22"/>
        </w:rPr>
        <w:t xml:space="preserve">Alcance 1. Flota propia: método A1 (por litros) y A2 (por km). Categorías de vehículo.</w:t>
      </w:r>
    </w:p>
    <w:p>
      <w:pPr>
        <w:pStyle w:val="ListParagraph"/>
        <w:numPr>
          <w:ilvl w:val="0"/>
          <w:numId w:val="1"/>
        </w:numPr>
        <w:spacing w:after="60"/>
      </w:pPr>
      <w:r>
        <w:rPr>
          <w:rFonts w:ascii="Georgia" w:cs="Georgia" w:eastAsia="Georgia" w:hAnsi="Georgia"/>
          <w:b/>
          <w:bCs/>
          <w:color w:val="1f2937"/>
          <w:sz w:val="22"/>
          <w:szCs w:val="22"/>
        </w:rPr>
        <w:t xml:space="preserve">💨 Fugitivas — </w:t>
      </w:r>
      <w:r>
        <w:rPr>
          <w:rFonts w:ascii="Georgia" w:cs="Georgia" w:eastAsia="Georgia" w:hAnsi="Georgia"/>
          <w:color w:val="1f2937"/>
          <w:sz w:val="22"/>
          <w:szCs w:val="22"/>
        </w:rPr>
        <w:t xml:space="preserve">Alcance 1. Recargas de gas refrigerante. Vista previa del cálculo (recarga × PCA).</w:t>
      </w:r>
    </w:p>
    <w:p>
      <w:pPr>
        <w:pStyle w:val="ListParagraph"/>
        <w:numPr>
          <w:ilvl w:val="0"/>
          <w:numId w:val="1"/>
        </w:numPr>
        <w:spacing w:after="60"/>
      </w:pPr>
      <w:r>
        <w:rPr>
          <w:rFonts w:ascii="Georgia" w:cs="Georgia" w:eastAsia="Georgia" w:hAnsi="Georgia"/>
          <w:b/>
          <w:bCs/>
          <w:color w:val="1f2937"/>
          <w:sz w:val="22"/>
          <w:szCs w:val="22"/>
        </w:rPr>
        <w:t xml:space="preserve">⚙️ Proceso — </w:t>
      </w:r>
      <w:r>
        <w:rPr>
          <w:rFonts w:ascii="Georgia" w:cs="Georgia" w:eastAsia="Georgia" w:hAnsi="Georgia"/>
          <w:color w:val="1f2937"/>
          <w:sz w:val="22"/>
          <w:szCs w:val="22"/>
        </w:rPr>
        <w:t xml:space="preserve">Alcance 1. Emisiones de procesos industriales directas.</w:t>
      </w:r>
    </w:p>
    <w:p>
      <w:pPr>
        <w:pStyle w:val="ListParagraph"/>
        <w:numPr>
          <w:ilvl w:val="0"/>
          <w:numId w:val="1"/>
        </w:numPr>
        <w:spacing w:after="60"/>
      </w:pPr>
      <w:r>
        <w:rPr>
          <w:rFonts w:ascii="Georgia" w:cs="Georgia" w:eastAsia="Georgia" w:hAnsi="Georgia"/>
          <w:b/>
          <w:bCs/>
          <w:color w:val="1f2937"/>
          <w:sz w:val="22"/>
          <w:szCs w:val="22"/>
        </w:rPr>
        <w:t xml:space="preserve">🌱 Renovables — </w:t>
      </w:r>
      <w:r>
        <w:rPr>
          <w:rFonts w:ascii="Georgia" w:cs="Georgia" w:eastAsia="Georgia" w:hAnsi="Georgia"/>
          <w:color w:val="1f2937"/>
          <w:sz w:val="22"/>
          <w:szCs w:val="22"/>
        </w:rPr>
        <w:t xml:space="preserve">Informativo. Biomasa y biocombustibles. No computan en el total (GHG Protocol).</w:t>
      </w:r>
    </w:p>
    <w:p>
      <w:pPr>
        <w:pStyle w:val="ListParagraph"/>
        <w:numPr>
          <w:ilvl w:val="0"/>
          <w:numId w:val="1"/>
        </w:numPr>
        <w:spacing w:after="60"/>
      </w:pPr>
      <w:r>
        <w:rPr>
          <w:rFonts w:ascii="Georgia" w:cs="Georgia" w:eastAsia="Georgia" w:hAnsi="Georgia"/>
          <w:b/>
          <w:bCs/>
          <w:color w:val="1f2937"/>
          <w:sz w:val="22"/>
          <w:szCs w:val="22"/>
        </w:rPr>
        <w:t xml:space="preserve">⚡ Electricidad — </w:t>
      </w:r>
      <w:r>
        <w:rPr>
          <w:rFonts w:ascii="Georgia" w:cs="Georgia" w:eastAsia="Georgia" w:hAnsi="Georgia"/>
          <w:color w:val="1f2937"/>
          <w:sz w:val="22"/>
          <w:szCs w:val="22"/>
        </w:rPr>
        <w:t xml:space="preserve">Alcance 2. kWh por comercializadora con factor CNMC. Toggle de Garantía de Origen.</w:t>
      </w:r>
    </w:p>
    <w:p>
      <w:pPr>
        <w:pStyle w:val="ListParagraph"/>
        <w:numPr>
          <w:ilvl w:val="0"/>
          <w:numId w:val="1"/>
        </w:numPr>
        <w:spacing w:after="60"/>
      </w:pPr>
      <w:r>
        <w:rPr>
          <w:rFonts w:ascii="Georgia" w:cs="Georgia" w:eastAsia="Georgia" w:hAnsi="Georgia"/>
          <w:b/>
          <w:bCs/>
          <w:color w:val="1f2937"/>
          <w:sz w:val="22"/>
          <w:szCs w:val="22"/>
        </w:rPr>
        <w:t xml:space="preserve">📊 Resultados — </w:t>
      </w:r>
      <w:r>
        <w:rPr>
          <w:rFonts w:ascii="Georgia" w:cs="Georgia" w:eastAsia="Georgia" w:hAnsi="Georgia"/>
          <w:color w:val="1f2937"/>
          <w:sz w:val="22"/>
          <w:szCs w:val="22"/>
        </w:rPr>
        <w:t xml:space="preserve">Resumen total con desglose por alcance y categoría.</w:t>
      </w:r>
    </w:p>
    <w:p>
      <w:pPr>
        <w:pStyle w:val="ListParagraph"/>
        <w:numPr>
          <w:ilvl w:val="0"/>
          <w:numId w:val="1"/>
        </w:numPr>
        <w:spacing w:after="60"/>
      </w:pPr>
      <w:r>
        <w:rPr>
          <w:rFonts w:ascii="Georgia" w:cs="Georgia" w:eastAsia="Georgia" w:hAnsi="Georgia"/>
          <w:b/>
          <w:bCs/>
          <w:color w:val="1f2937"/>
          <w:sz w:val="22"/>
          <w:szCs w:val="22"/>
        </w:rPr>
        <w:t xml:space="preserve">📄 Informes — </w:t>
      </w:r>
      <w:r>
        <w:rPr>
          <w:rFonts w:ascii="Georgia" w:cs="Georgia" w:eastAsia="Georgia" w:hAnsi="Georgia"/>
          <w:color w:val="1f2937"/>
          <w:sz w:val="22"/>
          <w:szCs w:val="22"/>
        </w:rPr>
        <w:t xml:space="preserve">Exportación en 4 formatos: Excel, CSV, JSON, PDF.</w:t>
      </w:r>
    </w:p>
    <w:p>
      <w:pPr>
        <w:pStyle w:val="ListParagraph"/>
        <w:numPr>
          <w:ilvl w:val="0"/>
          <w:numId w:val="1"/>
        </w:numPr>
        <w:spacing w:after="60"/>
      </w:pPr>
      <w:r>
        <w:rPr>
          <w:rFonts w:ascii="Georgia" w:cs="Georgia" w:eastAsia="Georgia" w:hAnsi="Georgia"/>
          <w:b/>
          <w:bCs/>
          <w:color w:val="1f2937"/>
          <w:sz w:val="22"/>
          <w:szCs w:val="22"/>
        </w:rPr>
        <w:t xml:space="preserve">🔬 Factores — </w:t>
      </w:r>
      <w:r>
        <w:rPr>
          <w:rFonts w:ascii="Georgia" w:cs="Georgia" w:eastAsia="Georgia" w:hAnsi="Georgia"/>
          <w:color w:val="1f2937"/>
          <w:sz w:val="22"/>
          <w:szCs w:val="22"/>
        </w:rPr>
        <w:t xml:space="preserve">Tabla de consulta con todos los factores cargados (solo lectura).</w:t>
      </w:r>
    </w:p>
    <w:p>
      <w:pPr>
        <w:pStyle w:val="ListParagraph"/>
        <w:numPr>
          <w:ilvl w:val="0"/>
          <w:numId w:val="1"/>
        </w:numPr>
        <w:spacing w:after="60"/>
      </w:pPr>
      <w:r>
        <w:rPr>
          <w:rFonts w:ascii="Georgia" w:cs="Georgia" w:eastAsia="Georgia" w:hAnsi="Georgia"/>
          <w:b/>
          <w:bCs/>
          <w:color w:val="1f2937"/>
          <w:sz w:val="22"/>
          <w:szCs w:val="22"/>
        </w:rPr>
        <w:t xml:space="preserve">👥 Usuarios — </w:t>
      </w:r>
      <w:r>
        <w:rPr>
          <w:rFonts w:ascii="Georgia" w:cs="Georgia" w:eastAsia="Georgia" w:hAnsi="Georgia"/>
          <w:color w:val="1f2937"/>
          <w:sz w:val="22"/>
          <w:szCs w:val="22"/>
        </w:rPr>
        <w:t xml:space="preserve">Admin. CRUD de usuarios con 3 roles: Admin, Editor, Viewer.</w:t>
      </w:r>
    </w:p>
    <w:p>
      <w:pPr>
        <w:pStyle w:val="ListParagraph"/>
        <w:numPr>
          <w:ilvl w:val="0"/>
          <w:numId w:val="1"/>
        </w:numPr>
        <w:spacing w:after="60"/>
      </w:pPr>
      <w:r>
        <w:rPr>
          <w:rFonts w:ascii="Georgia" w:cs="Georgia" w:eastAsia="Georgia" w:hAnsi="Georgia"/>
          <w:b/>
          <w:bCs/>
          <w:color w:val="1f2937"/>
          <w:sz w:val="22"/>
          <w:szCs w:val="22"/>
        </w:rPr>
        <w:t xml:space="preserve">📝 Auditoría — </w:t>
      </w:r>
      <w:r>
        <w:rPr>
          <w:rFonts w:ascii="Georgia" w:cs="Georgia" w:eastAsia="Georgia" w:hAnsi="Georgia"/>
          <w:color w:val="1f2937"/>
          <w:sz w:val="22"/>
          <w:szCs w:val="22"/>
        </w:rPr>
        <w:t xml:space="preserve">Admin. Log completo de acciones con filtros por usuario, tipo y fecha.</w:t>
      </w:r>
    </w:p>
    <w:p>
      <w:pPr>
        <w:pBdr>
          <w:top w:val="dashed" w:color="2563eb" w:sz="2"/>
          <w:bottom w:val="dashed" w:color="2563eb" w:sz="2"/>
          <w:left w:val="dashed" w:color="2563eb" w:sz="2"/>
          <w:right w:val="dashed" w:color="2563eb" w:sz="2"/>
        </w:pBdr>
        <w:shd w:fill="dbeafe" w:val="clear"/>
        <w:spacing w:before="200" w:after="80"/>
        <w:jc w:val="center"/>
      </w:pPr>
      <w:r>
        <w:rPr>
          <w:rFonts w:ascii="Georgia" w:cs="Georgia" w:eastAsia="Georgia" w:hAnsi="Georgia"/>
          <w:b/>
          <w:bCs/>
          <w:color w:val="2563eb"/>
          <w:sz w:val="22"/>
          <w:szCs w:val="22"/>
        </w:rPr>
        <w:t xml:space="preserve">📸  [ INSERTAR IMAGEN: Sidebar de navegación ]</w:t>
      </w:r>
    </w:p>
    <w:p>
      <w:pPr>
        <w:spacing w:after="200"/>
        <w:jc w:val="center"/>
      </w:pPr>
      <w:r>
        <w:rPr>
          <w:rFonts w:ascii="Georgia" w:cs="Georgia" w:eastAsia="Georgia" w:hAnsi="Georgia"/>
          <w:i/>
          <w:iCs/>
          <w:color w:val="6b7280"/>
          <w:sz w:val="18"/>
          <w:szCs w:val="18"/>
        </w:rPr>
        <w:t xml:space="preserve">Captura de la barra lateral con las 13 secciones agrupadas y el branding "David Antizar" en el footer.</w:t>
      </w:r>
    </w:p>
    <w:p>
      <w:pPr>
        <w:spacing w:before="300" w:after="300"/>
        <w:jc w:val="center"/>
      </w:pPr>
      <w:r>
        <w:rPr>
          <w:color w:val="16a34a"/>
          <w:sz w:val="22"/>
          <w:szCs w:val="22"/>
        </w:rPr>
        <w:t xml:space="preserve">───────────────────────────</w:t>
      </w:r>
    </w:p>
    <w:p>
      <w:pPr>
        <w:spacing w:before="400" w:after="150"/>
      </w:pPr>
      <w:r>
        <w:rPr>
          <w:rFonts w:ascii="Georgia" w:cs="Georgia" w:eastAsia="Georgia" w:hAnsi="Georgia"/>
          <w:b/>
          <w:bCs/>
          <w:color w:val="15803d"/>
          <w:sz w:val="28"/>
          <w:szCs w:val="28"/>
        </w:rPr>
        <w:t xml:space="preserve">Lo que aprendí: cómo se debería digitalizar</w:t>
      </w:r>
    </w:p>
    <w:p>
      <w:pPr>
        <w:spacing w:after="150"/>
        <w:jc w:val="both"/>
      </w:pPr>
      <w:r>
        <w:rPr>
          <w:rFonts w:ascii="Georgia" w:cs="Georgia" w:eastAsia="Georgia" w:hAnsi="Georgia"/>
          <w:color w:val="1f2937"/>
          <w:sz w:val="22"/>
          <w:szCs w:val="22"/>
        </w:rPr>
        <w:t xml:space="preserve">Este proyecto me confirmó algo que llevo pensando mucho tiempo: digitalizar no es replicar un formulario en papel dentro de un navegador. Es entender el flujo completo del dato — desde su origen hasta su uso final — y diseñar un sistema que lo haga más fiable, más accesible y más útil.</w:t>
      </w:r>
    </w:p>
    <w:p>
      <w:pPr>
        <w:spacing w:after="150"/>
        <w:jc w:val="both"/>
      </w:pPr>
      <w:r>
        <w:rPr>
          <w:rFonts w:ascii="Georgia" w:cs="Georgia" w:eastAsia="Georgia" w:hAnsi="Georgia"/>
          <w:color w:val="1f2937"/>
          <w:sz w:val="22"/>
          <w:szCs w:val="22"/>
        </w:rPr>
        <w:t xml:space="preserve">La calculadora del MITECO funciona. Lleva 19 años funcionando. Pero funcionar no es suficiente cuando hablamos de algo tan importante como medir las emisiones de CO₂ de las empresas españolas.</w:t>
      </w:r>
    </w:p>
    <w:p>
      <w:pPr>
        <w:spacing w:after="150"/>
        <w:jc w:val="both"/>
      </w:pPr>
      <w:r>
        <w:rPr>
          <w:rFonts w:ascii="Georgia" w:cs="Georgia" w:eastAsia="Georgia" w:hAnsi="Georgia"/>
          <w:color w:val="1f2937"/>
          <w:sz w:val="22"/>
          <w:szCs w:val="22"/>
        </w:rPr>
        <w:t xml:space="preserve">Una herramienta gubernamental basada en Excel, con 13 pestañas y fórmulas ocultas, puede transformarse en una aplicación web moderna con validación en tiempo real, auditoría automática, gráficos interactivos y exportación multi-formato. Y todo manteniendo exactamente las mismas fórmulas oficiales, verificadas con tests automatizados.</w:t>
      </w:r>
    </w:p>
    <w:p>
      <w:pPr>
        <w:pBdr>
          <w:left w:val="single" w:color="16a34a" w:sz="6"/>
        </w:pBdr>
        <w:spacing w:before="100" w:after="200"/>
        <w:ind w:left="400"/>
      </w:pPr>
      <w:r>
        <w:rPr>
          <w:rFonts w:ascii="Georgia" w:cs="Georgia" w:eastAsia="Georgia" w:hAnsi="Georgia"/>
          <w:i/>
          <w:iCs/>
          <w:color w:val="15803d"/>
          <w:sz w:val="22"/>
          <w:szCs w:val="22"/>
        </w:rPr>
        <w:t xml:space="preserve">La clave: no sustituir el Excel por otro Excel. Sustituirlo por un sistema que haga imposible equivocarse, obligatorio auditar y fácil colaborar.</w:t>
      </w:r>
    </w:p>
    <w:p>
      <w:pPr>
        <w:spacing w:after="200"/>
      </w:pPr>
    </w:p>
    <w:p>
      <w:pPr>
        <w:spacing w:before="200" w:after="200"/>
        <w:jc w:val="center"/>
      </w:pPr>
      <w:r>
        <w:rPr>
          <w:color w:val="16a34a"/>
          <w:sz w:val="22"/>
          <w:szCs w:val="22"/>
        </w:rPr>
        <w:t xml:space="preserve">───────── ✦ ─────────</w:t>
      </w:r>
    </w:p>
    <w:p>
      <w:pPr>
        <w:spacing w:after="100"/>
        <w:jc w:val="center"/>
      </w:pPr>
      <w:r>
        <w:rPr>
          <w:rFonts w:ascii="Georgia" w:cs="Georgia" w:eastAsia="Georgia" w:hAnsi="Georgia"/>
          <w:b/>
          <w:bCs/>
          <w:color w:val="15803d"/>
          <w:sz w:val="28"/>
          <w:szCs w:val="28"/>
        </w:rPr>
        <w:t xml:space="preserve">¿Quieres probarlo?</w:t>
      </w:r>
    </w:p>
    <w:p>
      <w:pPr>
        <w:shd w:fill="f3f4f6" w:val="clear"/>
        <w:spacing w:after="100"/>
        <w:ind w:left="600" w:right="600"/>
        <w:jc w:val="center"/>
      </w:pPr>
      <w:r>
        <w:rPr>
          <w:rFonts w:ascii="Consolas" w:cs="Consolas" w:eastAsia="Consolas" w:hAnsi="Consolas"/>
          <w:color w:val="1f2937"/>
          <w:sz w:val="20"/>
          <w:szCs w:val="20"/>
        </w:rPr>
        <w:t xml:space="preserve">git clone https://github.com/Ntizar/HuelladeCarbono.git
npm install → npm run dev → localhost:3000</w:t>
      </w:r>
    </w:p>
    <w:p>
      <w:pPr>
        <w:spacing w:after="200"/>
        <w:jc w:val="center"/>
      </w:pPr>
      <w:r>
        <w:rPr>
          <w:rFonts w:ascii="Georgia" w:cs="Georgia" w:eastAsia="Georgia" w:hAnsi="Georgia"/>
          <w:color w:val="6b7280"/>
          <w:sz w:val="20"/>
          <w:szCs w:val="20"/>
        </w:rPr>
        <w:t xml:space="preserve">Demo: </w:t>
      </w:r>
      <w:r>
        <w:rPr>
          <w:rFonts w:ascii="Georgia" w:cs="Georgia" w:eastAsia="Georgia" w:hAnsi="Georgia"/>
          <w:b/>
          <w:bCs/>
          <w:color w:val="1f2937"/>
          <w:sz w:val="20"/>
          <w:szCs w:val="20"/>
        </w:rPr>
        <w:t xml:space="preserve">admin@demo.com / demo123</w:t>
      </w:r>
    </w:p>
    <w:p>
      <w:pPr>
        <w:spacing w:before="300" w:after="300"/>
        <w:jc w:val="center"/>
      </w:pPr>
      <w:r>
        <w:rPr>
          <w:color w:val="16a34a"/>
          <w:sz w:val="22"/>
          <w:szCs w:val="22"/>
        </w:rPr>
        <w:t xml:space="preserve">───────────────────────────</w:t>
      </w:r>
    </w:p>
    <w:p>
      <w:pPr>
        <w:spacing w:after="50"/>
        <w:jc w:val="center"/>
      </w:pPr>
      <w:r>
        <w:rPr>
          <w:rFonts w:ascii="Georgia" w:cs="Georgia" w:eastAsia="Georgia" w:hAnsi="Georgia"/>
          <w:color w:val="6b7280"/>
          <w:sz w:val="20"/>
          <w:szCs w:val="20"/>
        </w:rPr>
        <w:t xml:space="preserve">Desarrollado por </w:t>
      </w:r>
      <w:r>
        <w:rPr>
          <w:rFonts w:ascii="Georgia" w:cs="Georgia" w:eastAsia="Georgia" w:hAnsi="Georgia"/>
          <w:b/>
          <w:bCs/>
          <w:color w:val="1f2937"/>
          <w:sz w:val="20"/>
          <w:szCs w:val="20"/>
        </w:rPr>
        <w:t xml:space="preserve">David Antizar</w:t>
      </w:r>
      <w:r>
        <w:rPr>
          <w:rFonts w:ascii="Georgia" w:cs="Georgia" w:eastAsia="Georgia" w:hAnsi="Georgia"/>
          <w:color w:val="6b7280"/>
          <w:sz w:val="20"/>
          <w:szCs w:val="20"/>
        </w:rPr>
        <w:t xml:space="preserve">  ·  Febrero 2026  ·  </w:t>
      </w:r>
      <w:r>
        <w:rPr>
          <w:rFonts w:ascii="Georgia" w:cs="Georgia" w:eastAsia="Georgia" w:hAnsi="Georgia"/>
          <w:color w:val="2563eb"/>
          <w:sz w:val="20"/>
          <w:szCs w:val="20"/>
          <w:u w:val="single"/>
        </w:rPr>
        <w:t xml:space="preserve">github.com/Ntizar/HuelladeCarbono</w:t>
      </w:r>
    </w:p>
    <w:p>
      <w:pPr>
        <w:jc w:val="center"/>
      </w:pPr>
      <w:r>
        <w:rPr>
          <w:rFonts w:ascii="Georgia" w:cs="Georgia" w:eastAsia="Georgia" w:hAnsi="Georgia"/>
          <w:color w:val="6b7280"/>
          <w:sz w:val="18"/>
          <w:szCs w:val="18"/>
        </w:rPr>
        <w:t xml:space="preserve">Basado en la Calculadora MITECO V.31 · GHG Protocol · AR6 IPCC</w:t>
      </w:r>
    </w:p>
    <w:sectPr>
      <w:pgSz w:w="11906" w:h="16838" w:orient="portrait"/>
      <w:pgMar w:top="1000" w:right="1200" w:bottom="8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
    <w:name w:val="Heading Custom"/>
    <w:rPr>
      <w:rFonts w:ascii="Georgia" w:cs="Georgia" w:eastAsia="Georgia" w:hAnsi="Georgia"/>
      <w:b/>
      <w:bCs/>
      <w:color w:val="15803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Excel gubernamental a aplicación web: Cómo digitalicé la calculadora de huella de carbono del MITECO</dc:title>
  <dc:creator>David Antizar</dc:creator>
  <dc:description>Post para Substack sobre la digitalización de la calculadora de huella de carbono MITECO V.31</dc:description>
  <cp:lastModifiedBy>Un-named</cp:lastModifiedBy>
  <cp:revision>1</cp:revision>
  <dcterms:created xsi:type="dcterms:W3CDTF">2026-02-22T18:28:51.193Z</dcterms:created>
  <dcterms:modified xsi:type="dcterms:W3CDTF">2026-02-22T18:28:51.201Z</dcterms:modified>
</cp:coreProperties>
</file>

<file path=docProps/custom.xml><?xml version="1.0" encoding="utf-8"?>
<Properties xmlns="http://schemas.openxmlformats.org/officeDocument/2006/custom-properties" xmlns:vt="http://schemas.openxmlformats.org/officeDocument/2006/docPropsVTypes"/>
</file>