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pStyle w:val="TitleF"/>
      </w:pPr>
      <w:r>
        <w:t xml:space="preserve">Коммерческое предложение</w:t>
      </w:r>
    </w:p>
    <w:p>
      <w:r>
        <w:t xml:space="preserve">ЧПУП «ФОРУСультра» · производство и размещение рекламы · с 2005 года</w:t>
      </w:r>
    </w:p>
    <w:p>
      <w:pPr>
        <w:pStyle w:val="Heading2"/>
      </w:pPr>
      <w:r>
        <w:t xml:space="preserve">Снимаем рекламу, размещаем её и считаем, кто увидел</w:t>
      </w:r>
    </w:p>
    <w:p>
      <w:r>
        <w:t xml:space="preserve">Медиа-скроллеры в Витебске, видеопанели в торговых сетях Минска, Могилёва, Гомеля и Новополоцка, собственный видеопродакшн и онлайн-бронирование рекламных мест. Один подрядчик вместо трёх, один договор и понятные цифры охвата до старта кампании.</w:t>
      </w:r>
    </w:p>
    <w:p>
      <w:r>
        <w:rPr>
          <w:b/>
        </w:rPr>
        <w:t xml:space="preserve">Скоро:</w:t>
      </w:r>
      <w:r>
        <w:t xml:space="preserve"> обновляем forus.by. Адресная программа переезжает на сайт — выбор конструкции, охваты и бронирование дат онлайн, без звонка менеджеру.</w:t>
      </w:r>
    </w:p>
    <w:tbl>
      <w:tblPr>
        <w:tblStyle w:val="TableGridF"/>
        <w:tblW w:w="9350" w:type="dxa"/>
        <w:tblLayout w:type="fixed"/>
      </w:tblPr>
      <w:tblGrid>
        <w:gridCol w:w="2338"/>
        <w:gridCol w:w="7012"/>
      </w:tblGrid>
      <w:tr>
        <w:trPr>
          <w:tblHeader/>
        </w:trPr>
        <w:tc>
          <w:tcPr>
            <w:tcW w:w="2338" w:type="dxa"/>
            <w:shd w:val="clear" w:color="auto" w:fill="EFEDF7"/>
          </w:tcPr>
          <w:p>
            <w:pPr>
              <w:spacing w:before="40" w:after="40"/>
            </w:pPr>
            <w:r>
              <w:rPr>
                <w:b/>
              </w:rPr>
              <w:t xml:space="preserve">Цифра</w:t>
            </w:r>
          </w:p>
        </w:tc>
        <w:tc>
          <w:tcPr>
            <w:tcW w:w="7012" w:type="dxa"/>
            <w:shd w:val="clear" w:color="auto" w:fill="EFEDF7"/>
          </w:tcPr>
          <w:p>
            <w:pPr>
              <w:spacing w:before="40" w:after="40"/>
            </w:pPr>
            <w:r>
              <w:rPr>
                <w:b/>
              </w:rPr>
              <w:t xml:space="preserve">Что за ней</w:t>
            </w:r>
          </w:p>
        </w:tc>
      </w:tr>
      <w:tr>
        <w:tc>
          <w:tcPr>
            <w:tcW w:w="2338" w:type="dxa"/>
          </w:tcPr>
          <w:p>
            <w:pPr>
              <w:spacing w:before="40" w:after="40"/>
            </w:pPr>
            <w:r>
              <w:t xml:space="preserve">21</w:t>
            </w:r>
          </w:p>
        </w:tc>
        <w:tc>
          <w:tcPr>
            <w:tcW w:w="7012" w:type="dxa"/>
          </w:tcPr>
          <w:p>
            <w:pPr>
              <w:spacing w:before="40" w:after="40"/>
            </w:pPr>
            <w:r>
              <w:t xml:space="preserve">год на рынке indoor и outdoor-рекламы</w:t>
            </w:r>
          </w:p>
        </w:tc>
      </w:tr>
      <w:tr>
        <w:tc>
          <w:tcPr>
            <w:tcW w:w="2338" w:type="dxa"/>
          </w:tcPr>
          <w:p>
            <w:pPr>
              <w:spacing w:before="40" w:after="40"/>
            </w:pPr>
            <w:r>
              <w:t xml:space="preserve">300+</w:t>
            </w:r>
          </w:p>
        </w:tc>
        <w:tc>
          <w:tcPr>
            <w:tcW w:w="7012" w:type="dxa"/>
          </w:tcPr>
          <w:p>
            <w:pPr>
              <w:spacing w:before="40" w:after="40"/>
            </w:pPr>
            <w:r>
              <w:t xml:space="preserve">рекламных мест в адресной программе</w:t>
            </w:r>
          </w:p>
        </w:tc>
      </w:tr>
      <w:tr>
        <w:tc>
          <w:tcPr>
            <w:tcW w:w="2338" w:type="dxa"/>
          </w:tcPr>
          <w:p>
            <w:pPr>
              <w:spacing w:before="40" w:after="40"/>
            </w:pPr>
            <w:r>
              <w:t xml:space="preserve">6</w:t>
            </w:r>
          </w:p>
        </w:tc>
        <w:tc>
          <w:tcPr>
            <w:tcW w:w="7012" w:type="dxa"/>
          </w:tcPr>
          <w:p>
            <w:pPr>
              <w:spacing w:before="40" w:after="40"/>
            </w:pPr>
            <w:r>
              <w:t xml:space="preserve">городов присутствия: Витебск, Полоцк, Новополоцк, Минск, Могилёв, Гомель</w:t>
            </w:r>
          </w:p>
        </w:tc>
      </w:tr>
      <w:tr>
        <w:tc>
          <w:tcPr>
            <w:tcW w:w="2338" w:type="dxa"/>
          </w:tcPr>
          <w:p>
            <w:pPr>
              <w:spacing w:before="40" w:after="40"/>
            </w:pPr>
            <w:r>
              <w:t xml:space="preserve">24/7</w:t>
            </w:r>
          </w:p>
        </w:tc>
        <w:tc>
          <w:tcPr>
            <w:tcW w:w="7012" w:type="dxa"/>
          </w:tcPr>
          <w:p>
            <w:pPr>
              <w:spacing w:before="40" w:after="40"/>
            </w:pPr>
            <w:r>
              <w:t xml:space="preserve">бронирование мест онлайн на forus.by</w:t>
            </w:r>
          </w:p>
        </w:tc>
      </w:tr>
    </w:tbl>
    <w:p/>
    <w:p>
      <w:pPr>
        <w:pStyle w:val="Heading2"/>
      </w:pPr>
      <w:r>
        <w:t xml:space="preserve">Направление 01. Медиа-скроллеры</w:t>
      </w:r>
    </w:p>
    <w:p>
      <w:r>
        <w:rPr>
          <w:b/>
        </w:rPr>
        <w:t xml:space="preserve">Самый новый формат нашей адресной программы.</w:t>
      </w:r>
    </w:p>
    <w:p>
      <w:r>
        <w:t xml:space="preserve">Мы выводим на улицы Витебска LED-медиа-скроллеры: светодиодная поверхность вместо бумажного плаката. Изображение видно в дождь и в темноте, макет меняется удалённо за минуты, а на одной конструкции последовательно идут несколько рекламодателей.</w:t>
      </w:r>
    </w:p>
    <w:p>
      <w:r>
        <w:rPr>
          <w:b/>
        </w:rPr>
        <w:t xml:space="preserve">Видно круглосуточно.</w:t>
      </w:r>
      <w:r>
        <w:t xml:space="preserve"> Собственная подсветка держит контраст с семи утра до полуночи и в пасмурный день, когда обычный щит теряет половину контактов.</w:t>
      </w:r>
    </w:p>
    <w:p>
      <w:r>
        <w:rPr>
          <w:b/>
        </w:rPr>
        <w:t xml:space="preserve">Динамика вместо статики.</w:t>
      </w:r>
      <w:r>
        <w:t xml:space="preserve"> Смена кадров, движение, анимированный логотип. Глаз цепляется за движущееся изображение раньше, чем за неподвижное.</w:t>
      </w:r>
    </w:p>
    <w:p>
      <w:r>
        <w:rPr>
          <w:b/>
        </w:rPr>
        <w:t xml:space="preserve">Макет меняется за минуты.</w:t>
      </w:r>
      <w:r>
        <w:t xml:space="preserve"> Новая акция, новая цена, новый адрес — без печати, без монтажников и без простоя конструкции. Можно менять сообщение хоть каждый день.</w:t>
      </w:r>
    </w:p>
    <w:p>
      <w:r>
        <w:rPr>
          <w:b/>
        </w:rPr>
        <w:t xml:space="preserve">Дешевле входной билет.</w:t>
      </w:r>
      <w:r>
        <w:t xml:space="preserve"> Поверхность делится между несколькими рекламодателями, поэтому стоимость контакта ниже, чем при выкупе целого щита на месяц.</w:t>
      </w:r>
    </w:p>
    <w:p>
      <w:pPr>
        <w:pStyle w:val="Heading3"/>
      </w:pPr>
      <w:r>
        <w:t xml:space="preserve">Аналитика «МТС Охват»: цифры до подписания договора</w:t>
      </w:r>
    </w:p>
    <w:p>
      <w:r>
        <w:rPr>
          <w:b/>
        </w:rPr>
        <w:t xml:space="preserve">Сколько</w:t>
      </w:r>
      <w:r>
        <w:t xml:space="preserve"> человек фактически проходит и проезжает мимо конкретной конструкции — по данным о реальных перемещениях, а не по оценке «на глаз».</w:t>
      </w:r>
    </w:p>
    <w:p>
      <w:r>
        <w:rPr>
          <w:b/>
        </w:rPr>
        <w:t xml:space="preserve">Кто именно</w:t>
      </w:r>
      <w:r>
        <w:t xml:space="preserve"> — пол и возраст аудитории в этой точке города: вы платите за тех, кто вам нужен, а не за общий поток.</w:t>
      </w:r>
    </w:p>
    <w:p>
      <w:r>
        <w:rPr>
          <w:b/>
        </w:rPr>
        <w:t xml:space="preserve">Куда идёт</w:t>
      </w:r>
      <w:r>
        <w:t xml:space="preserve"> — векторы движения и параметры видимости: прогноз эффективности размещения ещё на этапе планирования.</w:t>
      </w:r>
    </w:p>
    <w:p>
      <w:r>
        <w:t xml:space="preserve">Платформа работает на Big Data МТС. Отчёт по выбранным конструкциям готовим бесплатно, до заключения договора и без обязательств с вашей стороны.</w:t>
      </w:r>
    </w:p>
    <w:p>
      <w:pPr>
        <w:pStyle w:val="Heading2"/>
      </w:pPr>
      <w:r>
        <w:t xml:space="preserve">Новое: бронирование рекламных мест онлайн</w:t>
      </w:r>
    </w:p>
    <w:p>
      <w:r>
        <w:t xml:space="preserve">Мы обновляем forus.by. Вся адресная программа ФОРУСа переезжает в личный кабинет на сайте: карта конструкций, свободные даты, охваты и счёт — без единого письма и звонка менеджеру. Заявка размещается за несколько минут, в любое время суток.</w:t>
      </w:r>
    </w:p>
    <w:tbl>
      <w:tblPr>
        <w:tblStyle w:val="TableGridF"/>
        <w:tblW w:w="9350" w:type="dxa"/>
        <w:tblLayout w:type="fixed"/>
      </w:tblPr>
      <w:tblGrid>
        <w:gridCol w:w="935"/>
        <w:gridCol w:w="3039"/>
        <w:gridCol w:w="5376"/>
      </w:tblGrid>
      <w:tr>
        <w:trPr>
          <w:tblHeader/>
        </w:trPr>
        <w:tc>
          <w:tcPr>
            <w:tcW w:w="935" w:type="dxa"/>
            <w:shd w:val="clear" w:color="auto" w:fill="EFEDF7"/>
          </w:tcPr>
          <w:p>
            <w:pPr>
              <w:spacing w:before="40" w:after="40"/>
            </w:pPr>
            <w:r>
              <w:rPr>
                <w:b/>
              </w:rPr>
              <w:t xml:space="preserve">Шаг</w:t>
            </w:r>
          </w:p>
        </w:tc>
        <w:tc>
          <w:tcPr>
            <w:tcW w:w="3039" w:type="dxa"/>
            <w:shd w:val="clear" w:color="auto" w:fill="EFEDF7"/>
          </w:tcPr>
          <w:p>
            <w:pPr>
              <w:spacing w:before="40" w:after="40"/>
            </w:pPr>
            <w:r>
              <w:rPr>
                <w:b/>
              </w:rPr>
              <w:t xml:space="preserve">Что делаете</w:t>
            </w:r>
          </w:p>
        </w:tc>
        <w:tc>
          <w:tcPr>
            <w:tcW w:w="5376" w:type="dxa"/>
            <w:shd w:val="clear" w:color="auto" w:fill="EFEDF7"/>
          </w:tcPr>
          <w:p>
            <w:pPr>
              <w:spacing w:before="40" w:after="40"/>
            </w:pPr>
            <w:r>
              <w:rPr>
                <w:b/>
              </w:rPr>
              <w:t xml:space="preserve">Как это выглядит</w:t>
            </w:r>
          </w:p>
        </w:tc>
      </w:tr>
      <w:tr>
        <w:tc>
          <w:tcPr>
            <w:tcW w:w="935" w:type="dxa"/>
          </w:tcPr>
          <w:p>
            <w:pPr>
              <w:spacing w:before="40" w:after="40"/>
            </w:pPr>
            <w:r>
              <w:t xml:space="preserve">01</w:t>
            </w:r>
          </w:p>
        </w:tc>
        <w:tc>
          <w:tcPr>
            <w:tcW w:w="3039" w:type="dxa"/>
          </w:tcPr>
          <w:p>
            <w:pPr>
              <w:spacing w:before="40" w:after="40"/>
            </w:pPr>
            <w:r>
              <w:t xml:space="preserve">Выбираете точку</w:t>
            </w:r>
          </w:p>
        </w:tc>
        <w:tc>
          <w:tcPr>
            <w:tcW w:w="5376" w:type="dxa"/>
          </w:tcPr>
          <w:p>
            <w:pPr>
              <w:spacing w:before="40" w:after="40"/>
            </w:pPr>
            <w:r>
              <w:t xml:space="preserve">Карта города со всеми конструкциями, фотография каждой поверхности, формат и габариты</w:t>
            </w:r>
          </w:p>
        </w:tc>
      </w:tr>
      <w:tr>
        <w:tc>
          <w:tcPr>
            <w:tcW w:w="935" w:type="dxa"/>
          </w:tcPr>
          <w:p>
            <w:pPr>
              <w:spacing w:before="40" w:after="40"/>
            </w:pPr>
            <w:r>
              <w:t xml:space="preserve">02</w:t>
            </w:r>
          </w:p>
        </w:tc>
        <w:tc>
          <w:tcPr>
            <w:tcW w:w="3039" w:type="dxa"/>
          </w:tcPr>
          <w:p>
            <w:pPr>
              <w:spacing w:before="40" w:after="40"/>
            </w:pPr>
            <w:r>
              <w:t xml:space="preserve">Смотрите охват</w:t>
            </w:r>
          </w:p>
        </w:tc>
        <w:tc>
          <w:tcPr>
            <w:tcW w:w="5376" w:type="dxa"/>
          </w:tcPr>
          <w:p>
            <w:pPr>
              <w:spacing w:before="40" w:after="40"/>
            </w:pPr>
            <w:r>
              <w:t xml:space="preserve">По каждому адресу — данные «МТС Охват»: трафик, пол и возраст аудитории</w:t>
            </w:r>
          </w:p>
        </w:tc>
      </w:tr>
      <w:tr>
        <w:tc>
          <w:tcPr>
            <w:tcW w:w="935" w:type="dxa"/>
          </w:tcPr>
          <w:p>
            <w:pPr>
              <w:spacing w:before="40" w:after="40"/>
            </w:pPr>
            <w:r>
              <w:t xml:space="preserve">03</w:t>
            </w:r>
          </w:p>
        </w:tc>
        <w:tc>
          <w:tcPr>
            <w:tcW w:w="3039" w:type="dxa"/>
          </w:tcPr>
          <w:p>
            <w:pPr>
              <w:spacing w:before="40" w:after="40"/>
            </w:pPr>
            <w:r>
              <w:t xml:space="preserve">Бронируете даты</w:t>
            </w:r>
          </w:p>
        </w:tc>
        <w:tc>
          <w:tcPr>
            <w:tcW w:w="5376" w:type="dxa"/>
          </w:tcPr>
          <w:p>
            <w:pPr>
              <w:spacing w:before="40" w:after="40"/>
            </w:pPr>
            <w:r>
              <w:t xml:space="preserve">Календарь занятости в реальном времени, свободный период закрепляется сразу</w:t>
            </w:r>
          </w:p>
        </w:tc>
      </w:tr>
      <w:tr>
        <w:tc>
          <w:tcPr>
            <w:tcW w:w="935" w:type="dxa"/>
          </w:tcPr>
          <w:p>
            <w:pPr>
              <w:spacing w:before="40" w:after="40"/>
            </w:pPr>
            <w:r>
              <w:t xml:space="preserve">04</w:t>
            </w:r>
          </w:p>
        </w:tc>
        <w:tc>
          <w:tcPr>
            <w:tcW w:w="3039" w:type="dxa"/>
          </w:tcPr>
          <w:p>
            <w:pPr>
              <w:spacing w:before="40" w:after="40"/>
            </w:pPr>
            <w:r>
              <w:t xml:space="preserve">Загружаете макет</w:t>
            </w:r>
          </w:p>
        </w:tc>
        <w:tc>
          <w:tcPr>
            <w:tcW w:w="5376" w:type="dxa"/>
          </w:tcPr>
          <w:p>
            <w:pPr>
              <w:spacing w:before="40" w:after="40"/>
            </w:pPr>
            <w:r>
              <w:t xml:space="preserve">Готовый файл или заявка нашему продакшну. Договор и счёт формируются в кабинете</w:t>
            </w:r>
          </w:p>
        </w:tc>
      </w:tr>
    </w:tbl>
    <w:p/>
    <w:p>
      <w:pPr>
        <w:pStyle w:val="Heading3"/>
      </w:pPr>
      <w:r>
        <w:t xml:space="preserve">Что это меняет для рекламодателя</w:t>
      </w:r>
    </w:p>
    <w:p>
      <w:r>
        <w:rPr>
          <w:b/>
        </w:rPr>
        <w:t xml:space="preserve">Сетевому бизнесу.</w:t>
      </w:r>
      <w:r>
        <w:t xml:space="preserve"> Несколько городов и десятки адресов в одном окне: видно, где кампания идёт, где место освободилось и какой макет крутится сейчас. Небольшой компании так же просто взять одну конструкцию на две недели.</w:t>
      </w:r>
    </w:p>
    <w:p>
      <w:r>
        <w:rPr>
          <w:b/>
        </w:rPr>
        <w:t xml:space="preserve">Рекламным агентствам.</w:t>
      </w:r>
      <w:r>
        <w:t xml:space="preserve"> Медиаплан для клиента собирается без запросов и ожидания ответа: занятость, охваты и стоимость сразу на экране. Сравнить два адреса по цене контакта — минута вместо встречи.</w:t>
      </w:r>
    </w:p>
    <w:p>
      <w:r>
        <w:t xml:space="preserve">Приглашаем вас в число первых пользователей обновлённого портала. Ранним клиентам открываем доступ до публичного запуска и закрепляем адреса на сезон вперёд.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Планирование без переписки.</w:t>
      </w:r>
      <w:r>
        <w:t xml:space="preserve"> Не нужно запрашивать у менеджера список свободных мест и ждать ответа до завтра: занятость видна сразу.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Кампания собирается за один вечер.</w:t>
      </w:r>
      <w:r>
        <w:t xml:space="preserve"> Отобрали пять адресов, сверили охваты, забронировали месяц, загрузили ролик.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История и документы в одном месте.</w:t>
      </w:r>
      <w:r>
        <w:t xml:space="preserve"> Прошлые размещения, макеты, акты и счета хранятся в кабинете, а не в почтовой переписке за три года.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Продакшн подключается в один клик.</w:t>
      </w:r>
      <w:r>
        <w:t xml:space="preserve"> Если макета нет, заявка на изготовление ролика уходит из того же окна.</w:t>
      </w:r>
    </w:p>
    <w:p>
      <w:pPr>
        <w:pStyle w:val="Heading2"/>
      </w:pPr>
      <w:r>
        <w:t xml:space="preserve">Направление 02. Видеопродакшн</w:t>
      </w:r>
    </w:p>
    <w:p>
      <w:r>
        <w:rPr>
          <w:b/>
        </w:rPr>
        <w:t xml:space="preserve">От ролика на 15 секунд до фильма о предприятии.</w:t>
      </w:r>
    </w:p>
    <w:p>
      <w:r>
        <w:t xml:space="preserve">Собственная производственная база: съёмка, монтаж, графика, озвучка, ИИ-инструменты. Ролик сразу собирается под ту поверхность, где будет крутиться, поэтому перевёрстка макета и потеря недели на согласования исключены.</w:t>
      </w:r>
    </w:p>
    <w:p>
      <w:r>
        <w:rPr>
          <w:b/>
        </w:rPr>
        <w:t xml:space="preserve">Рекламный ролик 10–30 секунд.</w:t>
      </w:r>
      <w:r>
        <w:t xml:space="preserve"> Для медиа-скроллеров, экранов, сайта и соцсетей. От статичного макета с дикторской озвучкой до динамичного видеоряда с графикой и звуковым дизайном.</w:t>
      </w:r>
    </w:p>
    <w:p>
      <w:r>
        <w:rPr>
          <w:b/>
        </w:rPr>
        <w:t xml:space="preserve">Корпоративное и юбилейное видео.</w:t>
      </w:r>
      <w:r>
        <w:t xml:space="preserve"> Фильм к дате компании, история производства, интервью с сотрудниками и ветеранами, ролик для выставки, для отчётного собрания и для раздела вакансий.</w:t>
      </w:r>
    </w:p>
    <w:p>
      <w:r>
        <w:rPr>
          <w:b/>
        </w:rPr>
        <w:t xml:space="preserve">Многосерийные ролики с сюжетом.</w:t>
      </w:r>
      <w:r>
        <w:t xml:space="preserve"> Один герой, одна история, 4–6 выпусков с развитием событий. Зритель досматривает серию и ждёт следующую, а бренд получает несколько контактов с одной и той же аудиторией вместо одного. Формат одинаково работает на уличных медиа-скроллерах, на экранах в торговых центрах и в ленте соцсетей — и стоит заметно дешевле, чем четыре не связанных между собой ролика, потому что герой, локация и графика разрабатываются один раз.</w:t>
      </w:r>
    </w:p>
    <w:p>
      <w:r>
        <w:rPr>
          <w:b/>
        </w:rPr>
        <w:t xml:space="preserve">Моушн-дизайн и 2D-анимация.</w:t>
      </w:r>
      <w:r>
        <w:t xml:space="preserve"> Анимация логотипа, брендированные заставки, инфографика в движении, анимированные титры.</w:t>
      </w:r>
    </w:p>
    <w:p>
      <w:r>
        <w:rPr>
          <w:b/>
        </w:rPr>
        <w:t xml:space="preserve">Контент для соцсетей.</w:t>
      </w:r>
      <w:r>
        <w:t xml:space="preserve"> Вертикальные видео под Reels, Shorts и TikTok. Одна съёмка нарезается на серию коротких роликов и работает месяц.</w:t>
      </w:r>
    </w:p>
    <w:p>
      <w:r>
        <w:rPr>
          <w:b/>
        </w:rPr>
        <w:t xml:space="preserve">Фотосъёмка.</w:t>
      </w:r>
      <w:r>
        <w:t xml:space="preserve"> Предметная и каталожная для сайта и маркетплейсов, репортаж с производства и мероприятий, портреты для HR-бренда.</w:t>
      </w:r>
    </w:p>
    <w:p>
      <w:r>
        <w:rPr>
          <w:b/>
        </w:rPr>
        <w:t xml:space="preserve">ИИ в продакшне.</w:t>
      </w:r>
      <w:r>
        <w:t xml:space="preserve"> Kling, Sora, апскейл и шумоподавление, генеративные вставки. Сцены, которые дорого снимать или физически негде снять.</w:t>
      </w:r>
    </w:p>
    <w:p>
      <w:pPr>
        <w:pStyle w:val="Heading2"/>
      </w:pPr>
      <w:r>
        <w:t xml:space="preserve">Из чего складывается стоимость</w:t>
      </w:r>
    </w:p>
    <w:p>
      <w:r>
        <w:t xml:space="preserve">Единой цены за секунду мы не публикуем: два ролика одинаковой длины могут различаться по трудоёмкости в несколько раз. На стоимость влияют:</w:t>
      </w:r>
    </w:p>
    <w:tbl>
      <w:tblPr>
        <w:tblStyle w:val="TableGridF"/>
        <w:tblW w:w="9350" w:type="dxa"/>
        <w:tblLayout w:type="fixed"/>
      </w:tblPr>
      <w:tblGrid>
        <w:gridCol w:w="3272"/>
        <w:gridCol w:w="6078"/>
      </w:tblGrid>
      <w:tr>
        <w:trPr>
          <w:tblHeader/>
        </w:trPr>
        <w:tc>
          <w:tcPr>
            <w:tcW w:w="3272" w:type="dxa"/>
            <w:shd w:val="clear" w:color="auto" w:fill="EFEDF7"/>
          </w:tcPr>
          <w:p>
            <w:pPr>
              <w:spacing w:before="40" w:after="40"/>
            </w:pPr>
            <w:r>
              <w:rPr>
                <w:b/>
              </w:rPr>
              <w:t xml:space="preserve">Что влияет</w:t>
            </w:r>
          </w:p>
        </w:tc>
        <w:tc>
          <w:tcPr>
            <w:tcW w:w="6078" w:type="dxa"/>
            <w:shd w:val="clear" w:color="auto" w:fill="EFEDF7"/>
          </w:tcPr>
          <w:p>
            <w:pPr>
              <w:spacing w:before="40" w:after="40"/>
            </w:pPr>
            <w:r>
              <w:rPr>
                <w:b/>
              </w:rPr>
              <w:t xml:space="preserve">Как именно</w:t>
            </w:r>
          </w:p>
        </w:tc>
      </w:tr>
      <w:tr>
        <w:tc>
          <w:tcPr>
            <w:tcW w:w="3272" w:type="dxa"/>
          </w:tcPr>
          <w:p>
            <w:pPr>
              <w:spacing w:before="40" w:after="40"/>
            </w:pPr>
            <w:r>
              <w:t xml:space="preserve">Формат ролика</w:t>
            </w:r>
          </w:p>
        </w:tc>
        <w:tc>
          <w:tcPr>
            <w:tcW w:w="6078" w:type="dxa"/>
          </w:tcPr>
          <w:p>
            <w:pPr>
              <w:spacing w:before="40" w:after="40"/>
            </w:pPr>
            <w:r>
              <w:t xml:space="preserve">статичный кадр с музыкой, кадр с дикторской озвучкой или динамичный видеоряд</w:t>
            </w:r>
          </w:p>
        </w:tc>
      </w:tr>
      <w:tr>
        <w:tc>
          <w:tcPr>
            <w:tcW w:w="3272" w:type="dxa"/>
          </w:tcPr>
          <w:p>
            <w:pPr>
              <w:spacing w:before="40" w:after="40"/>
            </w:pPr>
            <w:r>
              <w:t xml:space="preserve">Озвучка</w:t>
            </w:r>
          </w:p>
        </w:tc>
        <w:tc>
          <w:tcPr>
            <w:tcW w:w="6078" w:type="dxa"/>
          </w:tcPr>
          <w:p>
            <w:pPr>
              <w:spacing w:before="40" w:after="40"/>
            </w:pPr>
            <w:r>
              <w:t xml:space="preserve">наличие диктора и количество голосов</w:t>
            </w:r>
          </w:p>
        </w:tc>
      </w:tr>
      <w:tr>
        <w:tc>
          <w:tcPr>
            <w:tcW w:w="3272" w:type="dxa"/>
          </w:tcPr>
          <w:p>
            <w:pPr>
              <w:spacing w:before="40" w:after="40"/>
            </w:pPr>
            <w:r>
              <w:t xml:space="preserve">Графика</w:t>
            </w:r>
          </w:p>
        </w:tc>
        <w:tc>
          <w:tcPr>
            <w:tcW w:w="6078" w:type="dxa"/>
          </w:tcPr>
          <w:p>
            <w:pPr>
              <w:spacing w:before="40" w:after="40"/>
            </w:pPr>
            <w:r>
              <w:t xml:space="preserve">спецэффекты, компьютерная графика, сложная анимация</w:t>
            </w:r>
          </w:p>
        </w:tc>
      </w:tr>
      <w:tr>
        <w:tc>
          <w:tcPr>
            <w:tcW w:w="3272" w:type="dxa"/>
          </w:tcPr>
          <w:p>
            <w:pPr>
              <w:spacing w:before="40" w:after="40"/>
            </w:pPr>
            <w:r>
              <w:t xml:space="preserve">Объём исходников</w:t>
            </w:r>
          </w:p>
        </w:tc>
        <w:tc>
          <w:tcPr>
            <w:tcW w:w="6078" w:type="dxa"/>
          </w:tcPr>
          <w:p>
            <w:pPr>
              <w:spacing w:before="40" w:after="40"/>
            </w:pPr>
            <w:r>
              <w:t xml:space="preserve">сколько отснятого материала, сколько камер и звуковых дорожек</w:t>
            </w:r>
          </w:p>
        </w:tc>
      </w:tr>
      <w:tr>
        <w:tc>
          <w:tcPr>
            <w:tcW w:w="3272" w:type="dxa"/>
          </w:tcPr>
          <w:p>
            <w:pPr>
              <w:spacing w:before="40" w:after="40"/>
            </w:pPr>
            <w:r>
              <w:t xml:space="preserve">Срочность</w:t>
            </w:r>
          </w:p>
        </w:tc>
        <w:tc>
          <w:tcPr>
            <w:tcW w:w="6078" w:type="dxa"/>
          </w:tcPr>
          <w:p>
            <w:pPr>
              <w:spacing w:before="40" w:after="40"/>
            </w:pPr>
            <w:r>
              <w:t xml:space="preserve">требования к срокам сдачи</w:t>
            </w:r>
          </w:p>
        </w:tc>
      </w:tr>
      <w:tr>
        <w:tc>
          <w:tcPr>
            <w:tcW w:w="3272" w:type="dxa"/>
          </w:tcPr>
          <w:p>
            <w:pPr>
              <w:spacing w:before="40" w:after="40"/>
            </w:pPr>
            <w:r>
              <w:t xml:space="preserve">Дополнительно</w:t>
            </w:r>
          </w:p>
        </w:tc>
        <w:tc>
          <w:tcPr>
            <w:tcW w:w="6078" w:type="dxa"/>
          </w:tcPr>
          <w:p>
            <w:pPr>
              <w:spacing w:before="40" w:after="40"/>
            </w:pPr>
            <w:r>
              <w:t xml:space="preserve">сценарий, подбор музыки, премиальные ИИ-инструменты</w:t>
            </w:r>
          </w:p>
        </w:tc>
      </w:tr>
    </w:tbl>
    <w:p/>
    <w:p>
      <w:r>
        <w:rPr>
          <w:b/>
        </w:rPr>
        <w:t xml:space="preserve">Смету присылаем в течение одного рабочего дня</w:t>
      </w:r>
      <w:r>
        <w:t xml:space="preserve"> после короткого брифа: пять вопросов, три минуты. Прайс-листы по Республике Беларусь и России высылаем по запросу.</w:t>
      </w:r>
    </w:p>
    <w:p>
      <w:r>
        <w:t xml:space="preserve">Размещение на медиа-скроллерах считается по адресу и периоду — расчёт делается в личном кабинете на forus.by.</w:t>
      </w:r>
    </w:p>
    <w:p>
      <w:pPr>
        <w:pStyle w:val="Heading2"/>
      </w:pPr>
      <w:r>
        <w:t xml:space="preserve">Что предлагаем сделать прямо сейчас</w:t>
      </w:r>
    </w:p>
    <w:p>
      <w:r>
        <w:t xml:space="preserve">Напишите нам сферу деятельности и город. В течение двух рабочих дней вы бесплатно получите:</w:t>
      </w:r>
    </w:p>
    <w:p>
      <w:pPr>
        <w:pStyle w:val="ListParagraph"/>
        <w:numPr>
          <w:ilvl w:val="0"/>
          <w:numId w:val="1"/>
        </w:numPr>
      </w:pPr>
      <w:r>
        <w:t xml:space="preserve">подборку 3–5 конструкций с фактическими охватами именно по вашей аудитории;</w:t>
      </w:r>
    </w:p>
    <w:p>
      <w:pPr>
        <w:pStyle w:val="ListParagraph"/>
        <w:numPr>
          <w:ilvl w:val="0"/>
          <w:numId w:val="1"/>
        </w:numPr>
      </w:pPr>
      <w:r>
        <w:t xml:space="preserve">две концепции ролика под ваш продукт со сроком и ценой;</w:t>
      </w:r>
    </w:p>
    <w:p>
      <w:pPr>
        <w:pStyle w:val="ListParagraph"/>
        <w:numPr>
          <w:ilvl w:val="0"/>
          <w:numId w:val="1"/>
        </w:numPr>
      </w:pPr>
      <w:r>
        <w:t xml:space="preserve">ранний доступ в личный кабинет на forus.by, пока обновлённый портал не открыт публично.</w:t>
      </w:r>
    </w:p>
    <w:p>
      <w:r>
        <w:t xml:space="preserve">Никаких обязательств. Если удобнее голосом — 15 минут разговора в любое рабочее время.</w:t>
      </w:r>
    </w:p>
    <w:tbl>
      <w:tblPr>
        <w:tblStyle w:val="TableGridF"/>
        <w:tblW w:w="9350" w:type="dxa"/>
        <w:tblLayout w:type="fixed"/>
      </w:tblPr>
      <w:tblGrid>
        <w:gridCol w:w="3117"/>
        <w:gridCol w:w="6233"/>
      </w:tblGrid>
      <w:tr>
        <w:trPr>
          <w:tblHeader/>
        </w:trPr>
        <w:tc>
          <w:tcPr>
            <w:tcW w:w="3117" w:type="dxa"/>
            <w:shd w:val="clear" w:color="auto" w:fill="EFEDF7"/>
          </w:tcPr>
          <w:p>
            <w:pPr>
              <w:spacing w:before="40" w:after="40"/>
            </w:pPr>
            <w:r>
              <w:rPr>
                <w:b/>
              </w:rPr>
              <w:t xml:space="preserve">Контакт</w:t>
            </w:r>
          </w:p>
        </w:tc>
        <w:tc>
          <w:tcPr>
            <w:tcW w:w="6233" w:type="dxa"/>
            <w:shd w:val="clear" w:color="auto" w:fill="EFEDF7"/>
          </w:tcPr>
          <w:p>
            <w:pPr>
              <w:spacing w:before="40" w:after="40"/>
            </w:pPr>
            <w:r>
              <w:rPr>
                <w:b/>
              </w:rPr>
              <w:t xml:space="preserve"/>
            </w:r>
          </w:p>
        </w:tc>
      </w:tr>
      <w:tr>
        <w:tc>
          <w:tcPr>
            <w:tcW w:w="3117" w:type="dxa"/>
          </w:tcPr>
          <w:p>
            <w:pPr>
              <w:spacing w:before="40" w:after="40"/>
            </w:pPr>
            <w:r>
              <w:t xml:space="preserve">Телефон</w:t>
            </w:r>
          </w:p>
        </w:tc>
        <w:tc>
          <w:tcPr>
            <w:tcW w:w="6233" w:type="dxa"/>
          </w:tcPr>
          <w:p>
            <w:pPr>
              <w:spacing w:before="40" w:after="40"/>
            </w:pPr>
            <w:r>
              <w:t xml:space="preserve">+375 (29) 7-143-143, +375 (44) 7-143-143</w:t>
            </w:r>
          </w:p>
        </w:tc>
      </w:tr>
      <w:tr>
        <w:tc>
          <w:tcPr>
            <w:tcW w:w="3117" w:type="dxa"/>
          </w:tcPr>
          <w:p>
            <w:pPr>
              <w:spacing w:before="40" w:after="40"/>
            </w:pPr>
            <w:r>
              <w:t xml:space="preserve">Городской, факс</w:t>
            </w:r>
          </w:p>
        </w:tc>
        <w:tc>
          <w:tcPr>
            <w:tcW w:w="6233" w:type="dxa"/>
          </w:tcPr>
          <w:p>
            <w:pPr>
              <w:spacing w:before="40" w:after="40"/>
            </w:pPr>
            <w:r>
              <w:t xml:space="preserve">8 (0212) 43-57-75, 43-57-74</w:t>
            </w:r>
          </w:p>
        </w:tc>
      </w:tr>
      <w:tr>
        <w:tc>
          <w:tcPr>
            <w:tcW w:w="3117" w:type="dxa"/>
          </w:tcPr>
          <w:p>
            <w:pPr>
              <w:spacing w:before="40" w:after="40"/>
            </w:pPr>
            <w:r>
              <w:t xml:space="preserve">Почта</w:t>
            </w:r>
          </w:p>
        </w:tc>
        <w:tc>
          <w:tcPr>
            <w:tcW w:w="6233" w:type="dxa"/>
          </w:tcPr>
          <w:p>
            <w:pPr>
              <w:spacing w:before="40" w:after="40"/>
            </w:pPr>
            <w:r>
              <w:t xml:space="preserve">info@forus.by</w:t>
            </w:r>
          </w:p>
        </w:tc>
      </w:tr>
      <w:tr>
        <w:tc>
          <w:tcPr>
            <w:tcW w:w="3117" w:type="dxa"/>
          </w:tcPr>
          <w:p>
            <w:pPr>
              <w:spacing w:before="40" w:after="40"/>
            </w:pPr>
            <w:r>
              <w:t xml:space="preserve">Сайт</w:t>
            </w:r>
          </w:p>
        </w:tc>
        <w:tc>
          <w:tcPr>
            <w:tcW w:w="6233" w:type="dxa"/>
          </w:tcPr>
          <w:p>
            <w:pPr>
              <w:spacing w:before="40" w:after="40"/>
            </w:pPr>
            <w:r>
              <w:t xml:space="preserve">forus.by</w:t>
            </w:r>
          </w:p>
        </w:tc>
      </w:tr>
      <w:tr>
        <w:tc>
          <w:tcPr>
            <w:tcW w:w="3117" w:type="dxa"/>
          </w:tcPr>
          <w:p>
            <w:pPr>
              <w:spacing w:before="40" w:after="40"/>
            </w:pPr>
            <w:r>
              <w:t xml:space="preserve">Адрес</w:t>
            </w:r>
          </w:p>
        </w:tc>
        <w:tc>
          <w:tcPr>
            <w:tcW w:w="6233" w:type="dxa"/>
          </w:tcPr>
          <w:p>
            <w:pPr>
              <w:spacing w:before="40" w:after="40"/>
            </w:pPr>
            <w:r>
              <w:t xml:space="preserve">210016, г. Витебск, ул. Володарского, 100</w:t>
            </w:r>
          </w:p>
        </w:tc>
      </w:tr>
      <w:tr>
        <w:tc>
          <w:tcPr>
            <w:tcW w:w="3117" w:type="dxa"/>
          </w:tcPr>
          <w:p>
            <w:pPr>
              <w:spacing w:before="40" w:after="40"/>
            </w:pPr>
            <w:r>
              <w:t xml:space="preserve">Реквизиты</w:t>
            </w:r>
          </w:p>
        </w:tc>
        <w:tc>
          <w:tcPr>
            <w:tcW w:w="6233" w:type="dxa"/>
          </w:tcPr>
          <w:p>
            <w:pPr>
              <w:spacing w:before="40" w:after="40"/>
            </w:pPr>
            <w:r>
              <w:t xml:space="preserve">ЧПУП «ФОРУСультра», УНП 390476970</w:t>
            </w:r>
          </w:p>
        </w:tc>
      </w:tr>
    </w:tbl>
    <w:p/>
    <w:sectPr>
      <w:pgSz w:w="11906" w:h="16838"/>
      <w:pgMar w:top="1134" w:right="1134" w:bottom="1134" w:left="1418" w:header="709" w:footer="709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—"/>
      <w:lvlJc w:val="left"/>
      <w:pPr>
        <w:ind w:left="720" w:hanging="360"/>
      </w:pPr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  <w:szCs w:val="22"/>
        <w:lang w:val="ru-RU"/>
      </w:rPr>
    </w:rPrDefault>
    <w:pPrDefault>
      <w:pPr>
        <w:spacing w:after="140" w:line="276" w:lineRule="auto"/>
      </w:pPr>
    </w:pPrDefault>
  </w:docDefaults>
  <w:style w:type="paragraph" w:default="1" w:styleId="Normal">
    <w:name w:val="Normal"/>
    <w:qFormat/>
  </w:style>
  <w:style w:type="paragraph" w:styleId="TitleF">
    <w:name w:val="Title"/>
    <w:basedOn w:val="Normal"/>
    <w:qFormat/>
    <w:pPr>
      <w:spacing w:before="0" w:after="240"/>
    </w:pPr>
    <w:rPr>
      <w:b/>
      <w:color w:val="3B2A98"/>
      <w:sz w:val="52"/>
    </w:rPr>
  </w:style>
  <w:style w:type="paragraph" w:styleId="Heading2">
    <w:name w:val="heading 2"/>
    <w:basedOn w:val="Normal"/>
    <w:next w:val="Normal"/>
    <w:qFormat/>
    <w:pPr>
      <w:keepNext/>
      <w:outlineLvl w:val="0"/>
      <w:spacing w:before="360" w:after="140"/>
    </w:pPr>
    <w:rPr>
      <w:b/>
      <w:color w:val="3B2A98"/>
      <w:sz w:val="32"/>
    </w:rPr>
  </w:style>
  <w:style w:type="paragraph" w:styleId="Heading3">
    <w:name w:val="heading 3"/>
    <w:basedOn w:val="Normal"/>
    <w:next w:val="Normal"/>
    <w:qFormat/>
    <w:pPr>
      <w:keepNext/>
      <w:outlineLvl w:val="1"/>
      <w:spacing w:before="280" w:after="120"/>
    </w:pPr>
    <w:rPr>
      <w:b/>
      <w:color w:val="7B1FA2"/>
      <w:sz w:val="26"/>
    </w:rPr>
  </w:style>
  <w:style w:type="paragraph" w:styleId="ListParagraph">
    <w:name w:val="List Paragraph"/>
    <w:basedOn w:val="Normal"/>
    <w:qFormat/>
    <w:pPr>
      <w:spacing w:after="60"/>
      <w:ind w:left="720"/>
    </w:pPr>
  </w:style>
  <w:style w:type="table" w:styleId="TableGridF">
    <w:name w:val="Table Grid"/>
    <w:tblPr>
      <w:tblBorders>
        <w:top w:val="single" w:sz="4" w:space="0" w:color="C9C6DE"/>
        <w:left w:val="single" w:sz="4" w:space="0" w:color="C9C6DE"/>
        <w:bottom w:val="single" w:sz="4" w:space="0" w:color="C9C6DE"/>
        <w:right w:val="single" w:sz="4" w:space="0" w:color="C9C6DE"/>
        <w:insideH w:val="single" w:sz="4" w:space="0" w:color="C9C6DE"/>
        <w:insideV w:val="single" w:sz="4" w:space="0" w:color="C9C6DE"/>
      </w:tblBorders>
      <w:tblCellMar>
        <w:top w:w="60" w:type="dxa"/>
        <w:left w:w="108" w:type="dxa"/>
        <w:bottom w:w="60" w:type="dxa"/>
        <w:right w:w="108" w:type="dxa"/>
      </w:tblCellMar>
    </w:tbl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numbering" Target="numbering.xml"/>
</Relationships>
</file>

<file path=docProps/app.xml><?xml version="1.0" encoding="utf-8"?>
<Properties xmlns="http://schemas.openxmlformats.org/officeDocument/2006/extended-properties">
  <Application>forus.by roadmap generator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Дорожная карта внедрения портала forus.by</dc:title>
  <dc:creator>ЧПУП «ФОРУСультра»</dc:creator>
  <cp:lastModifiedBy>ЧПУП «ФОРУСультра»</cp:lastModifiedBy>
  <dcterms:created xsi:type="dcterms:W3CDTF">2026-09-03T11:32:42Z</dcterms:created>
  <dcterms:modified xsi:type="dcterms:W3CDTF">2026-09-03T11:32:42Z</dcterms:modified>
</cp:coreProperties>
</file>