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F"/>
      </w:pPr>
      <w:r>
        <w:t xml:space="preserve">Политика ЧПУП «ФОРУСультра» в отношении обработки персональных данных</w:t>
      </w:r>
    </w:p>
    <w:p>
      <w:pPr>
        <w:pStyle w:val="Heading2"/>
      </w:pPr>
      <w:r>
        <w:t xml:space="preserve">1. Общие положения</w:t>
      </w:r>
    </w:p>
    <w:p>
      <w:r>
        <w:t xml:space="preserve">1.1. Настоящая Политика издана во исполнение статьи 17 Закона Республики Беларусь от 7 мая 2021 г. № 99-З «О защите персональных данных» (далее — Закон) и определяет политику ЧПУП «ФОРУСультра» (далее — Оператор) в отношении обработки персональных данных.</w:t>
      </w:r>
    </w:p>
    <w:p>
      <w:r>
        <w:t xml:space="preserve">1.2. Оператор: Частное производственное унитарное предприятие «ФОРУСультра», место нахождения — г. Витебск, ул. Володарского, 100, УНП ____________.</w:t>
      </w:r>
    </w:p>
    <w:p>
      <w:r>
        <w:t xml:space="preserve">1.3. Политика применяется к персональным данным, получаемым Оператором через сайт forus.by (далее — Портал), по телефону и электронной почте, а также при заключении и исполнении договоров.</w:t>
      </w:r>
    </w:p>
    <w:p>
      <w:r>
        <w:t xml:space="preserve">1.4. Политика размещена на Портале в открытом доступе до начала обработки персональных данных и доступна без регистрации.</w:t>
      </w:r>
    </w:p>
    <w:p>
      <w:r>
        <w:t xml:space="preserve">1.5. Редакция №1 от ____________ 2026 г.</w:t>
      </w:r>
    </w:p>
    <w:p>
      <w:pPr>
        <w:pStyle w:val="Heading2"/>
      </w:pPr>
      <w:r>
        <w:t xml:space="preserve">2. Термины</w:t>
      </w:r>
    </w:p>
    <w:p>
      <w:r>
        <w:t xml:space="preserve">2.1. Термины «персональные данные», «обработка персональных данных», «оператор», «уполномоченное лицо», «субъект персональных данных», «согласие», «блокирование», «удаление», «трансграничная передача» используются в значениях, определённых статьёй 1 Закона.</w:t>
      </w:r>
    </w:p>
    <w:p>
      <w:r>
        <w:t xml:space="preserve">2.2. </w:t>
      </w:r>
      <w:r>
        <w:rPr>
          <w:b/>
        </w:rPr>
        <w:t xml:space="preserve">Пользователь</w:t>
      </w:r>
      <w:r>
        <w:t xml:space="preserve"> — физическое лицо, обращающееся к Порталу, в том числе представитель юридического лица или индивидуального предпринимателя.</w:t>
      </w:r>
    </w:p>
    <w:p>
      <w:pPr>
        <w:pStyle w:val="Heading2"/>
      </w:pPr>
      <w:r>
        <w:t xml:space="preserve">3. Принципы обработки</w:t>
      </w:r>
    </w:p>
    <w:p>
      <w:r>
        <w:t xml:space="preserve">3.1. Оператор обрабатывает персональные данные на основе следующих принципов (статья 4 Закона):</w:t>
      </w:r>
    </w:p>
    <w:p>
      <w:pPr>
        <w:pStyle w:val="ListParagraph"/>
        <w:numPr>
          <w:ilvl w:val="0"/>
          <w:numId w:val="1"/>
        </w:numPr>
      </w:pPr>
      <w:r>
        <w:t xml:space="preserve">обработка осуществляется на законной основе;</w:t>
      </w:r>
    </w:p>
    <w:p>
      <w:pPr>
        <w:pStyle w:val="ListParagraph"/>
        <w:numPr>
          <w:ilvl w:val="0"/>
          <w:numId w:val="1"/>
        </w:numPr>
      </w:pPr>
      <w:r>
        <w:t xml:space="preserve">обработка соразмерна заявленным целям и обеспечивает справедливое соотношение интересов сторон;</w:t>
      </w:r>
    </w:p>
    <w:p>
      <w:pPr>
        <w:pStyle w:val="ListParagraph"/>
        <w:numPr>
          <w:ilvl w:val="0"/>
          <w:numId w:val="1"/>
        </w:numPr>
      </w:pPr>
      <w:r>
        <w:t xml:space="preserve">обрабатываются только те персональные данные, которые соответствуют заявленным целям; избыточные данные не собираются;</w:t>
      </w:r>
    </w:p>
    <w:p>
      <w:pPr>
        <w:pStyle w:val="ListParagraph"/>
        <w:numPr>
          <w:ilvl w:val="0"/>
          <w:numId w:val="1"/>
        </w:numPr>
      </w:pPr>
      <w:r>
        <w:t xml:space="preserve">содержание и объём данных соответствуют целям, данные не используются для целей, не совместимых с первоначальными;</w:t>
      </w:r>
    </w:p>
    <w:p>
      <w:pPr>
        <w:pStyle w:val="ListParagraph"/>
        <w:numPr>
          <w:ilvl w:val="0"/>
          <w:numId w:val="1"/>
        </w:numPr>
      </w:pPr>
      <w:r>
        <w:t xml:space="preserve">обрабатываемые данные достоверны и при необходимости актуализируются;</w:t>
      </w:r>
    </w:p>
    <w:p>
      <w:pPr>
        <w:pStyle w:val="ListParagraph"/>
        <w:numPr>
          <w:ilvl w:val="0"/>
          <w:numId w:val="1"/>
        </w:numPr>
      </w:pPr>
      <w:r>
        <w:t xml:space="preserve">данные хранятся в форме, позволяющей идентифицировать субъекта, не дольше, чем этого требуют цели обработки.</w:t>
      </w:r>
    </w:p>
    <w:p>
      <w:r>
        <w:t xml:space="preserve">3.2. Специальные персональные данные (о расовой и национальной принадлежности, политических взглядах, членстве в профсоюзах, религиозных и иных убеждениях, состоянии здоровья, судимости, биометрические и генетические данные) Оператором не обрабатываются.</w:t>
      </w:r>
    </w:p>
    <w:p>
      <w:pPr>
        <w:pStyle w:val="Heading2"/>
      </w:pPr>
      <w:r>
        <w:t xml:space="preserve">4. Категории субъектов и состав обрабатываемых данных</w:t>
      </w:r>
    </w:p>
    <w:tbl>
      <w:tblPr>
        <w:tblStyle w:val="TableGridF"/>
        <w:tblW w:w="9350" w:type="dxa"/>
        <w:tblLayout w:type="fixed"/>
      </w:tblPr>
      <w:tblGrid>
        <w:gridCol w:w="3473"/>
        <w:gridCol w:w="5877"/>
      </w:tblGrid>
      <w:tr>
        <w:trPr>
          <w:tblHeader/>
        </w:trPr>
        <w:tc>
          <w:tcPr>
            <w:tcW w:w="3473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Категория субъектов</w:t>
            </w:r>
          </w:p>
        </w:tc>
        <w:tc>
          <w:tcPr>
            <w:tcW w:w="5877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Состав персональных данных</w:t>
            </w:r>
          </w:p>
        </w:tc>
      </w:tr>
      <w:tr>
        <w:tc>
          <w:tcPr>
            <w:tcW w:w="3473" w:type="dxa"/>
          </w:tcPr>
          <w:p>
            <w:pPr>
              <w:spacing w:before="40" w:after="40"/>
            </w:pPr>
            <w:r>
              <w:t xml:space="preserve">Посетитель Портала без регистрации</w:t>
            </w:r>
          </w:p>
        </w:tc>
        <w:tc>
          <w:tcPr>
            <w:tcW w:w="5877" w:type="dxa"/>
          </w:tcPr>
          <w:p>
            <w:pPr>
              <w:spacing w:before="40" w:after="40"/>
            </w:pPr>
            <w:r>
              <w:t xml:space="preserve">IP-адрес, сведения о браузере и устройстве, дата и время обращения, просмотренные страницы</w:t>
            </w:r>
          </w:p>
        </w:tc>
      </w:tr>
      <w:tr>
        <w:tc>
          <w:tcPr>
            <w:tcW w:w="3473" w:type="dxa"/>
          </w:tcPr>
          <w:p>
            <w:pPr>
              <w:spacing w:before="40" w:after="40"/>
            </w:pPr>
            <w:r>
              <w:t xml:space="preserve">Зарегистрированный пользователь</w:t>
            </w:r>
          </w:p>
        </w:tc>
        <w:tc>
          <w:tcPr>
            <w:tcW w:w="5877" w:type="dxa"/>
          </w:tcPr>
          <w:p>
            <w:pPr>
              <w:spacing w:before="40" w:after="40"/>
            </w:pPr>
            <w:r>
              <w:t xml:space="preserve">номер телефона, адрес электронной почты, тип плательщика, УНП, наименование организации, фамилия и имя контактного лица, адрес доставки документов</w:t>
            </w:r>
          </w:p>
        </w:tc>
      </w:tr>
      <w:tr>
        <w:tc>
          <w:tcPr>
            <w:tcW w:w="3473" w:type="dxa"/>
          </w:tcPr>
          <w:p>
            <w:pPr>
              <w:spacing w:before="40" w:after="40"/>
            </w:pPr>
            <w:r>
              <w:t xml:space="preserve">Лицо, оставившее заявку без регистрации</w:t>
            </w:r>
          </w:p>
        </w:tc>
        <w:tc>
          <w:tcPr>
            <w:tcW w:w="5877" w:type="dxa"/>
          </w:tcPr>
          <w:p>
            <w:pPr>
              <w:spacing w:before="40" w:after="40"/>
            </w:pPr>
            <w:r>
              <w:t xml:space="preserve">фамилия и имя, номер телефона, адрес электронной почты, содержание обращения</w:t>
            </w:r>
          </w:p>
        </w:tc>
      </w:tr>
      <w:tr>
        <w:tc>
          <w:tcPr>
            <w:tcW w:w="3473" w:type="dxa"/>
          </w:tcPr>
          <w:p>
            <w:pPr>
              <w:spacing w:before="40" w:after="40"/>
            </w:pPr>
            <w:r>
              <w:t xml:space="preserve">Представитель заказчика по заключённому договору</w:t>
            </w:r>
          </w:p>
        </w:tc>
        <w:tc>
          <w:tcPr>
            <w:tcW w:w="5877" w:type="dxa"/>
          </w:tcPr>
          <w:p>
            <w:pPr>
              <w:spacing w:before="40" w:after="40"/>
            </w:pPr>
            <w:r>
              <w:t xml:space="preserve">фамилия, имя, отчество, должность, служебные телефон и адрес электронной почты</w:t>
            </w:r>
          </w:p>
        </w:tc>
      </w:tr>
      <w:tr>
        <w:tc>
          <w:tcPr>
            <w:tcW w:w="3473" w:type="dxa"/>
          </w:tcPr>
          <w:p>
            <w:pPr>
              <w:spacing w:before="40" w:after="40"/>
            </w:pPr>
            <w:r>
              <w:t xml:space="preserve">Лицо, изображённое в рекламном материале</w:t>
            </w:r>
          </w:p>
        </w:tc>
        <w:tc>
          <w:tcPr>
            <w:tcW w:w="5877" w:type="dxa"/>
          </w:tcPr>
          <w:p>
            <w:pPr>
              <w:spacing w:before="40" w:after="40"/>
            </w:pPr>
            <w:r>
              <w:t xml:space="preserve">изображение — обрабатывается на основании согласия, полученного заказчиком</w:t>
            </w:r>
          </w:p>
        </w:tc>
      </w:tr>
    </w:tbl>
    <w:p/>
    <w:p>
      <w:pPr>
        <w:pStyle w:val="Heading2"/>
      </w:pPr>
      <w:r>
        <w:t xml:space="preserve">5. Цели, правовые основания и сроки хранения</w:t>
      </w:r>
    </w:p>
    <w:tbl>
      <w:tblPr>
        <w:tblStyle w:val="TableGridF"/>
        <w:tblW w:w="9350" w:type="dxa"/>
        <w:tblLayout w:type="fixed"/>
      </w:tblPr>
      <w:tblGrid>
        <w:gridCol w:w="3117"/>
        <w:gridCol w:w="3532"/>
        <w:gridCol w:w="2701"/>
      </w:tblGrid>
      <w:tr>
        <w:trPr>
          <w:tblHeader/>
        </w:trPr>
        <w:tc>
          <w:tcPr>
            <w:tcW w:w="3117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Цель обработки</w:t>
            </w:r>
          </w:p>
        </w:tc>
        <w:tc>
          <w:tcPr>
            <w:tcW w:w="3532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Правовое основание</w:t>
            </w:r>
          </w:p>
        </w:tc>
        <w:tc>
          <w:tcPr>
            <w:tcW w:w="2701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Срок хранения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Регистрация на Портале, доступ в личный кабинет, подтверждение номера телефона</w:t>
            </w:r>
          </w:p>
        </w:tc>
        <w:tc>
          <w:tcPr>
            <w:tcW w:w="3532" w:type="dxa"/>
          </w:tcPr>
          <w:p>
            <w:pPr>
              <w:spacing w:before="40" w:after="40"/>
            </w:pPr>
            <w:r>
              <w:t xml:space="preserve">согласие субъекта персональных данных</w:t>
            </w:r>
          </w:p>
        </w:tc>
        <w:tc>
          <w:tcPr>
            <w:tcW w:w="2701" w:type="dxa"/>
          </w:tcPr>
          <w:p>
            <w:pPr>
              <w:spacing w:before="40" w:after="40"/>
            </w:pPr>
            <w:r>
              <w:t xml:space="preserve">до отзыва согласия либо до удаления учётной записи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Заключение и исполнение договора, оформление счёта-протокола, акта и иных документов</w:t>
            </w:r>
          </w:p>
        </w:tc>
        <w:tc>
          <w:tcPr>
            <w:tcW w:w="3532" w:type="dxa"/>
          </w:tcPr>
          <w:p>
            <w:pPr>
              <w:spacing w:before="40" w:after="40"/>
            </w:pPr>
            <w:r>
              <w:t xml:space="preserve">обработка необходима для заключения и исполнения договора, стороной которого является субъект (статья 6 Закона); отдельное согласие не требуется</w:t>
            </w:r>
          </w:p>
        </w:tc>
        <w:tc>
          <w:tcPr>
            <w:tcW w:w="2701" w:type="dxa"/>
          </w:tcPr>
          <w:p>
            <w:pPr>
              <w:spacing w:before="40" w:after="40"/>
            </w:pPr>
            <w:r>
              <w:t xml:space="preserve">в течение срока действия договора и последующего срока, установленного законодательством для хранения соответствующих документов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Бухгалтерский и налоговый учёт, исполнение обязанностей, предусмотренных законодательством</w:t>
            </w:r>
          </w:p>
        </w:tc>
        <w:tc>
          <w:tcPr>
            <w:tcW w:w="3532" w:type="dxa"/>
          </w:tcPr>
          <w:p>
            <w:pPr>
              <w:spacing w:before="40" w:after="40"/>
            </w:pPr>
            <w:r>
              <w:t xml:space="preserve">выполнение обязанностей, предусмотренных законодательными актами</w:t>
            </w:r>
          </w:p>
        </w:tc>
        <w:tc>
          <w:tcPr>
            <w:tcW w:w="2701" w:type="dxa"/>
          </w:tcPr>
          <w:p>
            <w:pPr>
              <w:spacing w:before="40" w:after="40"/>
            </w:pPr>
            <w:r>
              <w:t xml:space="preserve">сроки, установленные законодательством о бухгалтерском учёте и об архивном деле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Направление информационных и рекламных сообщений</w:t>
            </w:r>
          </w:p>
        </w:tc>
        <w:tc>
          <w:tcPr>
            <w:tcW w:w="3532" w:type="dxa"/>
          </w:tcPr>
          <w:p>
            <w:pPr>
              <w:spacing w:before="40" w:after="40"/>
            </w:pPr>
            <w:r>
              <w:t xml:space="preserve">отдельное согласие субъекта</w:t>
            </w:r>
          </w:p>
        </w:tc>
        <w:tc>
          <w:tcPr>
            <w:tcW w:w="2701" w:type="dxa"/>
          </w:tcPr>
          <w:p>
            <w:pPr>
              <w:spacing w:before="40" w:after="40"/>
            </w:pPr>
            <w:r>
              <w:t xml:space="preserve">до отзыва согласия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Анализ посещаемости Портала и поведения пользователей</w:t>
            </w:r>
          </w:p>
        </w:tc>
        <w:tc>
          <w:tcPr>
            <w:tcW w:w="3532" w:type="dxa"/>
          </w:tcPr>
          <w:p>
            <w:pPr>
              <w:spacing w:before="40" w:after="40"/>
            </w:pPr>
            <w:r>
              <w:t xml:space="preserve">отдельное согласие субъекта</w:t>
            </w:r>
          </w:p>
        </w:tc>
        <w:tc>
          <w:tcPr>
            <w:tcW w:w="2701" w:type="dxa"/>
          </w:tcPr>
          <w:p>
            <w:pPr>
              <w:spacing w:before="40" w:after="40"/>
            </w:pPr>
            <w:r>
              <w:t xml:space="preserve">не более 12 месяцев с момента сбора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Рассмотрение обращений и претензий</w:t>
            </w:r>
          </w:p>
        </w:tc>
        <w:tc>
          <w:tcPr>
            <w:tcW w:w="3532" w:type="dxa"/>
          </w:tcPr>
          <w:p>
            <w:pPr>
              <w:spacing w:before="40" w:after="40"/>
            </w:pPr>
            <w:r>
              <w:t xml:space="preserve">согласие субъекта либо исполнение обязанностей, предусмотренных законодательством</w:t>
            </w:r>
          </w:p>
        </w:tc>
        <w:tc>
          <w:tcPr>
            <w:tcW w:w="2701" w:type="dxa"/>
          </w:tcPr>
          <w:p>
            <w:pPr>
              <w:spacing w:before="40" w:after="40"/>
            </w:pPr>
            <w:r>
              <w:t xml:space="preserve">3 года с даты последнего обращения</w:t>
            </w:r>
          </w:p>
        </w:tc>
      </w:tr>
    </w:tbl>
    <w:p/>
    <w:p>
      <w:r>
        <w:t xml:space="preserve">5.1. По достижении целей обработки, а также при отсутствии иных оснований для продолжения обработки Оператор прекращает обработку и осуществляет удаление либо блокирование персональных данных.</w:t>
      </w:r>
    </w:p>
    <w:p>
      <w:pPr>
        <w:pStyle w:val="Heading2"/>
      </w:pPr>
      <w:r>
        <w:t xml:space="preserve">6. Согласие на обработку</w:t>
      </w:r>
    </w:p>
    <w:p>
      <w:r>
        <w:t xml:space="preserve">6.1. Там, где обработка осуществляется на основании согласия, согласие запрашивается отдельно по каждой цели. Согласия не преформлены: отметки о согласии не проставлены заранее и проставляются субъектом самостоятельно.</w:t>
      </w:r>
    </w:p>
    <w:p>
      <w:r>
        <w:t xml:space="preserve">6.2. Согласие на обработку персональных данных, необходимых для заключения договора, не объединяется с согласием на рассылки и с согласием на анализ поведения на Портале. Отказ от согласия на рассылки и аналитику не влечёт отказа в заключении договора и оказании услуг.</w:t>
      </w:r>
    </w:p>
    <w:p>
      <w:r>
        <w:t xml:space="preserve">6.3. Согласие может быть отозвано в любое время. Отзыв согласия не влечёт неправомерности обработки, осуществлённой до его отзыва.</w:t>
      </w:r>
    </w:p>
    <w:p>
      <w:pPr>
        <w:pStyle w:val="Heading2"/>
      </w:pPr>
      <w:r>
        <w:t xml:space="preserve">7. Локальное хранилище браузера, файлы cookie и картографический сервис</w:t>
      </w:r>
    </w:p>
    <w:p>
      <w:r>
        <w:t xml:space="preserve">7.1. Портал сохраняет собранный пользователем медиаплан и сведения его учётной записи в локальном хранилище браузера на устройстве пользователя. Эти сведения на серверы Оператора не передаются, Оператор доступа к ним не имеет; они удаляются очисткой данных сайта средствами браузера.</w:t>
      </w:r>
    </w:p>
    <w:p>
      <w:r>
        <w:t xml:space="preserve">7.2. Портал использует картографический сервис «Яндекс Карты». При отображении карты браузер пользователя самостоятельно обращается к серверам поставщика сервиса, которому при этом становятся доступны IP-адрес и технические сведения об устройстве пользователя. Обработка этих данных осуществляется поставщиком сервиса в соответствии с его собственными условиями; такое обращение может являться трансграничной передачей и осуществляется с соблюдением статьи 9 Закона.</w:t>
      </w:r>
    </w:p>
    <w:p>
      <w:r>
        <w:t xml:space="preserve">7.3. Средства веб-аналитики подключаются только после получения согласия пользователя, выраженного отдельно от иных согласий. До получения согласия аналитические сценарии не загружаются.</w:t>
      </w:r>
    </w:p>
    <w:p>
      <w:pPr>
        <w:pStyle w:val="Heading2"/>
      </w:pPr>
      <w:r>
        <w:t xml:space="preserve">8. Передача персональных данных</w:t>
      </w:r>
    </w:p>
    <w:p>
      <w:r>
        <w:t xml:space="preserve">8.1. Оператор вправе поручить обработку персональных данных уполномоченному лицу на основании договора, содержащего условие о соблюдении уполномоченным лицом принципов и правил обработки, предусмотренных Законом. Уполномоченное лицо не вправе обрабатывать данные в собственных целях.</w:t>
      </w:r>
    </w:p>
    <w:p>
      <w:r>
        <w:t xml:space="preserve">8.2. Персональные данные могут предоставляться:</w:t>
      </w:r>
    </w:p>
    <w:p>
      <w:pPr>
        <w:pStyle w:val="ListParagraph"/>
        <w:numPr>
          <w:ilvl w:val="0"/>
          <w:numId w:val="1"/>
        </w:numPr>
      </w:pPr>
      <w:r>
        <w:t xml:space="preserve">организации, осуществляющей изготовление (печать) рекламных материалов, — в объёме, необходимом для исполнения заказа;</w:t>
      </w:r>
    </w:p>
    <w:p>
      <w:pPr>
        <w:pStyle w:val="ListParagraph"/>
        <w:numPr>
          <w:ilvl w:val="0"/>
          <w:numId w:val="1"/>
        </w:numPr>
      </w:pPr>
      <w:r>
        <w:t xml:space="preserve">банку и оператору электронного документооборота — в объёме, необходимом для расчётов и обмена документами;</w:t>
      </w:r>
    </w:p>
    <w:p>
      <w:pPr>
        <w:pStyle w:val="ListParagraph"/>
        <w:numPr>
          <w:ilvl w:val="0"/>
          <w:numId w:val="1"/>
        </w:numPr>
      </w:pPr>
      <w:r>
        <w:t xml:space="preserve">оператору электросвязи — номер телефона, для доставки сообщения с кодом подтверждения;</w:t>
      </w:r>
    </w:p>
    <w:p>
      <w:pPr>
        <w:pStyle w:val="ListParagraph"/>
        <w:numPr>
          <w:ilvl w:val="0"/>
          <w:numId w:val="1"/>
        </w:numPr>
      </w:pPr>
      <w:r>
        <w:t xml:space="preserve">государственным органам и иным лицам — в случаях и объёме, предусмотренных законодательством.</w:t>
      </w:r>
    </w:p>
    <w:p>
      <w:r>
        <w:t xml:space="preserve">8.3. Персональные данные не передаются третьим лицам в рекламных целях и не предоставляются за плату.</w:t>
      </w:r>
    </w:p>
    <w:p>
      <w:r>
        <w:t xml:space="preserve">8.4. Трансграничная передача персональных данных в иностранные государства, в которых не обеспечивается надлежащий уровень защиты прав субъектов персональных данных, не осуществляется, за исключением случаев, предусмотренных статьёй 9 Закона, в том числе при наличии согласия субъекта, выраженного после его информирования о рисках такой передачи.</w:t>
      </w:r>
    </w:p>
    <w:p>
      <w:pPr>
        <w:pStyle w:val="Heading2"/>
      </w:pPr>
      <w:r>
        <w:t xml:space="preserve">9. Права субъекта персональных данных и порядок их реализации</w:t>
      </w:r>
    </w:p>
    <w:p>
      <w:r>
        <w:t xml:space="preserve">9.1. Субъект персональных данных вправе:</w:t>
      </w:r>
    </w:p>
    <w:tbl>
      <w:tblPr>
        <w:tblStyle w:val="TableGridF"/>
        <w:tblW w:w="9350" w:type="dxa"/>
        <w:tblLayout w:type="fixed"/>
      </w:tblPr>
      <w:tblGrid>
        <w:gridCol w:w="4065"/>
        <w:gridCol w:w="2439"/>
        <w:gridCol w:w="2846"/>
      </w:tblGrid>
      <w:tr>
        <w:trPr>
          <w:tblHeader/>
        </w:trPr>
        <w:tc>
          <w:tcPr>
            <w:tcW w:w="4065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Право</w:t>
            </w:r>
          </w:p>
        </w:tc>
        <w:tc>
          <w:tcPr>
            <w:tcW w:w="2439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Срок исполнения Оператором</w:t>
            </w:r>
          </w:p>
        </w:tc>
        <w:tc>
          <w:tcPr>
            <w:tcW w:w="2846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Норма Закона</w:t>
            </w:r>
          </w:p>
        </w:tc>
      </w:tr>
      <w:tr>
        <w:tc>
          <w:tcPr>
            <w:tcW w:w="4065" w:type="dxa"/>
          </w:tcPr>
          <w:p>
            <w:pPr>
              <w:spacing w:before="40" w:after="40"/>
            </w:pPr>
            <w:r>
              <w:t xml:space="preserve">Получить информацию об обработке своих персональных данных</w:t>
            </w:r>
          </w:p>
        </w:tc>
        <w:tc>
          <w:tcPr>
            <w:tcW w:w="2439" w:type="dxa"/>
          </w:tcPr>
          <w:p>
            <w:pPr>
              <w:spacing w:before="40" w:after="40"/>
            </w:pPr>
            <w:r>
              <w:t xml:space="preserve">5 рабочих дней</w:t>
            </w:r>
          </w:p>
        </w:tc>
        <w:tc>
          <w:tcPr>
            <w:tcW w:w="2846" w:type="dxa"/>
          </w:tcPr>
          <w:p>
            <w:pPr>
              <w:spacing w:before="40" w:after="40"/>
            </w:pPr>
            <w:r>
              <w:t xml:space="preserve">статья 11</w:t>
            </w:r>
          </w:p>
        </w:tc>
      </w:tr>
      <w:tr>
        <w:tc>
          <w:tcPr>
            <w:tcW w:w="4065" w:type="dxa"/>
          </w:tcPr>
          <w:p>
            <w:pPr>
              <w:spacing w:before="40" w:after="40"/>
            </w:pPr>
            <w:r>
              <w:t xml:space="preserve">Получить информацию о предоставлении своих данных третьим лицам (один раз в календарный год бесплатно)</w:t>
            </w:r>
          </w:p>
        </w:tc>
        <w:tc>
          <w:tcPr>
            <w:tcW w:w="2439" w:type="dxa"/>
          </w:tcPr>
          <w:p>
            <w:pPr>
              <w:spacing w:before="40" w:after="40"/>
            </w:pPr>
            <w:r>
              <w:t xml:space="preserve">15 дней</w:t>
            </w:r>
          </w:p>
        </w:tc>
        <w:tc>
          <w:tcPr>
            <w:tcW w:w="2846" w:type="dxa"/>
          </w:tcPr>
          <w:p>
            <w:pPr>
              <w:spacing w:before="40" w:after="40"/>
            </w:pPr>
            <w:r>
              <w:t xml:space="preserve">статья 12</w:t>
            </w:r>
          </w:p>
        </w:tc>
      </w:tr>
      <w:tr>
        <w:tc>
          <w:tcPr>
            <w:tcW w:w="4065" w:type="dxa"/>
          </w:tcPr>
          <w:p>
            <w:pPr>
              <w:spacing w:before="40" w:after="40"/>
            </w:pPr>
            <w:r>
              <w:t xml:space="preserve">Требовать внесения изменений в свои персональные данные</w:t>
            </w:r>
          </w:p>
        </w:tc>
        <w:tc>
          <w:tcPr>
            <w:tcW w:w="2439" w:type="dxa"/>
          </w:tcPr>
          <w:p>
            <w:pPr>
              <w:spacing w:before="40" w:after="40"/>
            </w:pPr>
            <w:r>
              <w:t xml:space="preserve">15 дней</w:t>
            </w:r>
          </w:p>
        </w:tc>
        <w:tc>
          <w:tcPr>
            <w:tcW w:w="2846" w:type="dxa"/>
          </w:tcPr>
          <w:p>
            <w:pPr>
              <w:spacing w:before="40" w:after="40"/>
            </w:pPr>
            <w:r>
              <w:t xml:space="preserve">статья 13</w:t>
            </w:r>
          </w:p>
        </w:tc>
      </w:tr>
      <w:tr>
        <w:tc>
          <w:tcPr>
            <w:tcW w:w="4065" w:type="dxa"/>
          </w:tcPr>
          <w:p>
            <w:pPr>
              <w:spacing w:before="40" w:after="40"/>
            </w:pPr>
            <w:r>
              <w:t xml:space="preserve">Требовать прекращения обработки и удаления персональных данных при отсутствии оснований для обработки</w:t>
            </w:r>
          </w:p>
        </w:tc>
        <w:tc>
          <w:tcPr>
            <w:tcW w:w="2439" w:type="dxa"/>
          </w:tcPr>
          <w:p>
            <w:pPr>
              <w:spacing w:before="40" w:after="40"/>
            </w:pPr>
            <w:r>
              <w:t xml:space="preserve">15 дней</w:t>
            </w:r>
          </w:p>
        </w:tc>
        <w:tc>
          <w:tcPr>
            <w:tcW w:w="2846" w:type="dxa"/>
          </w:tcPr>
          <w:p>
            <w:pPr>
              <w:spacing w:before="40" w:after="40"/>
            </w:pPr>
            <w:r>
              <w:t xml:space="preserve">статья 13</w:t>
            </w:r>
          </w:p>
        </w:tc>
      </w:tr>
      <w:tr>
        <w:tc>
          <w:tcPr>
            <w:tcW w:w="4065" w:type="dxa"/>
          </w:tcPr>
          <w:p>
            <w:pPr>
              <w:spacing w:before="40" w:after="40"/>
            </w:pPr>
            <w:r>
              <w:t xml:space="preserve">Отозвать ранее данное согласие</w:t>
            </w:r>
          </w:p>
        </w:tc>
        <w:tc>
          <w:tcPr>
            <w:tcW w:w="2439" w:type="dxa"/>
          </w:tcPr>
          <w:p>
            <w:pPr>
              <w:spacing w:before="40" w:after="40"/>
            </w:pPr>
            <w:r>
              <w:t xml:space="preserve">15 дней на прекращение обработки, удаление и уведомление субъекта</w:t>
            </w:r>
          </w:p>
        </w:tc>
        <w:tc>
          <w:tcPr>
            <w:tcW w:w="2846" w:type="dxa"/>
          </w:tcPr>
          <w:p>
            <w:pPr>
              <w:spacing w:before="40" w:after="40"/>
            </w:pPr>
            <w:r>
              <w:t xml:space="preserve">статья 10</w:t>
            </w:r>
          </w:p>
        </w:tc>
      </w:tr>
      <w:tr>
        <w:tc>
          <w:tcPr>
            <w:tcW w:w="4065" w:type="dxa"/>
          </w:tcPr>
          <w:p>
            <w:pPr>
              <w:spacing w:before="40" w:after="40"/>
            </w:pPr>
            <w:r>
              <w:t xml:space="preserve">Обжаловать действия (бездействие) и решения Оператора</w:t>
            </w:r>
          </w:p>
        </w:tc>
        <w:tc>
          <w:tcPr>
            <w:tcW w:w="2439" w:type="dxa"/>
          </w:tcPr>
          <w:p>
            <w:pPr>
              <w:spacing w:before="40" w:after="40"/>
            </w:pPr>
            <w:r>
              <w:t xml:space="preserve">—</w:t>
            </w:r>
          </w:p>
        </w:tc>
        <w:tc>
          <w:tcPr>
            <w:tcW w:w="2846" w:type="dxa"/>
          </w:tcPr>
          <w:p>
            <w:pPr>
              <w:spacing w:before="40" w:after="40"/>
            </w:pPr>
            <w:r>
              <w:t xml:space="preserve">статья 15</w:t>
            </w:r>
          </w:p>
        </w:tc>
      </w:tr>
    </w:tbl>
    <w:p/>
    <w:p>
      <w:r>
        <w:t xml:space="preserve">9.2. При технической невозможности удаления персональных данных Оператор осуществляет их блокирование, не допускает дальнейшей обработки и уведомляет об этом субъекта в тот же срок.</w:t>
      </w:r>
    </w:p>
    <w:p>
      <w:r>
        <w:t xml:space="preserve">9.3. Заявление подаётся Оператору в письменной форме либо в виде электронного документа и должно содержать (статья 14 Закона):</w:t>
      </w:r>
    </w:p>
    <w:p>
      <w:pPr>
        <w:pStyle w:val="ListParagraph"/>
        <w:numPr>
          <w:ilvl w:val="0"/>
          <w:numId w:val="1"/>
        </w:numPr>
      </w:pPr>
      <w:r>
        <w:t xml:space="preserve">фамилию, собственное имя, отчество (если таковое имеется) субъекта;</w:t>
      </w:r>
    </w:p>
    <w:p>
      <w:pPr>
        <w:pStyle w:val="ListParagraph"/>
        <w:numPr>
          <w:ilvl w:val="0"/>
          <w:numId w:val="1"/>
        </w:numPr>
      </w:pPr>
      <w:r>
        <w:t xml:space="preserve">адрес места жительства (места пребывания);</w:t>
      </w:r>
    </w:p>
    <w:p>
      <w:pPr>
        <w:pStyle w:val="ListParagraph"/>
        <w:numPr>
          <w:ilvl w:val="0"/>
          <w:numId w:val="1"/>
        </w:numPr>
      </w:pPr>
      <w:r>
        <w:t xml:space="preserve">дату рождения;</w:t>
      </w:r>
    </w:p>
    <w:p>
      <w:pPr>
        <w:pStyle w:val="ListParagraph"/>
        <w:numPr>
          <w:ilvl w:val="0"/>
          <w:numId w:val="1"/>
        </w:numPr>
      </w:pPr>
      <w:r>
        <w:t xml:space="preserve">идентификационный номер, а при его отсутствии — номер документа, удостоверяющего личность, в случаях, когда эти сведения указывались при даче согласия либо обработка осуществляется без согласия;</w:t>
      </w:r>
    </w:p>
    <w:p>
      <w:pPr>
        <w:pStyle w:val="ListParagraph"/>
        <w:numPr>
          <w:ilvl w:val="0"/>
          <w:numId w:val="1"/>
        </w:numPr>
      </w:pPr>
      <w:r>
        <w:t xml:space="preserve">изложение сути требования;</w:t>
      </w:r>
    </w:p>
    <w:p>
      <w:pPr>
        <w:pStyle w:val="ListParagraph"/>
        <w:numPr>
          <w:ilvl w:val="0"/>
          <w:numId w:val="1"/>
        </w:numPr>
      </w:pPr>
      <w:r>
        <w:t xml:space="preserve">личную подпись либо электронную цифровую подпись.</w:t>
      </w:r>
    </w:p>
    <w:p>
      <w:r>
        <w:t xml:space="preserve">9.4. Ответ направляется в форме, соответствующей форме подачи заявления. При отказе в удовлетворении заявления Оператор сообщает мотивы отказа.</w:t>
      </w:r>
    </w:p>
    <w:p>
      <w:r>
        <w:t xml:space="preserve">9.5. Заявление направляется по адресу: г. Витебск, ул. Володарского, 100, либо по адресу электронной почты info@forus.by.</w:t>
      </w:r>
    </w:p>
    <w:p>
      <w:r>
        <w:t xml:space="preserve">9.6. Действия (бездействие) и решения Оператора могут быть обжалованы в Национальный центр защиты персональных данных Республики Беларусь — уполномоченный орган по защите прав субъектов персональных данных.</w:t>
      </w:r>
    </w:p>
    <w:p>
      <w:pPr>
        <w:pStyle w:val="Heading2"/>
      </w:pPr>
      <w:r>
        <w:t xml:space="preserve">10. Меры по обеспечению защиты персональных данных</w:t>
      </w:r>
    </w:p>
    <w:p>
      <w:r>
        <w:t xml:space="preserve">10.1. Оператор назначает лицо, ответственное за осуществление внутреннего контроля за обработкой персональных данных.</w:t>
      </w:r>
    </w:p>
    <w:p>
      <w:r>
        <w:t xml:space="preserve">10.2. Оператор издаёт локальные правовые акты, определяющие порядок обработки и защиты персональных данных, знакомит с ними работников и обеспечивает их обучение в порядке, установленном законодательством.</w:t>
      </w:r>
    </w:p>
    <w:p>
      <w:r>
        <w:t xml:space="preserve">10.3. Оператор применяет технические и организационные меры защиты, в том числе:</w:t>
      </w:r>
    </w:p>
    <w:p>
      <w:pPr>
        <w:pStyle w:val="ListParagraph"/>
        <w:numPr>
          <w:ilvl w:val="0"/>
          <w:numId w:val="1"/>
        </w:numPr>
      </w:pPr>
      <w:r>
        <w:t xml:space="preserve">разграничение прав доступа к информационным ресурсам, доступ работников только к тем данным, которые необходимы для выполнения их обязанностей;</w:t>
      </w:r>
    </w:p>
    <w:p>
      <w:pPr>
        <w:pStyle w:val="ListParagraph"/>
        <w:numPr>
          <w:ilvl w:val="0"/>
          <w:numId w:val="1"/>
        </w:numPr>
      </w:pPr>
      <w:r>
        <w:t xml:space="preserve">парольную защиту и учёт лиц, допущенных к обработке;</w:t>
      </w:r>
    </w:p>
    <w:p>
      <w:pPr>
        <w:pStyle w:val="ListParagraph"/>
        <w:numPr>
          <w:ilvl w:val="0"/>
          <w:numId w:val="1"/>
        </w:numPr>
      </w:pPr>
      <w:r>
        <w:t xml:space="preserve">резервное копирование и защиту каналов передачи данных;</w:t>
      </w:r>
    </w:p>
    <w:p>
      <w:pPr>
        <w:pStyle w:val="ListParagraph"/>
        <w:numPr>
          <w:ilvl w:val="0"/>
          <w:numId w:val="1"/>
        </w:numPr>
      </w:pPr>
      <w:r>
        <w:t xml:space="preserve">контроль за размещением данных на съёмных носителях и передачей по электронной почте.</w:t>
      </w:r>
    </w:p>
    <w:p>
      <w:r>
        <w:t xml:space="preserve">10.4. О нарушении систем защиты персональных данных Оператор уведомляет Национальный центр защиты персональных данных не позднее трёх рабочих дней после получения сведений о таком нарушении (статья 16 Закона).</w:t>
      </w:r>
    </w:p>
    <w:p>
      <w:pPr>
        <w:pStyle w:val="Heading2"/>
      </w:pPr>
      <w:r>
        <w:t xml:space="preserve">11. Заключительные положения</w:t>
      </w:r>
    </w:p>
    <w:p>
      <w:r>
        <w:t xml:space="preserve">11.1. Оператор вправе вносить изменения в настоящую Политику. Новая редакция размещается на Портале и вступает в силу с даты размещения.</w:t>
      </w:r>
    </w:p>
    <w:p>
      <w:r>
        <w:t xml:space="preserve">11.2. Вопросы, не урегулированные настоящей Политикой, разрешаются в соответствии с законодательством Республики Беларусь.</w:t>
      </w:r>
    </w:p>
    <w:p>
      <w:r>
        <w:t xml:space="preserve">11.3. Контактные данные для обращений по вопросам обработки персональных данных:</w:t>
      </w:r>
    </w:p>
    <w:tbl>
      <w:tblPr>
        <w:tblStyle w:val="TableGridF"/>
        <w:tblW w:w="9350" w:type="dxa"/>
        <w:tblLayout w:type="fixed"/>
      </w:tblPr>
      <w:tblGrid>
        <w:gridCol w:w="3117"/>
        <w:gridCol w:w="6233"/>
      </w:tblGrid>
      <w:tr>
        <w:trPr>
          <w:tblHeader/>
        </w:trPr>
        <w:tc>
          <w:tcPr>
            <w:tcW w:w="3117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Реквизит</w:t>
            </w:r>
          </w:p>
        </w:tc>
        <w:tc>
          <w:tcPr>
            <w:tcW w:w="6233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Оператор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ЧПУП «ФОРУСультра»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Адрес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г. Витебск, ул. Володарского, 100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Телефон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+375 (29) 7-143-143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Электронная почта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info@forus.by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Ответственный за внутренний контроль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____________ (должность, фамилия и инициалы)</w:t>
            </w:r>
          </w:p>
        </w:tc>
      </w:tr>
    </w:tbl>
    <w:p/>
    <w:sectPr>
      <w:pgSz w:w="11906" w:h="16838"/>
      <w:pgMar w:top="1134" w:right="1134" w:bottom="1134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F">
    <w:name w:val="Title"/>
    <w:basedOn w:val="Normal"/>
    <w:qFormat/>
    <w:pPr>
      <w:spacing w:before="0" w:after="240"/>
    </w:pPr>
    <w:rPr>
      <w:b/>
      <w:color w:val="3B2A98"/>
      <w:sz w:val="52"/>
    </w:rPr>
  </w:style>
  <w:style w:type="paragraph" w:styleId="Heading2">
    <w:name w:val="heading 2"/>
    <w:basedOn w:val="Normal"/>
    <w:next w:val="Normal"/>
    <w:qFormat/>
    <w:pPr>
      <w:keepNext/>
      <w:outlineLvl w:val="0"/>
      <w:spacing w:before="360" w:after="140"/>
    </w:pPr>
    <w:rPr>
      <w:b/>
      <w:color w:val="3B2A98"/>
      <w:sz w:val="32"/>
    </w:rPr>
  </w:style>
  <w:style w:type="paragraph" w:styleId="Heading3">
    <w:name w:val="heading 3"/>
    <w:basedOn w:val="Normal"/>
    <w:next w:val="Normal"/>
    <w:qFormat/>
    <w:pPr>
      <w:keepNext/>
      <w:outlineLvl w:val="1"/>
      <w:spacing w:before="280" w:after="120"/>
    </w:pPr>
    <w:rPr>
      <w:b/>
      <w:color w:val="7B1FA2"/>
      <w:sz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styleId="TableGridF">
    <w:name w:val="Table Grid"/>
    <w:tblPr>
      <w:tblBorders>
        <w:top w:val="single" w:sz="4" w:space="0" w:color="C9C6DE"/>
        <w:left w:val="single" w:sz="4" w:space="0" w:color="C9C6DE"/>
        <w:bottom w:val="single" w:sz="4" w:space="0" w:color="C9C6DE"/>
        <w:right w:val="single" w:sz="4" w:space="0" w:color="C9C6DE"/>
        <w:insideH w:val="single" w:sz="4" w:space="0" w:color="C9C6DE"/>
        <w:insideV w:val="single" w:sz="4" w:space="0" w:color="C9C6DE"/>
      </w:tblBorders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forus.by roadmap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Дорожная карта внедрения портала forus.by</dc:title>
  <dc:creator>ЧПУП «ФОРУСультра»</dc:creator>
  <cp:lastModifiedBy>ЧПУП «ФОРУСультра»</cp:lastModifiedBy>
  <dcterms:created xsi:type="dcterms:W3CDTF">2026-09-02T22:44:11Z</dcterms:created>
  <dcterms:modified xsi:type="dcterms:W3CDTF">2026-09-02T22:44:11Z</dcterms:modified>
</cp:coreProperties>
</file>