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F"/>
      </w:pPr>
      <w:r>
        <w:t xml:space="preserve">Дорожная карта внедрения портала forus.by</w:t>
      </w:r>
    </w:p>
    <w:p>
      <w:r>
        <w:t xml:space="preserve">План работ по созданию портала продаж рекламного инвентаря ЧПУП «ФОРУСультра». Редакция от 01.09.2026. Плановый запуск — 01.01.2027.</w:t>
      </w:r>
    </w:p>
    <w:p>
      <w:pPr>
        <w:pStyle w:val="Heading2"/>
      </w:pPr>
      <w:r>
        <w:t xml:space="preserve">1. Сроки</w:t>
      </w:r>
    </w:p>
    <w:p>
      <w:r>
        <w:t xml:space="preserve">Дата запуска зафиксирована — 01.01.2027. Оценки длительности этапов в техническом задании ориентировочные, поэтому план построен от даты запуска назад, а не от них.</w:t>
      </w:r>
    </w:p>
    <w:p>
      <w:r>
        <w:t xml:space="preserve">В эксплуатацию 01.01.2027 выводятся этапы 0–3: они дают полный цикл сделки онлайн — от выбора площадки до оплаты, расчёта сбора и документов. Этап 4 «Развитие» выполняется после запуска, на уже работающем портале: уведомления во всех каналах, расширенная отчётность, готовые подборки. Это не урезание объёма, а порядок ввода: перечисленное в этапе 4 не мешает продавать.</w:t>
      </w:r>
    </w:p>
    <w:p>
      <w:r>
        <w:t xml:space="preserve">Календарь ниже сходится к дате точно: 16 недель работ и полторы недели на финальную приёмку. Свободного запаса в нём нет, поэтому смещение компенсируется отказом от требований приоритета Should, а не сдвигом даты запуска.</w:t>
      </w:r>
    </w:p>
    <w:p>
      <w:r>
        <w:t xml:space="preserve">Главное ограничение плана — не календарь, а данные. Значительная часть работ приходится не на программирование, а на подготовку данных силами сотрудников ФОРУС: выверка адресной программы, фотосъёмка, ввод показателей охвата, перенос занятости из Excel. Эти работы лежат на критическом пути и идут параллельно с разработкой, а не после неё. Витрина без достоверной занятости бесполезна, а собрать данные за неделю до запуска невозможно.</w:t>
      </w:r>
    </w:p>
    <w:tbl>
      <w:tblPr>
        <w:tblStyle w:val="TableGridF"/>
        <w:tblW w:w="14200" w:type="dxa"/>
        <w:tblLayout w:type="fixed"/>
      </w:tblPr>
      <w:tblGrid>
        <w:gridCol w:w="4339"/>
        <w:gridCol w:w="3944"/>
        <w:gridCol w:w="5917"/>
      </w:tblGrid>
      <w:tr>
        <w:trPr>
          <w:tblHeader/>
        </w:trPr>
        <w:tc>
          <w:tcPr>
            <w:tcW w:w="4339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Этап</w:t>
            </w:r>
          </w:p>
        </w:tc>
        <w:tc>
          <w:tcPr>
            <w:tcW w:w="3944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Сроки</w:t>
            </w:r>
          </w:p>
        </w:tc>
        <w:tc>
          <w:tcPr>
            <w:tcW w:w="5917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Результат</w:t>
            </w:r>
          </w:p>
        </w:tc>
      </w:tr>
      <w:tr>
        <w:tc>
          <w:tcPr>
            <w:tcW w:w="4339" w:type="dxa"/>
          </w:tcPr>
          <w:p>
            <w:pPr>
              <w:spacing w:before="40" w:after="40"/>
            </w:pPr>
            <w:r>
              <w:t xml:space="preserve">Этап 0. Подготовка</w:t>
            </w:r>
          </w:p>
        </w:tc>
        <w:tc>
          <w:tcPr>
            <w:tcW w:w="3944" w:type="dxa"/>
          </w:tcPr>
          <w:p>
            <w:pPr>
              <w:spacing w:before="40" w:after="40"/>
            </w:pPr>
            <w:r>
              <w:t xml:space="preserve">01.09 – 14.09.2026</w:t>
            </w:r>
          </w:p>
        </w:tc>
        <w:tc>
          <w:tcPr>
            <w:tcW w:w="5917" w:type="dxa"/>
          </w:tcPr>
          <w:p>
            <w:pPr>
              <w:spacing w:before="40" w:after="40"/>
            </w:pPr>
            <w:r>
              <w:t xml:space="preserve">Утверждённая модель данных, инвентарь перенесён из Excel, среды развёрнуты</w:t>
            </w:r>
          </w:p>
        </w:tc>
      </w:tr>
      <w:tr>
        <w:tc>
          <w:tcPr>
            <w:tcW w:w="4339" w:type="dxa"/>
          </w:tcPr>
          <w:p>
            <w:pPr>
              <w:spacing w:before="40" w:after="40"/>
            </w:pPr>
            <w:r>
              <w:t xml:space="preserve">Этап 1. Внутренний контур</w:t>
            </w:r>
          </w:p>
        </w:tc>
        <w:tc>
          <w:tcPr>
            <w:tcW w:w="3944" w:type="dxa"/>
          </w:tcPr>
          <w:p>
            <w:pPr>
              <w:spacing w:before="40" w:after="40"/>
            </w:pPr>
            <w:r>
              <w:t xml:space="preserve">15.09 – 19.10.2026</w:t>
            </w:r>
          </w:p>
        </w:tc>
        <w:tc>
          <w:tcPr>
            <w:tcW w:w="5917" w:type="dxa"/>
          </w:tcPr>
          <w:p>
            <w:pPr>
              <w:spacing w:before="40" w:after="40"/>
            </w:pPr>
            <w:r>
              <w:t xml:space="preserve">Компания работает в системе вместо Excel</w:t>
            </w:r>
          </w:p>
        </w:tc>
      </w:tr>
      <w:tr>
        <w:tc>
          <w:tcPr>
            <w:tcW w:w="4339" w:type="dxa"/>
          </w:tcPr>
          <w:p>
            <w:pPr>
              <w:spacing w:before="40" w:after="40"/>
            </w:pPr>
            <w:r>
              <w:t xml:space="preserve">Этап 2. Витрина</w:t>
            </w:r>
          </w:p>
        </w:tc>
        <w:tc>
          <w:tcPr>
            <w:tcW w:w="3944" w:type="dxa"/>
          </w:tcPr>
          <w:p>
            <w:pPr>
              <w:spacing w:before="40" w:after="40"/>
            </w:pPr>
            <w:r>
              <w:t xml:space="preserve">20.10 – 23.11.2026</w:t>
            </w:r>
          </w:p>
        </w:tc>
        <w:tc>
          <w:tcPr>
            <w:tcW w:w="5917" w:type="dxa"/>
          </w:tcPr>
          <w:p>
            <w:pPr>
              <w:spacing w:before="40" w:after="40"/>
            </w:pPr>
            <w:r>
              <w:t xml:space="preserve">Сайт принимает заявки</w:t>
            </w:r>
          </w:p>
        </w:tc>
      </w:tr>
      <w:tr>
        <w:tc>
          <w:tcPr>
            <w:tcW w:w="4339" w:type="dxa"/>
          </w:tcPr>
          <w:p>
            <w:pPr>
              <w:spacing w:before="40" w:after="40"/>
            </w:pPr>
            <w:r>
              <w:t xml:space="preserve">Этап 3. Расчёты и право</w:t>
            </w:r>
          </w:p>
        </w:tc>
        <w:tc>
          <w:tcPr>
            <w:tcW w:w="3944" w:type="dxa"/>
          </w:tcPr>
          <w:p>
            <w:pPr>
              <w:spacing w:before="40" w:after="40"/>
            </w:pPr>
            <w:r>
              <w:t xml:space="preserve">24.11 – 21.12.2026</w:t>
            </w:r>
          </w:p>
        </w:tc>
        <w:tc>
          <w:tcPr>
            <w:tcW w:w="5917" w:type="dxa"/>
          </w:tcPr>
          <w:p>
            <w:pPr>
              <w:spacing w:before="40" w:after="40"/>
            </w:pPr>
            <w:r>
              <w:t xml:space="preserve">Оплата, сбор, документы — полный цикл сделки онлайн</w:t>
            </w:r>
          </w:p>
        </w:tc>
      </w:tr>
      <w:tr>
        <w:tc>
          <w:tcPr>
            <w:tcW w:w="4339" w:type="dxa"/>
          </w:tcPr>
          <w:p>
            <w:pPr>
              <w:spacing w:before="40" w:after="40"/>
            </w:pPr>
            <w:r>
              <w:t xml:space="preserve">Приёмка и запуск</w:t>
            </w:r>
          </w:p>
        </w:tc>
        <w:tc>
          <w:tcPr>
            <w:tcW w:w="3944" w:type="dxa"/>
          </w:tcPr>
          <w:p>
            <w:pPr>
              <w:spacing w:before="40" w:after="40"/>
            </w:pPr>
            <w:r>
              <w:t xml:space="preserve">22.12 – 31.12.2026</w:t>
            </w:r>
          </w:p>
        </w:tc>
        <w:tc>
          <w:tcPr>
            <w:tcW w:w="5917" w:type="dxa"/>
          </w:tcPr>
          <w:p>
            <w:pPr>
              <w:spacing w:before="40" w:after="40"/>
            </w:pPr>
            <w:r>
              <w:t xml:space="preserve">Промышленная эксплуатация с 01.01.2027</w:t>
            </w:r>
          </w:p>
        </w:tc>
      </w:tr>
      <w:tr>
        <w:tc>
          <w:tcPr>
            <w:tcW w:w="4339" w:type="dxa"/>
          </w:tcPr>
          <w:p>
            <w:pPr>
              <w:spacing w:before="40" w:after="40"/>
            </w:pPr>
            <w:r>
              <w:t xml:space="preserve">Этап 4. Развитие</w:t>
            </w:r>
          </w:p>
        </w:tc>
        <w:tc>
          <w:tcPr>
            <w:tcW w:w="3944" w:type="dxa"/>
          </w:tcPr>
          <w:p>
            <w:pPr>
              <w:spacing w:before="40" w:after="40"/>
            </w:pPr>
            <w:r>
              <w:t xml:space="preserve">после запуска, I квартал 2027</w:t>
            </w:r>
          </w:p>
        </w:tc>
        <w:tc>
          <w:tcPr>
            <w:tcW w:w="5917" w:type="dxa"/>
          </w:tcPr>
          <w:p>
            <w:pPr>
              <w:spacing w:before="40" w:after="40"/>
            </w:pPr>
            <w:r>
              <w:t xml:space="preserve">Уведомления во всех каналах, отчётность, готовые подборки</w:t>
            </w:r>
          </w:p>
        </w:tc>
      </w:tr>
    </w:tbl>
    <w:p/>
    <w:p>
      <w:r>
        <w:t xml:space="preserve">Приёмка этапов 0–2 идёт параллельно со следующим этапом. Отдельное время в конце декабря выделено только на финальную приёмку. Если проводить приёмку каждого этапа последовательно, по 10 рабочих дней, дата запуска не выдерживается.</w:t>
      </w:r>
    </w:p>
    <w:p>
      <w:pPr>
        <w:pStyle w:val="Heading2"/>
      </w:pPr>
      <w:r>
        <w:t xml:space="preserve">2. График работ по месяцам</w:t>
      </w:r>
    </w:p>
    <w:p>
      <w:r>
        <w:t xml:space="preserve">Сводная таблица: строка — исполнитель, столбец — месяц. Это основной рабочий документ для планёрок.</w:t>
      </w:r>
    </w:p>
    <w:tbl>
      <w:tblPr>
        <w:tblStyle w:val="TableGridF"/>
        <w:tblW w:w="14200" w:type="dxa"/>
        <w:tblLayout w:type="fixed"/>
      </w:tblPr>
      <w:tblGrid>
        <w:gridCol w:w="1919"/>
        <w:gridCol w:w="3070"/>
        <w:gridCol w:w="3070"/>
        <w:gridCol w:w="3070"/>
        <w:gridCol w:w="3070"/>
      </w:tblGrid>
      <w:tr>
        <w:trPr>
          <w:tblHeader/>
        </w:trPr>
        <w:tc>
          <w:tcPr>
            <w:tcW w:w="1919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Исполнитель</w:t>
            </w:r>
          </w:p>
        </w:tc>
        <w:tc>
          <w:tcPr>
            <w:tcW w:w="307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Сентябрь</w:t>
            </w:r>
          </w:p>
        </w:tc>
        <w:tc>
          <w:tcPr>
            <w:tcW w:w="307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Октябрь</w:t>
            </w:r>
          </w:p>
        </w:tc>
        <w:tc>
          <w:tcPr>
            <w:tcW w:w="307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Ноябрь</w:t>
            </w:r>
          </w:p>
        </w:tc>
        <w:tc>
          <w:tcPr>
            <w:tcW w:w="307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Декабрь</w:t>
            </w:r>
          </w:p>
        </w:tc>
      </w:tr>
      <w:tr>
        <w:tc>
          <w:tcPr>
            <w:tcW w:w="1919" w:type="dxa"/>
          </w:tcPr>
          <w:p>
            <w:pPr>
              <w:spacing w:before="40" w:after="40"/>
            </w:pPr>
            <w:r>
              <w:t xml:space="preserve">Разработчик (подрядчик)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Этап 0: модель данных, среды, миграция из Excel. Старт этапа 1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Этап 1: инвентарь, занятость, заказы, документы. Старт этапа 2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Этап 2: каталог, карта, калькулятор, медиаплан, кабинет. Старт этапа 3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Этап 3: платежи, сбор, 1С. Передача на приёмку</w:t>
            </w:r>
          </w:p>
        </w:tc>
      </w:tr>
      <w:tr>
        <w:tc>
          <w:tcPr>
            <w:tcW w:w="1919" w:type="dxa"/>
          </w:tcPr>
          <w:p>
            <w:pPr>
              <w:spacing w:before="40" w:after="40"/>
            </w:pPr>
            <w:r>
              <w:t xml:space="preserve">Директор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Договор с подрядчиком и бюджет. Назначение ответственного за персональные данные. Приказ о выводе Excel из оборота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Утверждение тарифов и лимитов скидок по ролям. Приёмка этапа 1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Утверждение оферты и политики обработки данных в редакции юриста. Решение по согласованию содержания. Приёмка этапа 2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Финальная приёмка. Решение о запуске. График отпусков на январь</w:t>
            </w:r>
          </w:p>
        </w:tc>
      </w:tr>
      <w:tr>
        <w:tc>
          <w:tcPr>
            <w:tcW w:w="1919" w:type="dxa"/>
          </w:tcPr>
          <w:p>
            <w:pPr>
              <w:spacing w:before="40" w:after="40"/>
            </w:pPr>
            <w:r>
              <w:t xml:space="preserve">Администратор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Выверка адресной программы: 52 конструкции, 104 стороны, 264 позиции. Сверка координат. Устранение расхождений по типам сторон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Перенос занятости из Excel на 12 месяцев вперёд. Карточки клиентов и договоров. Паспорта и разрешения. Начало ввода данных МТС Охват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Наполнение витрины: описания, ориентиры, привязка фотографий. Продолжение ввода охвата. Справочники сроков и текстов уведомлений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Обкатка приёма заявок: квалификация, назначение ответственного, счёт-протокол из заявки одним действием</w:t>
            </w:r>
          </w:p>
        </w:tc>
      </w:tr>
      <w:tr>
        <w:tc>
          <w:tcPr>
            <w:tcW w:w="1919" w:type="dxa"/>
          </w:tcPr>
          <w:p>
            <w:pPr>
              <w:spacing w:before="40" w:after="40"/>
            </w:pPr>
            <w:r>
              <w:t xml:space="preserve">Дизайнер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Требования к макетам в виде, понятном клиенту: размеры, поля, вылеты, плёнка Backlit 120–150 мкм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Инструкция по видеороликам: как перекадрировать готовое видео из Reels, TikTok и сторис под вертикальный экран медиа-скроллера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Приёмка визуальной части витрины. Проверка единообразия фотографий и заглушек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Формулировки причин отклонения материалов. Запас макетов социальной рекламы</w:t>
            </w:r>
          </w:p>
        </w:tc>
      </w:tr>
      <w:tr>
        <w:tc>
          <w:tcPr>
            <w:tcW w:w="1919" w:type="dxa"/>
          </w:tcPr>
          <w:p>
            <w:pPr>
              <w:spacing w:before="40" w:after="40"/>
            </w:pPr>
            <w:r>
              <w:t xml:space="preserve">Бухгалтер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Согласование структуры выгрузки в 1С с подрядчиком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Проверка форм счёта-протокола и акта. Сверка нумерации документов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Подключение платёжного шлюза и ЕРИП совместно с подрядчиком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Проверка расчёта сбора 10 и 20 %, справки-расчёта, пени 0,1 % и штрафа 20 %. Тестовая выгрузка в 1С со сверкой</w:t>
            </w:r>
          </w:p>
        </w:tc>
      </w:tr>
      <w:tr>
        <w:tc>
          <w:tcPr>
            <w:tcW w:w="1919" w:type="dxa"/>
          </w:tcPr>
          <w:p>
            <w:pPr>
              <w:spacing w:before="40" w:after="40"/>
            </w:pPr>
            <w:r>
              <w:t xml:space="preserve">Технический отдел, сотрудник 1: конструкции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Выезд по адресной программе. Сверка на местности: сторона A по ходу движения, фактическое число позиций, состояние конструкций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Фотосъёмка недостающих типов снимков по маршрутам: около 310 кадров по 104 сторонам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Завершение фотосъёмки. Актуализация паспортов конструкций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Освоение мобильного раздела задач: печать, монтаж, демонтаж, ротация. Закрытие задачи фотографией с отметкой времени и координатами</w:t>
            </w:r>
          </w:p>
        </w:tc>
      </w:tr>
      <w:tr>
        <w:tc>
          <w:tcPr>
            <w:tcW w:w="1919" w:type="dxa"/>
          </w:tcPr>
          <w:p>
            <w:pPr>
              <w:spacing w:before="40" w:after="40"/>
            </w:pPr>
            <w:r>
              <w:t xml:space="preserve">Технический отдел, сотрудник 2: контент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Инвентаризация плей-листов медиа-скроллеров и светодиодных экранов: что крутится, с какой частотой, до какой даты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Перенос расписаний показов в систему как исходной занятости видеоформатов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Загрузка роликов по задачам из системы вместо сообщений в мессенджере. Учёт социальных роликов при расчёте свободной ёмкости экранов</w:t>
            </w:r>
          </w:p>
        </w:tc>
        <w:tc>
          <w:tcPr>
            <w:tcW w:w="3070" w:type="dxa"/>
          </w:tcPr>
          <w:p>
            <w:pPr>
              <w:spacing w:before="40" w:after="40"/>
            </w:pPr>
            <w:r>
              <w:t xml:space="preserve">Учёт бесплатных и платных ротаций: одна замена в 7 дней входит в стоимость, сверх — 25 BYN. Фотоотчёты о трансляции</w:t>
            </w:r>
          </w:p>
        </w:tc>
      </w:tr>
    </w:tbl>
    <w:p/>
    <w:p>
      <w:pPr>
        <w:pStyle w:val="Heading2"/>
      </w:pPr>
      <w:r>
        <w:t xml:space="preserve">3. Контрольные точки</w:t>
      </w:r>
    </w:p>
    <w:p>
      <w:r>
        <w:t xml:space="preserve">Даты, по которым проверяется, идёт проект по плану или нет.</w:t>
      </w:r>
    </w:p>
    <w:tbl>
      <w:tblPr>
        <w:tblStyle w:val="TableGridF"/>
        <w:tblW w:w="14200" w:type="dxa"/>
        <w:tblLayout w:type="fixed"/>
      </w:tblPr>
      <w:tblGrid>
        <w:gridCol w:w="2582"/>
        <w:gridCol w:w="7100"/>
        <w:gridCol w:w="4518"/>
      </w:tblGrid>
      <w:tr>
        <w:trPr>
          <w:tblHeader/>
        </w:trPr>
        <w:tc>
          <w:tcPr>
            <w:tcW w:w="2582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Дата</w:t>
            </w:r>
          </w:p>
        </w:tc>
        <w:tc>
          <w:tcPr>
            <w:tcW w:w="710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Что должно быть сделано</w:t>
            </w:r>
          </w:p>
        </w:tc>
        <w:tc>
          <w:tcPr>
            <w:tcW w:w="4518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Кто отвечает</w:t>
            </w:r>
          </w:p>
        </w:tc>
      </w:tr>
      <w:tr>
        <w:tc>
          <w:tcPr>
            <w:tcW w:w="2582" w:type="dxa"/>
          </w:tcPr>
          <w:p>
            <w:pPr>
              <w:spacing w:before="40" w:after="40"/>
            </w:pPr>
            <w:r>
              <w:t xml:space="preserve">14.09.2026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Модель данных утверждена, инвентарь перенесён, структура выгрузки в 1С согласована</w:t>
            </w:r>
          </w:p>
        </w:tc>
        <w:tc>
          <w:tcPr>
            <w:tcW w:w="4518" w:type="dxa"/>
          </w:tcPr>
          <w:p>
            <w:pPr>
              <w:spacing w:before="40" w:after="40"/>
            </w:pPr>
            <w:r>
              <w:t xml:space="preserve">Разработчик, Администратор, Бухгалтер</w:t>
            </w:r>
          </w:p>
        </w:tc>
      </w:tr>
      <w:tr>
        <w:tc>
          <w:tcPr>
            <w:tcW w:w="2582" w:type="dxa"/>
          </w:tcPr>
          <w:p>
            <w:pPr>
              <w:spacing w:before="40" w:after="40"/>
            </w:pPr>
            <w:r>
              <w:t xml:space="preserve">19.10.2026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Занятость ведётся только в системе, файл Excel выведен из оборота</w:t>
            </w:r>
          </w:p>
        </w:tc>
        <w:tc>
          <w:tcPr>
            <w:tcW w:w="4518" w:type="dxa"/>
          </w:tcPr>
          <w:p>
            <w:pPr>
              <w:spacing w:before="40" w:after="40"/>
            </w:pPr>
            <w:r>
              <w:t xml:space="preserve">Администратор, Директор</w:t>
            </w:r>
          </w:p>
        </w:tc>
      </w:tr>
      <w:tr>
        <w:tc>
          <w:tcPr>
            <w:tcW w:w="2582" w:type="dxa"/>
          </w:tcPr>
          <w:p>
            <w:pPr>
              <w:spacing w:before="40" w:after="40"/>
            </w:pPr>
            <w:r>
              <w:t xml:space="preserve">09.11.2026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Фотосъёмка всех обязательных типов снимков завершена</w:t>
            </w:r>
          </w:p>
        </w:tc>
        <w:tc>
          <w:tcPr>
            <w:tcW w:w="4518" w:type="dxa"/>
          </w:tcPr>
          <w:p>
            <w:pPr>
              <w:spacing w:before="40" w:after="40"/>
            </w:pPr>
            <w:r>
              <w:t xml:space="preserve">Технический отдел, сотрудник 1</w:t>
            </w:r>
          </w:p>
        </w:tc>
      </w:tr>
      <w:tr>
        <w:tc>
          <w:tcPr>
            <w:tcW w:w="2582" w:type="dxa"/>
          </w:tcPr>
          <w:p>
            <w:pPr>
              <w:spacing w:before="40" w:after="40"/>
            </w:pPr>
            <w:r>
              <w:t xml:space="preserve">23.11.2026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Витрина принимает заявки, оферта и политика утверждены</w:t>
            </w:r>
          </w:p>
        </w:tc>
        <w:tc>
          <w:tcPr>
            <w:tcW w:w="4518" w:type="dxa"/>
          </w:tcPr>
          <w:p>
            <w:pPr>
              <w:spacing w:before="40" w:after="40"/>
            </w:pPr>
            <w:r>
              <w:t xml:space="preserve">Разработчик, Директор</w:t>
            </w:r>
          </w:p>
        </w:tc>
      </w:tr>
      <w:tr>
        <w:tc>
          <w:tcPr>
            <w:tcW w:w="2582" w:type="dxa"/>
          </w:tcPr>
          <w:p>
            <w:pPr>
              <w:spacing w:before="40" w:after="40"/>
            </w:pPr>
            <w:r>
              <w:t xml:space="preserve">21.12.2026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Оплата, расчёт сбора и выгрузка в 1С работают на тестовых заказах</w:t>
            </w:r>
          </w:p>
        </w:tc>
        <w:tc>
          <w:tcPr>
            <w:tcW w:w="4518" w:type="dxa"/>
          </w:tcPr>
          <w:p>
            <w:pPr>
              <w:spacing w:before="40" w:after="40"/>
            </w:pPr>
            <w:r>
              <w:t xml:space="preserve">Бухгалтер, Разработчик</w:t>
            </w:r>
          </w:p>
        </w:tc>
      </w:tr>
      <w:tr>
        <w:tc>
          <w:tcPr>
            <w:tcW w:w="2582" w:type="dxa"/>
          </w:tcPr>
          <w:p>
            <w:pPr>
              <w:spacing w:before="40" w:after="40"/>
            </w:pPr>
            <w:r>
              <w:t xml:space="preserve">31.12.2026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Финальная приёмка подписана, сотрудники обучены</w:t>
            </w:r>
          </w:p>
        </w:tc>
        <w:tc>
          <w:tcPr>
            <w:tcW w:w="4518" w:type="dxa"/>
          </w:tcPr>
          <w:p>
            <w:pPr>
              <w:spacing w:before="40" w:after="40"/>
            </w:pPr>
            <w:r>
              <w:t xml:space="preserve">Директор</w:t>
            </w:r>
          </w:p>
        </w:tc>
      </w:tr>
      <w:tr>
        <w:tc>
          <w:tcPr>
            <w:tcW w:w="2582" w:type="dxa"/>
          </w:tcPr>
          <w:p>
            <w:pPr>
              <w:spacing w:before="40" w:after="40"/>
            </w:pPr>
            <w:r>
              <w:t xml:space="preserve">01.01.2027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Промышленная эксплуатация</w:t>
            </w:r>
          </w:p>
        </w:tc>
        <w:tc>
          <w:tcPr>
            <w:tcW w:w="4518" w:type="dxa"/>
          </w:tcPr>
          <w:p>
            <w:pPr>
              <w:spacing w:before="40" w:after="40"/>
            </w:pPr>
            <w:r>
              <w:t xml:space="preserve">Все</w:t>
            </w:r>
          </w:p>
        </w:tc>
      </w:tr>
    </w:tbl>
    <w:p/>
    <w:p>
      <w:pPr>
        <w:pStyle w:val="Heading2"/>
      </w:pPr>
      <w:r>
        <w:t xml:space="preserve">4. Работа по исполнителям</w:t>
      </w:r>
    </w:p>
    <w:p>
      <w:pPr>
        <w:pStyle w:val="Heading3"/>
      </w:pPr>
      <w:r>
        <w:t xml:space="preserve">4.1. Директор</w:t>
      </w:r>
    </w:p>
    <w:tbl>
      <w:tblPr>
        <w:tblStyle w:val="TableGridF"/>
        <w:tblW w:w="14200" w:type="dxa"/>
        <w:tblLayout w:type="fixed"/>
      </w:tblPr>
      <w:tblGrid>
        <w:gridCol w:w="6311"/>
        <w:gridCol w:w="2840"/>
        <w:gridCol w:w="5049"/>
      </w:tblGrid>
      <w:tr>
        <w:trPr>
          <w:tblHeader/>
        </w:trPr>
        <w:tc>
          <w:tcPr>
            <w:tcW w:w="6311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Задача</w:t>
            </w:r>
          </w:p>
        </w:tc>
        <w:tc>
          <w:tcPr>
            <w:tcW w:w="284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Срок</w:t>
            </w:r>
          </w:p>
        </w:tc>
        <w:tc>
          <w:tcPr>
            <w:tcW w:w="5049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Результат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Договор с подрядчиком, утверждение бюджета проекта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сентябрь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Работы начаты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Назначение ответственного за внутренний контроль обработки персональных данных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сентябрь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Можно публиковать политику и собирать согласия по Закону № 99-З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Приказ о выводе файла Excel из оборота с даты запуска этапа 1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сентябрь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Исключено параллельное ведение занятости в двух местах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Утверждение справочника тарифов и лимитов скидок по ролям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октябрь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Определено, до какого процента скидку даёт администратор без согласования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Приёмка этапа 1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октябрь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Сверка: число занятых позиций по месяцам совпадает с файлом Excel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Утверждение оферты и политики обработки данных в редакции юриста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ноябрь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Черновики прототипа заменены рабочими документами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Решение по пункту 2.3.1 договора: кто согласовывает содержание рекламы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ноябрь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Снято противоречие между договором и практикой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Финальная приёмка и решение о запуске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декабрь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Портал введён в эксплуатацию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Контроль целевого показателя после запуска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2027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Рост загрузки плакатных позиций с 22 % до 40 % за 12 месяцев</w:t>
            </w:r>
          </w:p>
        </w:tc>
      </w:tr>
    </w:tbl>
    <w:p/>
    <w:p>
      <w:pPr>
        <w:pStyle w:val="Heading3"/>
      </w:pPr>
      <w:r>
        <w:t xml:space="preserve">4.2. Администратор</w:t>
      </w:r>
    </w:p>
    <w:p>
      <w:r>
        <w:t xml:space="preserve">Самая нагруженная роль проекта: её работа определяет, состоится ли запуск в срок. В техническом задании роли администратора и менеджера разделены, здесь их совмещает один сотрудник — обе роли выдаются ему при настройке прав, работа ведётся под журналом аудита.</w:t>
      </w:r>
    </w:p>
    <w:tbl>
      <w:tblPr>
        <w:tblStyle w:val="TableGridF"/>
        <w:tblW w:w="14200" w:type="dxa"/>
        <w:tblLayout w:type="fixed"/>
      </w:tblPr>
      <w:tblGrid>
        <w:gridCol w:w="6311"/>
        <w:gridCol w:w="2840"/>
        <w:gridCol w:w="5049"/>
      </w:tblGrid>
      <w:tr>
        <w:trPr>
          <w:tblHeader/>
        </w:trPr>
        <w:tc>
          <w:tcPr>
            <w:tcW w:w="6311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Задача</w:t>
            </w:r>
          </w:p>
        </w:tc>
        <w:tc>
          <w:tcPr>
            <w:tcW w:w="284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Срок</w:t>
            </w:r>
          </w:p>
        </w:tc>
        <w:tc>
          <w:tcPr>
            <w:tcW w:w="5049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Результат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Выверка адресной программы: 52 конструкции, 104 стороны, 264 позиции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сентябрь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Проверены адреса, типы показа, число позиций, координаты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Устранение расхождений по типам сторон между презентацией и разделом 3.1 ТЗ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сентябрь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Данные перенесены без противоречий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Перенос занятости из Excel: 264 позиции на 12 месяцев вперёд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октябрь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Занятость ведётся в системе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Карточки клиентов и действующих договоров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октябрь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Заказы привязаны к клиентам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Паспорта конструкций и разрешения с датами окончания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октябрь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Система предупреждает за 60, 30 и 7 дней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Ввод данных МТС Охват и сопоставление номеров с конструкциями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октябрь – ноябрь, далее непрерывно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Сейчас охват есть по 4 поверхностям из 106. К запуску заполнить все медиа-скроллеры и дорогие плакатные стороны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Наполнение витрины: описания расположения, ориентиры, привязка фотографий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ноябрь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Каталог выглядит законченным, в том числе с телефона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Справочники сроков подготовки и текстов уведомлений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ноябрь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Клиент получает корректные даты и письма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Обкатка приёма заявок и формирования счёта-протокола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декабрь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Заявка превращается в документ одним действием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Первичная обработка заявок, контроль резервов, ведение справочников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после запуска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Ответ клиенту в течение 2 рабочих часов</w:t>
            </w:r>
          </w:p>
        </w:tc>
      </w:tr>
    </w:tbl>
    <w:p/>
    <w:p>
      <w:pPr>
        <w:pStyle w:val="Heading3"/>
      </w:pPr>
      <w:r>
        <w:t xml:space="preserve">4.3. Дизайнер</w:t>
      </w:r>
    </w:p>
    <w:tbl>
      <w:tblPr>
        <w:tblStyle w:val="TableGridF"/>
        <w:tblW w:w="14200" w:type="dxa"/>
        <w:tblLayout w:type="fixed"/>
      </w:tblPr>
      <w:tblGrid>
        <w:gridCol w:w="6311"/>
        <w:gridCol w:w="2840"/>
        <w:gridCol w:w="5049"/>
      </w:tblGrid>
      <w:tr>
        <w:trPr>
          <w:tblHeader/>
        </w:trPr>
        <w:tc>
          <w:tcPr>
            <w:tcW w:w="6311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Задача</w:t>
            </w:r>
          </w:p>
        </w:tc>
        <w:tc>
          <w:tcPr>
            <w:tcW w:w="284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Срок</w:t>
            </w:r>
          </w:p>
        </w:tc>
        <w:tc>
          <w:tcPr>
            <w:tcW w:w="5049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Результат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Требования к макетам для клиента: размеры, поля, вылеты, форматы файлов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сентябрь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Клиент понимает, что присылать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Требования к плёнке Backlit плотностью 120–150 мкм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сентябрь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Печать без брака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Инструкция по перекадрированию роликов из Reels, TikTok и сторис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октябрь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Обещание сайта подкреплено: пропорции экрана 1250×1850 и 9:16 не совпадают, нужна наглядная памятка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Приёмка визуальной части витрины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ноябрь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Фотографии и заглушки выглядят единообразно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Формулировки причин отклонения материалов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декабрь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Клиент понимает, что именно переделать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Проверка макетов и роликов, запас макетов социальной рекламы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после запуска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Социальная реклама закрывает 45–56 позиций ежемесячно</w:t>
            </w:r>
          </w:p>
        </w:tc>
      </w:tr>
    </w:tbl>
    <w:p/>
    <w:p>
      <w:pPr>
        <w:pStyle w:val="Heading3"/>
      </w:pPr>
      <w:r>
        <w:t xml:space="preserve">4.4. Бухгалтер</w:t>
      </w:r>
    </w:p>
    <w:tbl>
      <w:tblPr>
        <w:tblStyle w:val="TableGridF"/>
        <w:tblW w:w="14200" w:type="dxa"/>
        <w:tblLayout w:type="fixed"/>
      </w:tblPr>
      <w:tblGrid>
        <w:gridCol w:w="6311"/>
        <w:gridCol w:w="2840"/>
        <w:gridCol w:w="5049"/>
      </w:tblGrid>
      <w:tr>
        <w:trPr>
          <w:tblHeader/>
        </w:trPr>
        <w:tc>
          <w:tcPr>
            <w:tcW w:w="6311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Задача</w:t>
            </w:r>
          </w:p>
        </w:tc>
        <w:tc>
          <w:tcPr>
            <w:tcW w:w="284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Срок</w:t>
            </w:r>
          </w:p>
        </w:tc>
        <w:tc>
          <w:tcPr>
            <w:tcW w:w="5049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Результат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Согласование структуры выгрузки в 1С: поля, формат, периодичность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сентябрь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Позднее согласование делает переделку дорогой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Проверка форм счёта-протокола и акта, сверка нумерации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октябрь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Документы соответствуют принятым в компании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Подключение платёжного шлюза и ЕРИП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ноябрь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Клиент платит онлайн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Проверка расчёта сбора: 10 % наружная реклама, 20 % реклама в помещениях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декабрь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База — стоимость услуг без НДС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Контроль того, что сумма сбора не попадает в сумму счёта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декабрь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Плательщик сбора — рекламодатель, компания его не удерживает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Проверка формы квартальной справки-расчёта с разбивкой по ставкам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декабрь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Отчётность закрывается без ручной работы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Контроль расчёта пени 0,1 % и штрафа 20 % на тестовых заказах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декабрь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Договорные санкции считаются верно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Тестовая выгрузка в 1С за месяц с построчной сверкой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декабрь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Учёт сходится</w:t>
            </w:r>
          </w:p>
        </w:tc>
      </w:tr>
    </w:tbl>
    <w:p/>
    <w:p>
      <w:pPr>
        <w:pStyle w:val="Heading3"/>
      </w:pPr>
      <w:r>
        <w:t xml:space="preserve">4.5. Технический отдел, сотрудник 1: конструкции</w:t>
      </w:r>
    </w:p>
    <w:tbl>
      <w:tblPr>
        <w:tblStyle w:val="TableGridF"/>
        <w:tblW w:w="14200" w:type="dxa"/>
        <w:tblLayout w:type="fixed"/>
      </w:tblPr>
      <w:tblGrid>
        <w:gridCol w:w="6311"/>
        <w:gridCol w:w="2840"/>
        <w:gridCol w:w="5049"/>
      </w:tblGrid>
      <w:tr>
        <w:trPr>
          <w:tblHeader/>
        </w:trPr>
        <w:tc>
          <w:tcPr>
            <w:tcW w:w="6311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Задача</w:t>
            </w:r>
          </w:p>
        </w:tc>
        <w:tc>
          <w:tcPr>
            <w:tcW w:w="284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Срок</w:t>
            </w:r>
          </w:p>
        </w:tc>
        <w:tc>
          <w:tcPr>
            <w:tcW w:w="5049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Результат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Выезд по адресной программе, сверка данных на местности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сентябрь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Проверено: сторона A по ходу движения, число позиций, состояние конструкции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Фотосъёмка недостающих типов снимков: около 310 кадров по 104 сторонам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октябрь – ноябрь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Из четырёх обязательных типов сейчас есть один — общий план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Актуализация паспортов конструкций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ноябрь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Разрешения и сроки в системе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Освоение мобильного раздела производственных задач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декабрь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Задача содержит адрес, сторону, номер позиции, срок и ссылку на макет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Закрытие задач фотографией с отметкой времени и координатами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декабрь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Фотоотчёт формируется автоматически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Выполнение задач в системе вместо устных распоряжений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после запуска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Каждая работа имеет исполнителя и срок</w:t>
            </w:r>
          </w:p>
        </w:tc>
      </w:tr>
    </w:tbl>
    <w:p/>
    <w:p>
      <w:pPr>
        <w:pStyle w:val="Heading3"/>
      </w:pPr>
      <w:r>
        <w:t xml:space="preserve">4.6. Технический отдел, сотрудник 2: контент</w:t>
      </w:r>
    </w:p>
    <w:tbl>
      <w:tblPr>
        <w:tblStyle w:val="TableGridF"/>
        <w:tblW w:w="14200" w:type="dxa"/>
        <w:tblLayout w:type="fixed"/>
      </w:tblPr>
      <w:tblGrid>
        <w:gridCol w:w="6311"/>
        <w:gridCol w:w="2840"/>
        <w:gridCol w:w="5049"/>
      </w:tblGrid>
      <w:tr>
        <w:trPr>
          <w:tblHeader/>
        </w:trPr>
        <w:tc>
          <w:tcPr>
            <w:tcW w:w="6311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Задача</w:t>
            </w:r>
          </w:p>
        </w:tc>
        <w:tc>
          <w:tcPr>
            <w:tcW w:w="284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Срок</w:t>
            </w:r>
          </w:p>
        </w:tc>
        <w:tc>
          <w:tcPr>
            <w:tcW w:w="5049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Результат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Инвентаризация плей-листов медиа-скроллеров и светодиодных экранов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сентябрь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Исходная занятость видеоформатов известна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Перенос расписаний показов в систему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октябрь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Видеоформаты учтены в календаре занятости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Загрузка роликов по задачам из системы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ноябрь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Контент ставится по заказу, а не по сообщению в мессенджере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Учёт социальных роликов при расчёте свободной ёмкости экранов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ноябрь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На экранах крутится 5–6 социальных роликов в день, иначе система продаст больше выходов, чем экран отдаёт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Учёт бесплатных и платных ротаций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декабрь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Замена чаще раза в 7 дней — 25 BYN за ротацию на объекте</w:t>
            </w:r>
          </w:p>
        </w:tc>
      </w:tr>
      <w:tr>
        <w:tc>
          <w:tcPr>
            <w:tcW w:w="6311" w:type="dxa"/>
          </w:tcPr>
          <w:p>
            <w:pPr>
              <w:spacing w:before="40" w:after="40"/>
            </w:pPr>
            <w:r>
              <w:t xml:space="preserve">Загрузка контента, контроль расписаний, фотоотчёты</w:t>
            </w:r>
          </w:p>
        </w:tc>
        <w:tc>
          <w:tcPr>
            <w:tcW w:w="2840" w:type="dxa"/>
          </w:tcPr>
          <w:p>
            <w:pPr>
              <w:spacing w:before="40" w:after="40"/>
            </w:pPr>
            <w:r>
              <w:t xml:space="preserve">после запуска</w:t>
            </w:r>
          </w:p>
        </w:tc>
        <w:tc>
          <w:tcPr>
            <w:tcW w:w="5049" w:type="dxa"/>
          </w:tcPr>
          <w:p>
            <w:pPr>
              <w:spacing w:before="40" w:after="40"/>
            </w:pPr>
            <w:r>
              <w:t xml:space="preserve">Трансляция подтверждена документально</w:t>
            </w:r>
          </w:p>
        </w:tc>
      </w:tr>
    </w:tbl>
    <w:p/>
    <w:p>
      <w:pPr>
        <w:pStyle w:val="Heading2"/>
      </w:pPr>
      <w:r>
        <w:t xml:space="preserve">5. Данные, которые готовит ФОРУС</w:t>
      </w:r>
    </w:p>
    <w:p>
      <w:r>
        <w:t xml:space="preserve">Каждая строка блокирует соответствующую часть витрины. Это условие запуска, а не пожелание.</w:t>
      </w:r>
    </w:p>
    <w:tbl>
      <w:tblPr>
        <w:tblStyle w:val="TableGridF"/>
        <w:tblW w:w="14200" w:type="dxa"/>
        <w:tblLayout w:type="fixed"/>
      </w:tblPr>
      <w:tblGrid>
        <w:gridCol w:w="5012"/>
        <w:gridCol w:w="3341"/>
        <w:gridCol w:w="3341"/>
        <w:gridCol w:w="2506"/>
      </w:tblGrid>
      <w:tr>
        <w:trPr>
          <w:tblHeader/>
        </w:trPr>
        <w:tc>
          <w:tcPr>
            <w:tcW w:w="5012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Что</w:t>
            </w:r>
          </w:p>
        </w:tc>
        <w:tc>
          <w:tcPr>
            <w:tcW w:w="3341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Объём</w:t>
            </w:r>
          </w:p>
        </w:tc>
        <w:tc>
          <w:tcPr>
            <w:tcW w:w="3341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Кто</w:t>
            </w:r>
          </w:p>
        </w:tc>
        <w:tc>
          <w:tcPr>
            <w:tcW w:w="2506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Готовность</w:t>
            </w:r>
          </w:p>
        </w:tc>
      </w:tr>
      <w:tr>
        <w:tc>
          <w:tcPr>
            <w:tcW w:w="5012" w:type="dxa"/>
          </w:tcPr>
          <w:p>
            <w:pPr>
              <w:spacing w:before="40" w:after="40"/>
            </w:pPr>
            <w:r>
              <w:t xml:space="preserve">Выверка адресной программы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52 конструкции, 104 стороны, 264 позиции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Администратор, техотдел 1</w:t>
            </w:r>
          </w:p>
        </w:tc>
        <w:tc>
          <w:tcPr>
            <w:tcW w:w="2506" w:type="dxa"/>
          </w:tcPr>
          <w:p>
            <w:pPr>
              <w:spacing w:before="40" w:after="40"/>
            </w:pPr>
            <w:r>
              <w:t xml:space="preserve">14.09.2026</w:t>
            </w:r>
          </w:p>
        </w:tc>
      </w:tr>
      <w:tr>
        <w:tc>
          <w:tcPr>
            <w:tcW w:w="5012" w:type="dxa"/>
          </w:tcPr>
          <w:p>
            <w:pPr>
              <w:spacing w:before="40" w:after="40"/>
            </w:pPr>
            <w:r>
              <w:t xml:space="preserve">Структура выгрузки в 1С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1 согласование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Бухгалтер</w:t>
            </w:r>
          </w:p>
        </w:tc>
        <w:tc>
          <w:tcPr>
            <w:tcW w:w="2506" w:type="dxa"/>
          </w:tcPr>
          <w:p>
            <w:pPr>
              <w:spacing w:before="40" w:after="40"/>
            </w:pPr>
            <w:r>
              <w:t xml:space="preserve">14.09.2026</w:t>
            </w:r>
          </w:p>
        </w:tc>
      </w:tr>
      <w:tr>
        <w:tc>
          <w:tcPr>
            <w:tcW w:w="5012" w:type="dxa"/>
          </w:tcPr>
          <w:p>
            <w:pPr>
              <w:spacing w:before="40" w:after="40"/>
            </w:pPr>
            <w:r>
              <w:t xml:space="preserve">Перенос занятости из Excel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264 позиции × 12 месяцев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Администратор</w:t>
            </w:r>
          </w:p>
        </w:tc>
        <w:tc>
          <w:tcPr>
            <w:tcW w:w="2506" w:type="dxa"/>
          </w:tcPr>
          <w:p>
            <w:pPr>
              <w:spacing w:before="40" w:after="40"/>
            </w:pPr>
            <w:r>
              <w:t xml:space="preserve">19.10.2026</w:t>
            </w:r>
          </w:p>
        </w:tc>
      </w:tr>
      <w:tr>
        <w:tc>
          <w:tcPr>
            <w:tcW w:w="5012" w:type="dxa"/>
          </w:tcPr>
          <w:p>
            <w:pPr>
              <w:spacing w:before="40" w:after="40"/>
            </w:pPr>
            <w:r>
              <w:t xml:space="preserve">Паспорта и разрешения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52 конструкции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Администратор</w:t>
            </w:r>
          </w:p>
        </w:tc>
        <w:tc>
          <w:tcPr>
            <w:tcW w:w="2506" w:type="dxa"/>
          </w:tcPr>
          <w:p>
            <w:pPr>
              <w:spacing w:before="40" w:after="40"/>
            </w:pPr>
            <w:r>
              <w:t xml:space="preserve">19.10.2026</w:t>
            </w:r>
          </w:p>
        </w:tc>
      </w:tr>
      <w:tr>
        <w:tc>
          <w:tcPr>
            <w:tcW w:w="5012" w:type="dxa"/>
          </w:tcPr>
          <w:p>
            <w:pPr>
              <w:spacing w:before="40" w:after="40"/>
            </w:pPr>
            <w:r>
              <w:t xml:space="preserve">Плей-листы видеоформатов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36 позиций медиа и 2 экрана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Техотдел 2</w:t>
            </w:r>
          </w:p>
        </w:tc>
        <w:tc>
          <w:tcPr>
            <w:tcW w:w="2506" w:type="dxa"/>
          </w:tcPr>
          <w:p>
            <w:pPr>
              <w:spacing w:before="40" w:after="40"/>
            </w:pPr>
            <w:r>
              <w:t xml:space="preserve">19.10.2026</w:t>
            </w:r>
          </w:p>
        </w:tc>
      </w:tr>
      <w:tr>
        <w:tc>
          <w:tcPr>
            <w:tcW w:w="5012" w:type="dxa"/>
          </w:tcPr>
          <w:p>
            <w:pPr>
              <w:spacing w:before="40" w:after="40"/>
            </w:pPr>
            <w:r>
              <w:t xml:space="preserve">Требования к материалам и инструкция по роликам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1 комплект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Дизайнер</w:t>
            </w:r>
          </w:p>
        </w:tc>
        <w:tc>
          <w:tcPr>
            <w:tcW w:w="2506" w:type="dxa"/>
          </w:tcPr>
          <w:p>
            <w:pPr>
              <w:spacing w:before="40" w:after="40"/>
            </w:pPr>
            <w:r>
              <w:t xml:space="preserve">20.10.2026</w:t>
            </w:r>
          </w:p>
        </w:tc>
      </w:tr>
      <w:tr>
        <w:tc>
          <w:tcPr>
            <w:tcW w:w="5012" w:type="dxa"/>
          </w:tcPr>
          <w:p>
            <w:pPr>
              <w:spacing w:before="40" w:after="40"/>
            </w:pPr>
            <w:r>
              <w:t xml:space="preserve">Фотосъёмка недостающих типов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около 310 снимков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Техотдел 1</w:t>
            </w:r>
          </w:p>
        </w:tc>
        <w:tc>
          <w:tcPr>
            <w:tcW w:w="2506" w:type="dxa"/>
          </w:tcPr>
          <w:p>
            <w:pPr>
              <w:spacing w:before="40" w:after="40"/>
            </w:pPr>
            <w:r>
              <w:t xml:space="preserve">09.11.2026</w:t>
            </w:r>
          </w:p>
        </w:tc>
      </w:tr>
      <w:tr>
        <w:tc>
          <w:tcPr>
            <w:tcW w:w="5012" w:type="dxa"/>
          </w:tcPr>
          <w:p>
            <w:pPr>
              <w:spacing w:before="40" w:after="40"/>
            </w:pPr>
            <w:r>
              <w:t xml:space="preserve">Данные МТС Охват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102 поверхности из 106 без данных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Администратор</w:t>
            </w:r>
          </w:p>
        </w:tc>
        <w:tc>
          <w:tcPr>
            <w:tcW w:w="2506" w:type="dxa"/>
          </w:tcPr>
          <w:p>
            <w:pPr>
              <w:spacing w:before="40" w:after="40"/>
            </w:pPr>
            <w:r>
              <w:t xml:space="preserve">23.11.2026, далее непрерывно</w:t>
            </w:r>
          </w:p>
        </w:tc>
      </w:tr>
      <w:tr>
        <w:tc>
          <w:tcPr>
            <w:tcW w:w="5012" w:type="dxa"/>
          </w:tcPr>
          <w:p>
            <w:pPr>
              <w:spacing w:before="40" w:after="40"/>
            </w:pPr>
            <w:r>
              <w:t xml:space="preserve">Оферта и политика обработки данных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2 документа</w:t>
            </w:r>
          </w:p>
        </w:tc>
        <w:tc>
          <w:tcPr>
            <w:tcW w:w="3341" w:type="dxa"/>
          </w:tcPr>
          <w:p>
            <w:pPr>
              <w:spacing w:before="40" w:after="40"/>
            </w:pPr>
            <w:r>
              <w:t xml:space="preserve">Директор, юрист</w:t>
            </w:r>
          </w:p>
        </w:tc>
        <w:tc>
          <w:tcPr>
            <w:tcW w:w="2506" w:type="dxa"/>
          </w:tcPr>
          <w:p>
            <w:pPr>
              <w:spacing w:before="40" w:after="40"/>
            </w:pPr>
            <w:r>
              <w:t xml:space="preserve">23.11.2026</w:t>
            </w:r>
          </w:p>
        </w:tc>
      </w:tr>
    </w:tbl>
    <w:p/>
    <w:p>
      <w:pPr>
        <w:pStyle w:val="Heading2"/>
      </w:pPr>
      <w:r>
        <w:t xml:space="preserve">6. Решения, которые нужно принять</w:t>
      </w:r>
    </w:p>
    <w:tbl>
      <w:tblPr>
        <w:tblStyle w:val="TableGridF"/>
        <w:tblW w:w="14200" w:type="dxa"/>
        <w:tblLayout w:type="fixed"/>
      </w:tblPr>
      <w:tblGrid>
        <w:gridCol w:w="4518"/>
        <w:gridCol w:w="7100"/>
        <w:gridCol w:w="2582"/>
      </w:tblGrid>
      <w:tr>
        <w:trPr>
          <w:tblHeader/>
        </w:trPr>
        <w:tc>
          <w:tcPr>
            <w:tcW w:w="4518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Вопрос</w:t>
            </w:r>
          </w:p>
        </w:tc>
        <w:tc>
          <w:tcPr>
            <w:tcW w:w="710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Суть и рекомендация</w:t>
            </w:r>
          </w:p>
        </w:tc>
        <w:tc>
          <w:tcPr>
            <w:tcW w:w="2582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Срок</w:t>
            </w:r>
          </w:p>
        </w:tc>
      </w:tr>
      <w:tr>
        <w:tc>
          <w:tcPr>
            <w:tcW w:w="4518" w:type="dxa"/>
          </w:tcPr>
          <w:p>
            <w:pPr>
              <w:spacing w:before="40" w:after="40"/>
            </w:pPr>
            <w:r>
              <w:t xml:space="preserve">Согласование содержания наружной рекламы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Пункт 2.3.1 договора возлагает согласование на заказчика, но компания готова брать процедуру на себя как услугу. Пока формулировка не изменена, услугу оформлять дополнительным соглашением или отдельной позицией счёта-протокола</w:t>
            </w:r>
          </w:p>
        </w:tc>
        <w:tc>
          <w:tcPr>
            <w:tcW w:w="2582" w:type="dxa"/>
          </w:tcPr>
          <w:p>
            <w:pPr>
              <w:spacing w:before="40" w:after="40"/>
            </w:pPr>
            <w:r>
              <w:t xml:space="preserve">до этапа 3</w:t>
            </w:r>
          </w:p>
        </w:tc>
      </w:tr>
      <w:tr>
        <w:tc>
          <w:tcPr>
            <w:tcW w:w="4518" w:type="dxa"/>
          </w:tcPr>
          <w:p>
            <w:pPr>
              <w:spacing w:before="40" w:after="40"/>
            </w:pPr>
            <w:r>
              <w:t xml:space="preserve">Закрывать ли витрину регистрацией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Рекомендация: каталог, цены и форматы оставить открытыми, регистрацию требовать на медиаплане, заявке и в кабинете. Закрытые страницы не индексируются, и органический трафик не появится</w:t>
            </w:r>
          </w:p>
        </w:tc>
        <w:tc>
          <w:tcPr>
            <w:tcW w:w="2582" w:type="dxa"/>
          </w:tcPr>
          <w:p>
            <w:pPr>
              <w:spacing w:before="40" w:after="40"/>
            </w:pPr>
            <w:r>
              <w:t xml:space="preserve">до этапа 2</w:t>
            </w:r>
          </w:p>
        </w:tc>
      </w:tr>
      <w:tr>
        <w:tc>
          <w:tcPr>
            <w:tcW w:w="4518" w:type="dxa"/>
          </w:tcPr>
          <w:p>
            <w:pPr>
              <w:spacing w:before="40" w:after="40"/>
            </w:pPr>
            <w:r>
              <w:t xml:space="preserve">Дифференциация цен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Разброс охвата между поверхностями достигает 4,4 раза при одинаковой цене 330 BYN. Решение принимается по итогам года, но признак раздельных тарифов заложить в справочник сразу</w:t>
            </w:r>
          </w:p>
        </w:tc>
        <w:tc>
          <w:tcPr>
            <w:tcW w:w="2582" w:type="dxa"/>
          </w:tcPr>
          <w:p>
            <w:pPr>
              <w:spacing w:before="40" w:after="40"/>
            </w:pPr>
            <w:r>
              <w:t xml:space="preserve">этап 1</w:t>
            </w:r>
          </w:p>
        </w:tc>
      </w:tr>
      <w:tr>
        <w:tc>
          <w:tcPr>
            <w:tcW w:w="4518" w:type="dxa"/>
          </w:tcPr>
          <w:p>
            <w:pPr>
              <w:spacing w:before="40" w:after="40"/>
            </w:pPr>
            <w:r>
              <w:t xml:space="preserve">Замена администратора на время отсутствия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Заявка с сайта должна получить ответ за 2 рабочих часа. Нужен заместитель на период отпуска и болезни</w:t>
            </w:r>
          </w:p>
        </w:tc>
        <w:tc>
          <w:tcPr>
            <w:tcW w:w="2582" w:type="dxa"/>
          </w:tcPr>
          <w:p>
            <w:pPr>
              <w:spacing w:before="40" w:after="40"/>
            </w:pPr>
            <w:r>
              <w:t xml:space="preserve">до запуска</w:t>
            </w:r>
          </w:p>
        </w:tc>
      </w:tr>
    </w:tbl>
    <w:p/>
    <w:p>
      <w:pPr>
        <w:pStyle w:val="Heading2"/>
      </w:pPr>
      <w:r>
        <w:t xml:space="preserve">7. Риски</w:t>
      </w:r>
    </w:p>
    <w:tbl>
      <w:tblPr>
        <w:tblStyle w:val="TableGridF"/>
        <w:tblW w:w="14200" w:type="dxa"/>
        <w:tblLayout w:type="fixed"/>
      </w:tblPr>
      <w:tblGrid>
        <w:gridCol w:w="4518"/>
        <w:gridCol w:w="2582"/>
        <w:gridCol w:w="7100"/>
      </w:tblGrid>
      <w:tr>
        <w:trPr>
          <w:tblHeader/>
        </w:trPr>
        <w:tc>
          <w:tcPr>
            <w:tcW w:w="4518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Риск</w:t>
            </w:r>
          </w:p>
        </w:tc>
        <w:tc>
          <w:tcPr>
            <w:tcW w:w="2582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Влияние</w:t>
            </w:r>
          </w:p>
        </w:tc>
        <w:tc>
          <w:tcPr>
            <w:tcW w:w="710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Как снижаем</w:t>
            </w:r>
          </w:p>
        </w:tc>
      </w:tr>
      <w:tr>
        <w:tc>
          <w:tcPr>
            <w:tcW w:w="4518" w:type="dxa"/>
          </w:tcPr>
          <w:p>
            <w:pPr>
              <w:spacing w:before="40" w:after="40"/>
            </w:pPr>
            <w:r>
              <w:t xml:space="preserve">Данные не готовы к запуску витрины</w:t>
            </w:r>
          </w:p>
        </w:tc>
        <w:tc>
          <w:tcPr>
            <w:tcW w:w="2582" w:type="dxa"/>
          </w:tcPr>
          <w:p>
            <w:pPr>
              <w:spacing w:before="40" w:after="40"/>
            </w:pPr>
            <w:r>
              <w:t xml:space="preserve">критическое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Подготовка начинается на этапе 0 и контролируется директором еженедельно по таблице раздела 5, а не в декабре</w:t>
            </w:r>
          </w:p>
        </w:tc>
      </w:tr>
      <w:tr>
        <w:tc>
          <w:tcPr>
            <w:tcW w:w="4518" w:type="dxa"/>
          </w:tcPr>
          <w:p>
            <w:pPr>
              <w:spacing w:before="40" w:after="40"/>
            </w:pPr>
            <w:r>
              <w:t xml:space="preserve">Параллельное ведение Excel</w:t>
            </w:r>
          </w:p>
        </w:tc>
        <w:tc>
          <w:tcPr>
            <w:tcW w:w="2582" w:type="dxa"/>
          </w:tcPr>
          <w:p>
            <w:pPr>
              <w:spacing w:before="40" w:after="40"/>
            </w:pPr>
            <w:r>
              <w:t xml:space="preserve">высокое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Приказ о выводе файла из оборота с фиксированной даты и перенос всех текущих размещений до неё</w:t>
            </w:r>
          </w:p>
        </w:tc>
      </w:tr>
      <w:tr>
        <w:tc>
          <w:tcPr>
            <w:tcW w:w="4518" w:type="dxa"/>
          </w:tcPr>
          <w:p>
            <w:pPr>
              <w:spacing w:before="40" w:after="40"/>
            </w:pPr>
            <w:r>
              <w:t xml:space="preserve">В календаре нет свободного запаса: 16 недель работ и полторы на приёмку</w:t>
            </w:r>
          </w:p>
        </w:tc>
        <w:tc>
          <w:tcPr>
            <w:tcW w:w="2582" w:type="dxa"/>
          </w:tcPr>
          <w:p>
            <w:pPr>
              <w:spacing w:before="40" w:after="40"/>
            </w:pPr>
            <w:r>
              <w:t xml:space="preserve">высокое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Приёмка этапов идёт параллельно со следующим этапом. Смещение компенсируется отказом от требований приоритета Should, а не сдвигом даты запуска. Этап 4 изначально вынесен за дату</w:t>
            </w:r>
          </w:p>
        </w:tc>
      </w:tr>
      <w:tr>
        <w:tc>
          <w:tcPr>
            <w:tcW w:w="4518" w:type="dxa"/>
          </w:tcPr>
          <w:p>
            <w:pPr>
              <w:spacing w:before="40" w:after="40"/>
            </w:pPr>
            <w:r>
              <w:t xml:space="preserve">Рост отклонений материалов клиентов</w:t>
            </w:r>
          </w:p>
        </w:tc>
        <w:tc>
          <w:tcPr>
            <w:tcW w:w="2582" w:type="dxa"/>
          </w:tcPr>
          <w:p>
            <w:pPr>
              <w:spacing w:before="40" w:after="40"/>
            </w:pPr>
            <w:r>
              <w:t xml:space="preserve">среднее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Инструкция по перекадрированию роликов готовится до запуска витрины, а не после первых жалоб</w:t>
            </w:r>
          </w:p>
        </w:tc>
      </w:tr>
      <w:tr>
        <w:tc>
          <w:tcPr>
            <w:tcW w:w="4518" w:type="dxa"/>
          </w:tcPr>
          <w:p>
            <w:pPr>
              <w:spacing w:before="40" w:after="40"/>
            </w:pPr>
            <w:r>
              <w:t xml:space="preserve">Отпуска и болезни в декабре</w:t>
            </w:r>
          </w:p>
        </w:tc>
        <w:tc>
          <w:tcPr>
            <w:tcW w:w="2582" w:type="dxa"/>
          </w:tcPr>
          <w:p>
            <w:pPr>
              <w:spacing w:before="40" w:after="40"/>
            </w:pPr>
            <w:r>
              <w:t xml:space="preserve">среднее</w:t>
            </w:r>
          </w:p>
        </w:tc>
        <w:tc>
          <w:tcPr>
            <w:tcW w:w="7100" w:type="dxa"/>
          </w:tcPr>
          <w:p>
            <w:pPr>
              <w:spacing w:before="40" w:after="40"/>
            </w:pPr>
            <w:r>
              <w:t xml:space="preserve">График отпусков ключевых сотрудников согласуется в сентябре</w:t>
            </w:r>
          </w:p>
        </w:tc>
      </w:tr>
    </w:tbl>
    <w:p/>
    <w:p>
      <w:pPr>
        <w:pStyle w:val="Heading2"/>
      </w:pPr>
      <w:r>
        <w:t xml:space="preserve">8. Критерии готовности к 01.01.2027</w:t>
      </w:r>
    </w:p>
    <w:tbl>
      <w:tblPr>
        <w:tblStyle w:val="TableGridF"/>
        <w:tblW w:w="14200" w:type="dxa"/>
        <w:tblLayout w:type="fixed"/>
      </w:tblPr>
      <w:tblGrid>
        <w:gridCol w:w="4260"/>
        <w:gridCol w:w="9940"/>
      </w:tblGrid>
      <w:tr>
        <w:trPr>
          <w:tblHeader/>
        </w:trPr>
        <w:tc>
          <w:tcPr>
            <w:tcW w:w="426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Критерий</w:t>
            </w:r>
          </w:p>
        </w:tc>
        <w:tc>
          <w:tcPr>
            <w:tcW w:w="9940" w:type="dxa"/>
            <w:shd w:val="clear" w:color="auto" w:fill="EFEDF7"/>
          </w:tcPr>
          <w:p>
            <w:pPr>
              <w:spacing w:before="40" w:after="40"/>
            </w:pPr>
            <w:r>
              <w:rPr>
                <w:b/>
              </w:rPr>
              <w:t xml:space="preserve">Содержание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Функциональная полнота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Реализованы все требования приоритета Must этапов 0–3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Целостность занятости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Автоматический тест подтверждает невозможность двойного бронирования позиции на пересекающиеся периоды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Договорные правила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Автоматические тесты на расчёт штрафа 20 %, пени 0,1 %, крайних дат и автопролонгации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Сверка миграции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Число занятых позиций по месяцам совпадает с последним файлом Excel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Правовые требования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Требования раздела 12 ТЗ, отнесённые к этапам 0–3, выполнены полностью. При невыполнении любого приёмка не производится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Дефекты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Отсутствуют дефекты критического и высокого уровня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Документация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Переданы описание архитектуры, схема базы данных, руководство по развёртыванию, руководства пользователя по ролям</w:t>
            </w:r>
          </w:p>
        </w:tc>
      </w:tr>
      <w:tr>
        <w:tc>
          <w:tcPr>
            <w:tcW w:w="4260" w:type="dxa"/>
          </w:tcPr>
          <w:p>
            <w:pPr>
              <w:spacing w:before="40" w:after="40"/>
            </w:pPr>
            <w:r>
              <w:t xml:space="preserve">Готовность людей</w:t>
            </w:r>
          </w:p>
        </w:tc>
        <w:tc>
          <w:tcPr>
            <w:tcW w:w="9940" w:type="dxa"/>
          </w:tcPr>
          <w:p>
            <w:pPr>
              <w:spacing w:before="40" w:after="40"/>
            </w:pPr>
            <w:r>
              <w:t xml:space="preserve">Сотрудники обучены и работают в системе не менее двух недель до даты запуска</w:t>
            </w:r>
          </w:p>
        </w:tc>
      </w:tr>
    </w:tbl>
    <w:p/>
    <w:sectPr>
      <w:pgSz w:w="16838" w:h="11906" w:orient="landscape"/>
      <w:pgMar w:top="1134" w:right="1134" w:bottom="1134" w:left="1134" w:header="709" w:footer="709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—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ru-RU"/>
      </w:rPr>
    </w:rPrDefault>
    <w:pPrDefault>
      <w:pPr>
        <w:spacing w:after="140" w:line="276" w:lineRule="auto"/>
      </w:pPr>
    </w:pPrDefault>
  </w:docDefaults>
  <w:style w:type="paragraph" w:default="1" w:styleId="Normal">
    <w:name w:val="Normal"/>
    <w:qFormat/>
  </w:style>
  <w:style w:type="paragraph" w:styleId="TitleF">
    <w:name w:val="Title"/>
    <w:basedOn w:val="Normal"/>
    <w:qFormat/>
    <w:pPr>
      <w:spacing w:before="0" w:after="240"/>
    </w:pPr>
    <w:rPr>
      <w:b/>
      <w:color w:val="3B2A98"/>
      <w:sz w:val="52"/>
    </w:rPr>
  </w:style>
  <w:style w:type="paragraph" w:styleId="Heading2">
    <w:name w:val="heading 2"/>
    <w:basedOn w:val="Normal"/>
    <w:next w:val="Normal"/>
    <w:qFormat/>
    <w:pPr>
      <w:keepNext/>
      <w:outlineLvl w:val="0"/>
      <w:spacing w:before="360" w:after="140"/>
    </w:pPr>
    <w:rPr>
      <w:b/>
      <w:color w:val="3B2A98"/>
      <w:sz w:val="32"/>
    </w:rPr>
  </w:style>
  <w:style w:type="paragraph" w:styleId="Heading3">
    <w:name w:val="heading 3"/>
    <w:basedOn w:val="Normal"/>
    <w:next w:val="Normal"/>
    <w:qFormat/>
    <w:pPr>
      <w:keepNext/>
      <w:outlineLvl w:val="1"/>
      <w:spacing w:before="280" w:after="120"/>
    </w:pPr>
    <w:rPr>
      <w:b/>
      <w:color w:val="7B1FA2"/>
      <w:sz w:val="26"/>
    </w:rPr>
  </w:style>
  <w:style w:type="paragraph" w:styleId="ListParagraph">
    <w:name w:val="List Paragraph"/>
    <w:basedOn w:val="Normal"/>
    <w:qFormat/>
    <w:pPr>
      <w:spacing w:after="60"/>
      <w:ind w:left="720"/>
    </w:pPr>
  </w:style>
  <w:style w:type="table" w:styleId="TableGridF">
    <w:name w:val="Table Grid"/>
    <w:tblPr>
      <w:tblBorders>
        <w:top w:val="single" w:sz="4" w:space="0" w:color="C9C6DE"/>
        <w:left w:val="single" w:sz="4" w:space="0" w:color="C9C6DE"/>
        <w:bottom w:val="single" w:sz="4" w:space="0" w:color="C9C6DE"/>
        <w:right w:val="single" w:sz="4" w:space="0" w:color="C9C6DE"/>
        <w:insideH w:val="single" w:sz="4" w:space="0" w:color="C9C6DE"/>
        <w:insideV w:val="single" w:sz="4" w:space="0" w:color="C9C6DE"/>
      </w:tblBorders>
      <w:tblCellMar>
        <w:top w:w="60" w:type="dxa"/>
        <w:left w:w="108" w:type="dxa"/>
        <w:bottom w:w="6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

<file path=docProps/app.xml><?xml version="1.0" encoding="utf-8"?>
<Properties xmlns="http://schemas.openxmlformats.org/officeDocument/2006/extended-properties">
  <Application>forus.by roadmap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Дорожная карта внедрения портала forus.by</dc:title>
  <dc:creator>ЧПУП «ФОРУСультра»</dc:creator>
  <cp:lastModifiedBy>ЧПУП «ФОРУСультра»</cp:lastModifiedBy>
  <dcterms:created xsi:type="dcterms:W3CDTF">2026-09-01T23:21:03Z</dcterms:created>
  <dcterms:modified xsi:type="dcterms:W3CDTF">2026-09-01T23:21:03Z</dcterms:modified>
</cp:coreProperties>
</file>