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b/>
          <w:bCs/>
          <w:color w:val="1E3A5F"/>
          <w:sz w:val="44"/>
          <w:szCs w:val="44"/>
        </w:rPr>
        <w:t xml:space="preserve">NTT DATA</w:t>
      </w:r>
    </w:p>
    <w:p>
      <w:pPr>
        <w:spacing w:after="1100"/>
      </w:pPr>
      <w:r>
        <w:rPr>
          <w:i/>
          <w:iCs/>
          <w:color w:val="475569"/>
          <w:sz w:val="20"/>
          <w:szCs w:val="20"/>
        </w:rPr>
        <w:t xml:space="preserve">Trusted Global Innovator</w:t>
      </w:r>
    </w:p>
    <w:p>
      <w:pPr>
        <w:spacing w:after="200"/>
      </w:pPr>
      <w:r>
        <w:rPr>
          <w:b/>
          <w:bCs/>
          <w:color w:val="1E3A5F"/>
          <w:sz w:val="56"/>
          <w:szCs w:val="56"/>
        </w:rPr>
        <w:t xml:space="preserve">NTT DATA Healthcare AI Platform</w:t>
      </w:r>
    </w:p>
    <w:p>
      <w:pPr>
        <w:spacing w:after="120"/>
      </w:pPr>
      <w:r>
        <w:rPr>
          <w:color w:val="3366FF"/>
          <w:sz w:val="32"/>
          <w:szCs w:val="32"/>
        </w:rPr>
        <w:t xml:space="preserve">Health Savvy Corporate Healthcare Dashboard</w:t>
      </w:r>
    </w:p>
    <w:p>
      <w:pPr>
        <w:spacing w:after="1200"/>
      </w:pPr>
      <w:r>
        <w:rPr>
          <w:color w:val="475569"/>
          <w:sz w:val="26"/>
          <w:szCs w:val="26"/>
        </w:rPr>
        <w:t xml:space="preserve">Scope, Features &amp; Specification Document</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single" w:color="CBD5E1" w:sz="4"/>
              <w:left w:val="single" w:color="CBD5E1" w:sz="4"/>
              <w:bottom w:val="single" w:color="CBD5E1" w:sz="4"/>
              <w:right w:val="single" w:color="CBD5E1" w:sz="4"/>
            </w:tcBorders>
            <w:shd w:fill="EEF4FF" w:val="clear"/>
            <w:tcMar>
              <w:top w:type="dxa" w:w="80"/>
              <w:left w:type="dxa" w:w="120"/>
              <w:bottom w:type="dxa" w:w="80"/>
              <w:right w:type="dxa" w:w="120"/>
            </w:tcMar>
          </w:tcPr>
          <w:p>
            <w:pPr>
              <w:spacing w:after="0" w:line="260"/>
            </w:pPr>
            <w:r>
              <w:rPr>
                <w:b/>
                <w:bCs/>
                <w:color w:val="1E3A5F"/>
                <w:sz w:val="19"/>
                <w:szCs w:val="19"/>
              </w:rPr>
              <w:t xml:space="preserve">Document Title</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Scope, Features &amp; Specification</w:t>
            </w:r>
          </w:p>
        </w:tc>
      </w:tr>
      <w:tr>
        <w:tc>
          <w:tcPr>
            <w:tcW w:type="dxa" w:w="2000"/>
            <w:tcBorders>
              <w:top w:val="single" w:color="CBD5E1" w:sz="4"/>
              <w:left w:val="single" w:color="CBD5E1" w:sz="4"/>
              <w:bottom w:val="single" w:color="CBD5E1" w:sz="4"/>
              <w:right w:val="single" w:color="CBD5E1" w:sz="4"/>
            </w:tcBorders>
            <w:shd w:fill="EEF4FF" w:val="clear"/>
            <w:tcMar>
              <w:top w:type="dxa" w:w="80"/>
              <w:left w:type="dxa" w:w="120"/>
              <w:bottom w:type="dxa" w:w="80"/>
              <w:right w:type="dxa" w:w="120"/>
            </w:tcMar>
          </w:tcPr>
          <w:p>
            <w:pPr>
              <w:spacing w:after="0" w:line="260"/>
            </w:pPr>
            <w:r>
              <w:rPr>
                <w:b/>
                <w:bCs/>
                <w:color w:val="1E3A5F"/>
                <w:sz w:val="19"/>
                <w:szCs w:val="19"/>
              </w:rPr>
              <w:t xml:space="preserve">Project</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Health Savvy Healthcare Dashboard</w:t>
            </w:r>
          </w:p>
        </w:tc>
      </w:tr>
      <w:tr>
        <w:tc>
          <w:tcPr>
            <w:tcW w:type="dxa" w:w="2000"/>
            <w:tcBorders>
              <w:top w:val="single" w:color="CBD5E1" w:sz="4"/>
              <w:left w:val="single" w:color="CBD5E1" w:sz="4"/>
              <w:bottom w:val="single" w:color="CBD5E1" w:sz="4"/>
              <w:right w:val="single" w:color="CBD5E1" w:sz="4"/>
            </w:tcBorders>
            <w:shd w:fill="EEF4FF" w:val="clear"/>
            <w:tcMar>
              <w:top w:type="dxa" w:w="80"/>
              <w:left w:type="dxa" w:w="120"/>
              <w:bottom w:type="dxa" w:w="80"/>
              <w:right w:type="dxa" w:w="120"/>
            </w:tcMar>
          </w:tcPr>
          <w:p>
            <w:pPr>
              <w:spacing w:after="0" w:line="260"/>
            </w:pPr>
            <w:r>
              <w:rPr>
                <w:b/>
                <w:bCs/>
                <w:color w:val="1E3A5F"/>
                <w:sz w:val="19"/>
                <w:szCs w:val="19"/>
              </w:rPr>
              <w:t xml:space="preserve">Positioning</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AI Care Management Platform for Employers</w:t>
            </w:r>
          </w:p>
        </w:tc>
      </w:tr>
      <w:tr>
        <w:tc>
          <w:tcPr>
            <w:tcW w:type="dxa" w:w="2000"/>
            <w:tcBorders>
              <w:top w:val="single" w:color="CBD5E1" w:sz="4"/>
              <w:left w:val="single" w:color="CBD5E1" w:sz="4"/>
              <w:bottom w:val="single" w:color="CBD5E1" w:sz="4"/>
              <w:right w:val="single" w:color="CBD5E1" w:sz="4"/>
            </w:tcBorders>
            <w:shd w:fill="EEF4FF" w:val="clear"/>
            <w:tcMar>
              <w:top w:type="dxa" w:w="80"/>
              <w:left w:type="dxa" w:w="120"/>
              <w:bottom w:type="dxa" w:w="80"/>
              <w:right w:type="dxa" w:w="120"/>
            </w:tcMar>
          </w:tcPr>
          <w:p>
            <w:pPr>
              <w:spacing w:after="0" w:line="260"/>
            </w:pPr>
            <w:r>
              <w:rPr>
                <w:b/>
                <w:bCs/>
                <w:color w:val="1E3A5F"/>
                <w:sz w:val="19"/>
                <w:szCs w:val="19"/>
              </w:rPr>
              <w:t xml:space="preserve">Version</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1.1</w:t>
            </w:r>
          </w:p>
        </w:tc>
      </w:tr>
      <w:tr>
        <w:tc>
          <w:tcPr>
            <w:tcW w:type="dxa" w:w="2000"/>
            <w:tcBorders>
              <w:top w:val="single" w:color="CBD5E1" w:sz="4"/>
              <w:left w:val="single" w:color="CBD5E1" w:sz="4"/>
              <w:bottom w:val="single" w:color="CBD5E1" w:sz="4"/>
              <w:right w:val="single" w:color="CBD5E1" w:sz="4"/>
            </w:tcBorders>
            <w:shd w:fill="EEF4FF" w:val="clear"/>
            <w:tcMar>
              <w:top w:type="dxa" w:w="80"/>
              <w:left w:type="dxa" w:w="120"/>
              <w:bottom w:type="dxa" w:w="80"/>
              <w:right w:type="dxa" w:w="120"/>
            </w:tcMar>
          </w:tcPr>
          <w:p>
            <w:pPr>
              <w:spacing w:after="0" w:line="260"/>
            </w:pPr>
            <w:r>
              <w:rPr>
                <w:b/>
                <w:bCs/>
                <w:color w:val="1E3A5F"/>
                <w:sz w:val="19"/>
                <w:szCs w:val="19"/>
              </w:rPr>
              <w:t xml:space="preserve">Date</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16 July 2026</w:t>
            </w:r>
          </w:p>
        </w:tc>
      </w:tr>
      <w:tr>
        <w:tc>
          <w:tcPr>
            <w:tcW w:type="dxa" w:w="2000"/>
            <w:tcBorders>
              <w:top w:val="single" w:color="CBD5E1" w:sz="4"/>
              <w:left w:val="single" w:color="CBD5E1" w:sz="4"/>
              <w:bottom w:val="single" w:color="CBD5E1" w:sz="4"/>
              <w:right w:val="single" w:color="CBD5E1" w:sz="4"/>
            </w:tcBorders>
            <w:shd w:fill="EEF4FF" w:val="clear"/>
            <w:tcMar>
              <w:top w:type="dxa" w:w="80"/>
              <w:left w:type="dxa" w:w="120"/>
              <w:bottom w:type="dxa" w:w="80"/>
              <w:right w:type="dxa" w:w="120"/>
            </w:tcMar>
          </w:tcPr>
          <w:p>
            <w:pPr>
              <w:spacing w:after="0" w:line="260"/>
            </w:pPr>
            <w:r>
              <w:rPr>
                <w:b/>
                <w:bCs/>
                <w:color w:val="1E3A5F"/>
                <w:sz w:val="19"/>
                <w:szCs w:val="19"/>
              </w:rPr>
              <w:t xml:space="preserve">Status</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Baseline — aligned to client feedback of 12 Jul 2026 and reviewer confirmations of 15 Jul 2026</w:t>
            </w:r>
          </w:p>
        </w:tc>
      </w:tr>
      <w:tr>
        <w:tc>
          <w:tcPr>
            <w:tcW w:type="dxa" w:w="2000"/>
            <w:tcBorders>
              <w:top w:val="single" w:color="CBD5E1" w:sz="4"/>
              <w:left w:val="single" w:color="CBD5E1" w:sz="4"/>
              <w:bottom w:val="single" w:color="CBD5E1" w:sz="4"/>
              <w:right w:val="single" w:color="CBD5E1" w:sz="4"/>
            </w:tcBorders>
            <w:shd w:fill="EEF4FF" w:val="clear"/>
            <w:tcMar>
              <w:top w:type="dxa" w:w="80"/>
              <w:left w:type="dxa" w:w="120"/>
              <w:bottom w:type="dxa" w:w="80"/>
              <w:right w:type="dxa" w:w="120"/>
            </w:tcMar>
          </w:tcPr>
          <w:p>
            <w:pPr>
              <w:spacing w:after="0" w:line="260"/>
            </w:pPr>
            <w:r>
              <w:rPr>
                <w:b/>
                <w:bCs/>
                <w:color w:val="1E3A5F"/>
                <w:sz w:val="19"/>
                <w:szCs w:val="19"/>
              </w:rPr>
              <w:t xml:space="preserve">Data Source</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Mock / synthetic demonstration data only — no real patient, employee or claims data</w:t>
            </w:r>
          </w:p>
        </w:tc>
      </w:tr>
      <w:tr>
        <w:tc>
          <w:tcPr>
            <w:tcW w:type="dxa" w:w="2000"/>
            <w:tcBorders>
              <w:top w:val="single" w:color="CBD5E1" w:sz="4"/>
              <w:left w:val="single" w:color="CBD5E1" w:sz="4"/>
              <w:bottom w:val="single" w:color="CBD5E1" w:sz="4"/>
              <w:right w:val="single" w:color="CBD5E1" w:sz="4"/>
            </w:tcBorders>
            <w:shd w:fill="EEF4FF" w:val="clear"/>
            <w:tcMar>
              <w:top w:type="dxa" w:w="80"/>
              <w:left w:type="dxa" w:w="120"/>
              <w:bottom w:type="dxa" w:w="80"/>
              <w:right w:type="dxa" w:w="120"/>
            </w:tcMar>
          </w:tcPr>
          <w:p>
            <w:pPr>
              <w:spacing w:after="0" w:line="260"/>
            </w:pPr>
            <w:r>
              <w:rPr>
                <w:b/>
                <w:bCs/>
                <w:color w:val="1E3A5F"/>
                <w:sz w:val="19"/>
                <w:szCs w:val="19"/>
              </w:rPr>
              <w:t xml:space="preserve">Backend</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Completely mocked — no server, no database, no system integrations; all data lives in the browser</w:t>
            </w:r>
          </w:p>
        </w:tc>
      </w:tr>
      <w:tr>
        <w:tc>
          <w:tcPr>
            <w:tcW w:type="dxa" w:w="2000"/>
            <w:tcBorders>
              <w:top w:val="single" w:color="CBD5E1" w:sz="4"/>
              <w:left w:val="single" w:color="CBD5E1" w:sz="4"/>
              <w:bottom w:val="single" w:color="CBD5E1" w:sz="4"/>
              <w:right w:val="single" w:color="CBD5E1" w:sz="4"/>
            </w:tcBorders>
            <w:shd w:fill="EEF4FF" w:val="clear"/>
            <w:tcMar>
              <w:top w:type="dxa" w:w="80"/>
              <w:left w:type="dxa" w:w="120"/>
              <w:bottom w:type="dxa" w:w="80"/>
              <w:right w:type="dxa" w:w="120"/>
            </w:tcMar>
          </w:tcPr>
          <w:p>
            <w:pPr>
              <w:spacing w:after="0" w:line="260"/>
            </w:pPr>
            <w:r>
              <w:rPr>
                <w:b/>
                <w:bCs/>
                <w:color w:val="1E3A5F"/>
                <w:sz w:val="19"/>
                <w:szCs w:val="19"/>
              </w:rPr>
              <w:t xml:space="preserve">AI Usage</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Simulated (mock) AI responses only — no external AI service, model or API is used</w:t>
            </w:r>
          </w:p>
        </w:tc>
      </w:tr>
      <w:tr>
        <w:tc>
          <w:tcPr>
            <w:tcW w:type="dxa" w:w="2000"/>
            <w:tcBorders>
              <w:top w:val="single" w:color="CBD5E1" w:sz="4"/>
              <w:left w:val="single" w:color="CBD5E1" w:sz="4"/>
              <w:bottom w:val="single" w:color="CBD5E1" w:sz="4"/>
              <w:right w:val="single" w:color="CBD5E1" w:sz="4"/>
            </w:tcBorders>
            <w:shd w:fill="EEF4FF" w:val="clear"/>
            <w:tcMar>
              <w:top w:type="dxa" w:w="80"/>
              <w:left w:type="dxa" w:w="120"/>
              <w:bottom w:type="dxa" w:w="80"/>
              <w:right w:type="dxa" w:w="120"/>
            </w:tcMar>
          </w:tcPr>
          <w:p>
            <w:pPr>
              <w:spacing w:after="0" w:line="260"/>
            </w:pPr>
            <w:r>
              <w:rPr>
                <w:b/>
                <w:bCs/>
                <w:color w:val="1E3A5F"/>
                <w:sz w:val="19"/>
                <w:szCs w:val="19"/>
              </w:rPr>
              <w:t xml:space="preserve">Classification</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NTT DATA — Internal / Client Confidential</w:t>
            </w:r>
          </w:p>
        </w:tc>
      </w:tr>
    </w:tbl>
    <w:p>
      <w:pPr>
        <w:spacing w:before="300"/>
      </w:pPr>
      <w:r>
        <w:rPr>
          <w:color w:val="475569"/>
          <w:sz w:val="16"/>
          <w:szCs w:val="16"/>
        </w:rPr>
        <w:t xml:space="preserve">© 2026 NTT DATA Group Corporation. All rights reserved. "NTT DATA" and the NTT DATA logo are trademarks of NTT DATA Group Corporation.</w:t>
      </w:r>
    </w:p>
    <w:p>
      <w:r>
        <w:br w:type="page"/>
      </w:r>
    </w:p>
    <w:p>
      <w:pPr>
        <w:pStyle w:val="Heading1"/>
        <w:spacing w:after="160" w:before="360"/>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600"/>
        <w:gridCol w:w="3926"/>
      </w:tblGrid>
      <w:tr>
        <w:trPr>
          <w:tblHeader/>
        </w:trPr>
        <w:tc>
          <w:tcPr>
            <w:tcW w:type="dxa" w:w="11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Version</w:t>
            </w:r>
          </w:p>
        </w:tc>
        <w:tc>
          <w:tcPr>
            <w:tcW w:type="dxa" w:w="14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Date</w:t>
            </w:r>
          </w:p>
        </w:tc>
        <w:tc>
          <w:tcPr>
            <w:tcW w:type="dxa" w:w="26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Author</w:t>
            </w:r>
          </w:p>
        </w:tc>
        <w:tc>
          <w:tcPr>
            <w:tcW w:type="dxa" w:w="3926"/>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Description</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0.1</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12 Jul 2026</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NTT DATA Project Team</w:t>
            </w:r>
          </w:p>
        </w:tc>
        <w:tc>
          <w:tcPr>
            <w:tcW w:type="dxa" w:w="39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Initial dashboard build presented for review</w:t>
            </w:r>
          </w:p>
        </w:tc>
      </w:tr>
      <w:tr>
        <w:tc>
          <w:tcPr>
            <w:tcW w:type="dxa" w:w="1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0.9</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14 Jul 2026</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NTT DATA Project Team</w:t>
            </w:r>
          </w:p>
        </w:tc>
        <w:tc>
          <w:tcPr>
            <w:tcW w:type="dxa" w:w="39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Requirements re-aligned to client comments and AI solutions direction</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1.0</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15 Jul 2026</w:t>
            </w:r>
          </w:p>
        </w:tc>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NTT DATA Project Team</w:t>
            </w:r>
          </w:p>
        </w:tc>
        <w:tc>
          <w:tcPr>
            <w:tcW w:type="dxa" w:w="39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Baseline: Phase 1 corrections and Phase 1.5 AI report implemented</w:t>
            </w:r>
          </w:p>
        </w:tc>
      </w:tr>
      <w:tr>
        <w:tc>
          <w:tcPr>
            <w:tcW w:type="dxa" w:w="1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1.1</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16 Jul 2026</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NTT DATA Project Team</w:t>
            </w:r>
          </w:p>
        </w:tc>
        <w:tc>
          <w:tcPr>
            <w:tcW w:type="dxa" w:w="39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Reviewer confirmations applied platform-wide; screenshots appendix added; mock backend and AI usage stated explicitly</w:t>
            </w:r>
          </w:p>
        </w:tc>
      </w:tr>
    </w:tbl>
    <w:p>
      <w:pPr>
        <w:spacing w:after="120" w:line="300"/>
      </w:pPr>
      <w:r>
        <w:rPr>
          <w:color w:val="1E293B"/>
          <w:sz w:val="21"/>
          <w:szCs w:val="21"/>
        </w:rPr>
        <w:t xml:space="preserve"/>
      </w:r>
    </w:p>
    <w:p>
      <w:pPr>
        <w:spacing w:after="120" w:line="300"/>
      </w:pPr>
      <w:r>
        <w:rPr>
          <w:b/>
          <w:bCs/>
          <w:color w:val="1E293B"/>
          <w:sz w:val="21"/>
          <w:szCs w:val="21"/>
        </w:rPr>
        <w:t xml:space="preserve">Source inputs:</w:t>
      </w:r>
    </w:p>
    <w:p>
      <w:pPr>
        <w:pStyle w:val="ListParagraph"/>
        <w:numPr>
          <w:ilvl w:val="0"/>
          <w:numId w:val="2"/>
        </w:numPr>
        <w:spacing w:after="80" w:line="280"/>
      </w:pPr>
      <w:r>
        <w:rPr>
          <w:color w:val="1E293B"/>
          <w:sz w:val="21"/>
          <w:szCs w:val="21"/>
        </w:rPr>
        <w:t xml:space="preserve">"NTT Dashboard Comments" (12 Jul 2026) — client feedback on the dashboard, screenshot by screenshot.</w:t>
      </w:r>
    </w:p>
    <w:p>
      <w:pPr>
        <w:pStyle w:val="ListParagraph"/>
        <w:numPr>
          <w:ilvl w:val="0"/>
          <w:numId w:val="2"/>
        </w:numPr>
        <w:spacing w:after="80" w:line="280"/>
      </w:pPr>
      <w:r>
        <w:rPr>
          <w:color w:val="1E293B"/>
          <w:sz w:val="21"/>
          <w:szCs w:val="21"/>
        </w:rPr>
        <w:t xml:space="preserve">"Potential AI Solutions" (12 Jul 2026) — client product direction for AI capabilities and market references.</w:t>
      </w:r>
    </w:p>
    <w:p>
      <w:pPr>
        <w:pStyle w:val="ListParagraph"/>
        <w:numPr>
          <w:ilvl w:val="0"/>
          <w:numId w:val="2"/>
        </w:numPr>
        <w:spacing w:after="80" w:line="280"/>
      </w:pPr>
      <w:r>
        <w:rPr>
          <w:color w:val="1E293B"/>
          <w:sz w:val="21"/>
          <w:szCs w:val="21"/>
        </w:rPr>
        <w:t xml:space="preserve">REQUIREMENTS.md — the aligned requirements register maintained in the project repository.</w:t>
      </w:r>
    </w:p>
    <w:p>
      <w:r>
        <w:br w:type="page"/>
      </w:r>
    </w:p>
    <w:p>
      <w:pPr>
        <w:pStyle w:val="Heading1"/>
        <w:spacing w:after="160" w:before="360"/>
      </w:pPr>
      <w:r>
        <w:t xml:space="preserve">Table of Contents</w:t>
      </w:r>
    </w:p>
    <w:p>
      <w:pPr>
        <w:tabs>
          <w:tab w:val="right" w:pos="9026" w:leader="dot"/>
        </w:tabs>
        <w:spacing w:after="100" w:line="280"/>
      </w:pPr>
      <w:r>
        <w:rPr>
          <w:b/>
          <w:bCs/>
          <w:color w:val="1E3A5F"/>
          <w:sz w:val="22"/>
          <w:szCs w:val="22"/>
        </w:rPr>
        <w:t xml:space="preserve">Document Control</w:t>
      </w:r>
      <w:r>
        <w:rPr>
          <w:b/>
          <w:bCs/>
          <w:color w:val="1E3A5F"/>
          <w:sz w:val="22"/>
          <w:szCs w:val="22"/>
        </w:rPr>
        <w:t xml:space="preserve">	2</w:t>
      </w:r>
    </w:p>
    <w:p>
      <w:pPr>
        <w:tabs>
          <w:tab w:val="right" w:pos="9026" w:leader="dot"/>
        </w:tabs>
        <w:spacing w:after="100" w:line="280"/>
      </w:pPr>
      <w:r>
        <w:rPr>
          <w:b/>
          <w:bCs/>
          <w:color w:val="1E3A5F"/>
          <w:sz w:val="22"/>
          <w:szCs w:val="22"/>
        </w:rPr>
        <w:t xml:space="preserve">1. Executive Summary</w:t>
      </w:r>
      <w:r>
        <w:rPr>
          <w:b/>
          <w:bCs/>
          <w:color w:val="1E3A5F"/>
          <w:sz w:val="22"/>
          <w:szCs w:val="22"/>
        </w:rPr>
        <w:t xml:space="preserve">	4</w:t>
      </w:r>
    </w:p>
    <w:p>
      <w:pPr>
        <w:tabs>
          <w:tab w:val="right" w:pos="9026" w:leader="dot"/>
        </w:tabs>
        <w:spacing w:after="100" w:line="280"/>
      </w:pPr>
      <w:r>
        <w:rPr>
          <w:b/>
          <w:bCs/>
          <w:color w:val="1E3A5F"/>
          <w:sz w:val="22"/>
          <w:szCs w:val="22"/>
        </w:rPr>
        <w:t xml:space="preserve">2. Scope</w:t>
      </w:r>
      <w:r>
        <w:rPr>
          <w:b/>
          <w:bCs/>
          <w:color w:val="1E3A5F"/>
          <w:sz w:val="22"/>
          <w:szCs w:val="22"/>
        </w:rPr>
        <w:t xml:space="preserve">	5</w:t>
      </w:r>
    </w:p>
    <w:p>
      <w:pPr>
        <w:tabs>
          <w:tab w:val="right" w:pos="8626" w:leader="dot"/>
        </w:tabs>
        <w:spacing w:after="60" w:line="280"/>
        <w:ind w:left="400"/>
      </w:pPr>
      <w:r>
        <w:rPr>
          <w:b w:val="false"/>
          <w:bCs w:val="false"/>
          <w:color w:val="475569"/>
          <w:sz w:val="20"/>
          <w:szCs w:val="20"/>
        </w:rPr>
        <w:t xml:space="preserve">2.1 In Scope (Current Release)</w:t>
      </w:r>
      <w:r>
        <w:rPr>
          <w:b w:val="false"/>
          <w:bCs w:val="false"/>
          <w:color w:val="475569"/>
          <w:sz w:val="20"/>
          <w:szCs w:val="20"/>
        </w:rPr>
        <w:t xml:space="preserve">	5</w:t>
      </w:r>
    </w:p>
    <w:p>
      <w:pPr>
        <w:tabs>
          <w:tab w:val="right" w:pos="8626" w:leader="dot"/>
        </w:tabs>
        <w:spacing w:after="60" w:line="280"/>
        <w:ind w:left="400"/>
      </w:pPr>
      <w:r>
        <w:rPr>
          <w:b w:val="false"/>
          <w:bCs w:val="false"/>
          <w:color w:val="475569"/>
          <w:sz w:val="20"/>
          <w:szCs w:val="20"/>
        </w:rPr>
        <w:t xml:space="preserve">2.2 Out of Scope (Confirmed by Client Comments)</w:t>
      </w:r>
      <w:r>
        <w:rPr>
          <w:b w:val="false"/>
          <w:bCs w:val="false"/>
          <w:color w:val="475569"/>
          <w:sz w:val="20"/>
          <w:szCs w:val="20"/>
        </w:rPr>
        <w:t xml:space="preserve">	5</w:t>
      </w:r>
    </w:p>
    <w:p>
      <w:pPr>
        <w:tabs>
          <w:tab w:val="right" w:pos="9026" w:leader="dot"/>
        </w:tabs>
        <w:spacing w:after="100" w:line="280"/>
      </w:pPr>
      <w:r>
        <w:rPr>
          <w:b/>
          <w:bCs/>
          <w:color w:val="1E3A5F"/>
          <w:sz w:val="22"/>
          <w:szCs w:val="22"/>
        </w:rPr>
        <w:t xml:space="preserve">3. Personas</w:t>
      </w:r>
      <w:r>
        <w:rPr>
          <w:b/>
          <w:bCs/>
          <w:color w:val="1E3A5F"/>
          <w:sz w:val="22"/>
          <w:szCs w:val="22"/>
        </w:rPr>
        <w:t xml:space="preserve">	6</w:t>
      </w:r>
    </w:p>
    <w:p>
      <w:pPr>
        <w:tabs>
          <w:tab w:val="right" w:pos="9026" w:leader="dot"/>
        </w:tabs>
        <w:spacing w:after="100" w:line="280"/>
      </w:pPr>
      <w:r>
        <w:rPr>
          <w:b/>
          <w:bCs/>
          <w:color w:val="1E3A5F"/>
          <w:sz w:val="22"/>
          <w:szCs w:val="22"/>
        </w:rPr>
        <w:t xml:space="preserve">4. Feature Catalogue</w:t>
      </w:r>
      <w:r>
        <w:rPr>
          <w:b/>
          <w:bCs/>
          <w:color w:val="1E3A5F"/>
          <w:sz w:val="22"/>
          <w:szCs w:val="22"/>
        </w:rPr>
        <w:t xml:space="preserve">	7</w:t>
      </w:r>
    </w:p>
    <w:p>
      <w:pPr>
        <w:tabs>
          <w:tab w:val="right" w:pos="9026" w:leader="dot"/>
        </w:tabs>
        <w:spacing w:after="100" w:line="280"/>
      </w:pPr>
      <w:r>
        <w:rPr>
          <w:b/>
          <w:bCs/>
          <w:color w:val="1E3A5F"/>
          <w:sz w:val="22"/>
          <w:szCs w:val="22"/>
        </w:rPr>
        <w:t xml:space="preserve">5. AI Features</w:t>
      </w:r>
      <w:r>
        <w:rPr>
          <w:b/>
          <w:bCs/>
          <w:color w:val="1E3A5F"/>
          <w:sz w:val="22"/>
          <w:szCs w:val="22"/>
        </w:rPr>
        <w:t xml:space="preserve">	9</w:t>
      </w:r>
    </w:p>
    <w:p>
      <w:pPr>
        <w:tabs>
          <w:tab w:val="right" w:pos="8626" w:leader="dot"/>
        </w:tabs>
        <w:spacing w:after="60" w:line="280"/>
        <w:ind w:left="400"/>
      </w:pPr>
      <w:r>
        <w:rPr>
          <w:b w:val="false"/>
          <w:bCs w:val="false"/>
          <w:color w:val="475569"/>
          <w:sz w:val="20"/>
          <w:szCs w:val="20"/>
        </w:rPr>
        <w:t xml:space="preserve">5.1 Positioning Principle</w:t>
      </w:r>
      <w:r>
        <w:rPr>
          <w:b w:val="false"/>
          <w:bCs w:val="false"/>
          <w:color w:val="475569"/>
          <w:sz w:val="20"/>
          <w:szCs w:val="20"/>
        </w:rPr>
        <w:t xml:space="preserve">	9</w:t>
      </w:r>
    </w:p>
    <w:p>
      <w:pPr>
        <w:tabs>
          <w:tab w:val="right" w:pos="8626" w:leader="dot"/>
        </w:tabs>
        <w:spacing w:after="60" w:line="280"/>
        <w:ind w:left="400"/>
      </w:pPr>
      <w:r>
        <w:rPr>
          <w:b w:val="false"/>
          <w:bCs w:val="false"/>
          <w:color w:val="475569"/>
          <w:sz w:val="20"/>
          <w:szCs w:val="20"/>
        </w:rPr>
        <w:t xml:space="preserve">5.2 Current Release — AI Observations &amp; Suggestions Report</w:t>
      </w:r>
      <w:r>
        <w:rPr>
          <w:b w:val="false"/>
          <w:bCs w:val="false"/>
          <w:color w:val="475569"/>
          <w:sz w:val="20"/>
          <w:szCs w:val="20"/>
        </w:rPr>
        <w:t xml:space="preserve">	9</w:t>
      </w:r>
    </w:p>
    <w:p>
      <w:pPr>
        <w:tabs>
          <w:tab w:val="right" w:pos="8626" w:leader="dot"/>
        </w:tabs>
        <w:spacing w:after="60" w:line="280"/>
        <w:ind w:left="400"/>
      </w:pPr>
      <w:r>
        <w:rPr>
          <w:b w:val="false"/>
          <w:bCs w:val="false"/>
          <w:color w:val="475569"/>
          <w:sz w:val="20"/>
          <w:szCs w:val="20"/>
        </w:rPr>
        <w:t xml:space="preserve">5.3 Phase 2 AI Roadmap</w:t>
      </w:r>
      <w:r>
        <w:rPr>
          <w:b w:val="false"/>
          <w:bCs w:val="false"/>
          <w:color w:val="475569"/>
          <w:sz w:val="20"/>
          <w:szCs w:val="20"/>
        </w:rPr>
        <w:t xml:space="preserve">	9</w:t>
      </w:r>
    </w:p>
    <w:p>
      <w:pPr>
        <w:tabs>
          <w:tab w:val="right" w:pos="8626" w:leader="dot"/>
        </w:tabs>
        <w:spacing w:after="60" w:line="280"/>
        <w:ind w:left="400"/>
      </w:pPr>
      <w:r>
        <w:rPr>
          <w:b w:val="false"/>
          <w:bCs w:val="false"/>
          <w:color w:val="475569"/>
          <w:sz w:val="20"/>
          <w:szCs w:val="20"/>
        </w:rPr>
        <w:t xml:space="preserve">5.4 Demo Assistant</w:t>
      </w:r>
      <w:r>
        <w:rPr>
          <w:b w:val="false"/>
          <w:bCs w:val="false"/>
          <w:color w:val="475569"/>
          <w:sz w:val="20"/>
          <w:szCs w:val="20"/>
        </w:rPr>
        <w:t xml:space="preserve">	10</w:t>
      </w:r>
    </w:p>
    <w:p>
      <w:pPr>
        <w:tabs>
          <w:tab w:val="right" w:pos="9026" w:leader="dot"/>
        </w:tabs>
        <w:spacing w:after="100" w:line="280"/>
      </w:pPr>
      <w:r>
        <w:rPr>
          <w:b/>
          <w:bCs/>
          <w:color w:val="1E3A5F"/>
          <w:sz w:val="22"/>
          <w:szCs w:val="22"/>
        </w:rPr>
        <w:t xml:space="preserve">6. Requirements Register</w:t>
      </w:r>
      <w:r>
        <w:rPr>
          <w:b/>
          <w:bCs/>
          <w:color w:val="1E3A5F"/>
          <w:sz w:val="22"/>
          <w:szCs w:val="22"/>
        </w:rPr>
        <w:t xml:space="preserve">	11</w:t>
      </w:r>
    </w:p>
    <w:p>
      <w:pPr>
        <w:tabs>
          <w:tab w:val="right" w:pos="9026" w:leader="dot"/>
        </w:tabs>
        <w:spacing w:after="100" w:line="280"/>
      </w:pPr>
      <w:r>
        <w:rPr>
          <w:b/>
          <w:bCs/>
          <w:color w:val="1E3A5F"/>
          <w:sz w:val="22"/>
          <w:szCs w:val="22"/>
        </w:rPr>
        <w:t xml:space="preserve">7. Technical Specification</w:t>
      </w:r>
      <w:r>
        <w:rPr>
          <w:b/>
          <w:bCs/>
          <w:color w:val="1E3A5F"/>
          <w:sz w:val="22"/>
          <w:szCs w:val="22"/>
        </w:rPr>
        <w:t xml:space="preserve">	13</w:t>
      </w:r>
    </w:p>
    <w:p>
      <w:pPr>
        <w:tabs>
          <w:tab w:val="right" w:pos="9026" w:leader="dot"/>
        </w:tabs>
        <w:spacing w:after="100" w:line="280"/>
      </w:pPr>
      <w:r>
        <w:rPr>
          <w:b/>
          <w:bCs/>
          <w:color w:val="1E3A5F"/>
          <w:sz w:val="22"/>
          <w:szCs w:val="22"/>
        </w:rPr>
        <w:t xml:space="preserve">8. Prerequisites</w:t>
      </w:r>
      <w:r>
        <w:rPr>
          <w:b/>
          <w:bCs/>
          <w:color w:val="1E3A5F"/>
          <w:sz w:val="22"/>
          <w:szCs w:val="22"/>
        </w:rPr>
        <w:t xml:space="preserve">	14</w:t>
      </w:r>
    </w:p>
    <w:p>
      <w:pPr>
        <w:tabs>
          <w:tab w:val="right" w:pos="9026" w:leader="dot"/>
        </w:tabs>
        <w:spacing w:after="100" w:line="280"/>
      </w:pPr>
      <w:r>
        <w:rPr>
          <w:b/>
          <w:bCs/>
          <w:color w:val="1E3A5F"/>
          <w:sz w:val="22"/>
          <w:szCs w:val="22"/>
        </w:rPr>
        <w:t xml:space="preserve">9. Security &amp; Data Governance</w:t>
      </w:r>
      <w:r>
        <w:rPr>
          <w:b/>
          <w:bCs/>
          <w:color w:val="1E3A5F"/>
          <w:sz w:val="22"/>
          <w:szCs w:val="22"/>
        </w:rPr>
        <w:t xml:space="preserve">	15</w:t>
      </w:r>
    </w:p>
    <w:p>
      <w:pPr>
        <w:tabs>
          <w:tab w:val="right" w:pos="9026" w:leader="dot"/>
        </w:tabs>
        <w:spacing w:after="100" w:line="280"/>
      </w:pPr>
      <w:r>
        <w:rPr>
          <w:b/>
          <w:bCs/>
          <w:color w:val="1E3A5F"/>
          <w:sz w:val="22"/>
          <w:szCs w:val="22"/>
        </w:rPr>
        <w:t xml:space="preserve">10. Limitations</w:t>
      </w:r>
      <w:r>
        <w:rPr>
          <w:b/>
          <w:bCs/>
          <w:color w:val="1E3A5F"/>
          <w:sz w:val="22"/>
          <w:szCs w:val="22"/>
        </w:rPr>
        <w:t xml:space="preserve">	16</w:t>
      </w:r>
    </w:p>
    <w:p>
      <w:pPr>
        <w:tabs>
          <w:tab w:val="right" w:pos="9026" w:leader="dot"/>
        </w:tabs>
        <w:spacing w:after="100" w:line="280"/>
      </w:pPr>
      <w:r>
        <w:rPr>
          <w:b/>
          <w:bCs/>
          <w:color w:val="1E3A5F"/>
          <w:sz w:val="22"/>
          <w:szCs w:val="22"/>
        </w:rPr>
        <w:t xml:space="preserve">11. Outcomes</w:t>
      </w:r>
      <w:r>
        <w:rPr>
          <w:b/>
          <w:bCs/>
          <w:color w:val="1E3A5F"/>
          <w:sz w:val="22"/>
          <w:szCs w:val="22"/>
        </w:rPr>
        <w:t xml:space="preserve">	17</w:t>
      </w:r>
    </w:p>
    <w:p>
      <w:pPr>
        <w:tabs>
          <w:tab w:val="right" w:pos="9026" w:leader="dot"/>
        </w:tabs>
        <w:spacing w:after="100" w:line="280"/>
      </w:pPr>
      <w:r>
        <w:rPr>
          <w:b/>
          <w:bCs/>
          <w:color w:val="1E3A5F"/>
          <w:sz w:val="22"/>
          <w:szCs w:val="22"/>
        </w:rPr>
        <w:t xml:space="preserve">12. Appendix A — Feature Walkthrough (Screenshots)</w:t>
      </w:r>
      <w:r>
        <w:rPr>
          <w:b/>
          <w:bCs/>
          <w:color w:val="1E3A5F"/>
          <w:sz w:val="22"/>
          <w:szCs w:val="22"/>
        </w:rPr>
        <w:t xml:space="preserve">	18</w:t>
      </w:r>
    </w:p>
    <w:p>
      <w:r>
        <w:br w:type="page"/>
      </w:r>
    </w:p>
    <w:p>
      <w:pPr>
        <w:pStyle w:val="Heading1"/>
        <w:spacing w:after="160" w:before="360"/>
      </w:pPr>
      <w:r>
        <w:t xml:space="preserve">1. Executive Summary</w:t>
      </w:r>
    </w:p>
    <w:p>
      <w:pPr>
        <w:spacing w:after="120" w:line="300"/>
      </w:pPr>
      <w:r>
        <w:rPr>
          <w:color w:val="1E293B"/>
          <w:sz w:val="21"/>
          <w:szCs w:val="21"/>
        </w:rPr>
        <w:t xml:space="preserve">The NTT DATA Healthcare AI Platform is a corporate healthcare dashboard for the Health Savvy outpatient benefits system, targeted at the Malaysian employer market. It gives HR departments live visibility of outpatient claim utilisation against tiered benefit limits, and differentiates from conventional third-party administrators (TPAs) by auto-generating the quarterly / semi-annual Observations &amp; Suggestions commentary that TPAs traditionally reserve for customers above RM1 million in annual premium.</w:t>
      </w:r>
    </w:p>
    <w:p>
      <w:pPr>
        <w:spacing w:after="120" w:line="300"/>
      </w:pPr>
      <w:r>
        <w:rPr>
          <w:color w:val="1E293B"/>
          <w:sz w:val="21"/>
          <w:szCs w:val="21"/>
        </w:rPr>
        <w:t xml:space="preserve">The platform is deliberately positioned as an AI Care Management Platform for Employers — improving navigation, prevention, adherence and operational efficiency — and not as an AI diagnosis platform. Employers receive anonymised population insights; employees receive personalised guidance; individual medical detail is never exposed to HR.</w:t>
      </w:r>
    </w:p>
    <w:p>
      <w:pPr>
        <w:spacing w:after="120" w:line="300"/>
      </w:pPr>
      <w:r>
        <w:rPr>
          <w:b/>
          <w:bCs/>
          <w:color w:val="1E293B"/>
          <w:sz w:val="21"/>
          <w:szCs w:val="21"/>
        </w:rPr>
        <w:t xml:space="preserve">Important: the current release is a front-end demonstration. The backend is completely mocked</w:t>
      </w:r>
      <w:r>
        <w:rPr>
          <w:color w:val="1E293B"/>
          <w:sz w:val="21"/>
          <w:szCs w:val="21"/>
        </w:rPr>
        <w:t xml:space="preserve"> — there is no server, database or system integration; every figure shown is synthetic demonstration data generated in the browser, and every AI response is simulated locally. Section 7 details the mock architecture and Appendix A provides annotated screenshots of each view.</w:t>
      </w:r>
    </w:p>
    <w:p>
      <w:pPr>
        <w:spacing w:after="120" w:line="300"/>
      </w:pPr>
      <w:r>
        <w:rPr>
          <w:color w:val="1E293B"/>
          <w:sz w:val="21"/>
          <w:szCs w:val="21"/>
        </w:rPr>
        <w:t xml:space="preserve">This document baselines the scope, personas, features, AI capabilities, requirements, specification, prerequisites, security posture, limitations and outcomes of the current release, fully aligned to the client feedback received on 12 July 2026 and the reviewer confirmations of 15 July 2026.</w:t>
      </w:r>
    </w:p>
    <w:p>
      <w:r>
        <w:br w:type="page"/>
      </w:r>
    </w:p>
    <w:p>
      <w:pPr>
        <w:pStyle w:val="Heading1"/>
        <w:spacing w:after="160" w:before="360"/>
      </w:pPr>
      <w:r>
        <w:t xml:space="preserve">2. Scope</w:t>
      </w:r>
    </w:p>
    <w:p>
      <w:pPr>
        <w:pStyle w:val="Heading2"/>
        <w:spacing w:after="120" w:before="240"/>
      </w:pPr>
      <w:r>
        <w:t xml:space="preserve">2.1 In Scope (Current Release)</w:t>
      </w:r>
    </w:p>
    <w:p>
      <w:pPr>
        <w:pStyle w:val="ListParagraph"/>
        <w:numPr>
          <w:ilvl w:val="0"/>
          <w:numId w:val="2"/>
        </w:numPr>
        <w:spacing w:after="80" w:line="280"/>
      </w:pPr>
      <w:r>
        <w:rPr>
          <w:color w:val="1E293B"/>
          <w:sz w:val="21"/>
          <w:szCs w:val="21"/>
        </w:rPr>
        <w:t xml:space="preserve">HR Dashboard: outpatient claim tracking for the three payment types captured by Health Savvy — Cashless, Self-payment and Reimbursement.</w:t>
      </w:r>
    </w:p>
    <w:p>
      <w:pPr>
        <w:pStyle w:val="ListParagraph"/>
        <w:numPr>
          <w:ilvl w:val="0"/>
          <w:numId w:val="2"/>
        </w:numPr>
        <w:spacing w:after="80" w:line="280"/>
      </w:pPr>
      <w:r>
        <w:rPr>
          <w:color w:val="1E293B"/>
          <w:sz w:val="21"/>
          <w:szCs w:val="21"/>
        </w:rPr>
        <w:t xml:space="preserve">Tiered monthly claim limits per employee (Tier 1 RM300, Tier 2 RM500, Tier 3 RM800) with exceeded / near-limit / normal status tracking.</w:t>
      </w:r>
    </w:p>
    <w:p>
      <w:pPr>
        <w:pStyle w:val="ListParagraph"/>
        <w:numPr>
          <w:ilvl w:val="0"/>
          <w:numId w:val="2"/>
        </w:numPr>
        <w:spacing w:after="80" w:line="280"/>
      </w:pPr>
      <w:r>
        <w:rPr>
          <w:color w:val="1E293B"/>
          <w:sz w:val="21"/>
          <w:szCs w:val="21"/>
        </w:rPr>
        <w:t xml:space="preserve">Claim drill-down per employee with generated claim documents (preview, download, print).</w:t>
      </w:r>
    </w:p>
    <w:p>
      <w:pPr>
        <w:pStyle w:val="ListParagraph"/>
        <w:numPr>
          <w:ilvl w:val="0"/>
          <w:numId w:val="2"/>
        </w:numPr>
        <w:spacing w:after="80" w:line="280"/>
      </w:pPr>
      <w:r>
        <w:rPr>
          <w:color w:val="1E293B"/>
          <w:sz w:val="21"/>
          <w:szCs w:val="21"/>
        </w:rPr>
        <w:t xml:space="preserve">AI Observations &amp; Suggestions report (quarterly / semi-annual) with benchmark commentary, ecosystem-linked suggestions, top-10 ICD-10 disease analysis and a minimum-data threshold.</w:t>
      </w:r>
    </w:p>
    <w:p>
      <w:pPr>
        <w:pStyle w:val="ListParagraph"/>
        <w:numPr>
          <w:ilvl w:val="0"/>
          <w:numId w:val="2"/>
        </w:numPr>
        <w:spacing w:after="80" w:line="280"/>
      </w:pPr>
      <w:r>
        <w:rPr>
          <w:color w:val="1E293B"/>
          <w:sz w:val="21"/>
          <w:szCs w:val="21"/>
        </w:rPr>
        <w:t xml:space="preserve">Ecosystem wellness services directory (referral-only): smoking cessation, weight management, nutrition coaching, chronic disease management, health coaching.</w:t>
      </w:r>
    </w:p>
    <w:p>
      <w:pPr>
        <w:pStyle w:val="ListParagraph"/>
        <w:numPr>
          <w:ilvl w:val="0"/>
          <w:numId w:val="2"/>
        </w:numPr>
        <w:spacing w:after="80" w:line="280"/>
      </w:pPr>
      <w:r>
        <w:rPr>
          <w:color w:val="1E293B"/>
          <w:sz w:val="21"/>
          <w:szCs w:val="21"/>
        </w:rPr>
        <w:t xml:space="preserve">Doctor Workspace and Patient Portal demonstration views.</w:t>
      </w:r>
    </w:p>
    <w:p>
      <w:pPr>
        <w:pStyle w:val="ListParagraph"/>
        <w:numPr>
          <w:ilvl w:val="0"/>
          <w:numId w:val="2"/>
        </w:numPr>
        <w:spacing w:after="80" w:line="280"/>
      </w:pPr>
      <w:r>
        <w:rPr>
          <w:color w:val="1E293B"/>
          <w:sz w:val="21"/>
          <w:szCs w:val="21"/>
        </w:rPr>
        <w:t xml:space="preserve">Demo AI assistant with simulated, locally generated responses (no external AI service).</w:t>
      </w:r>
    </w:p>
    <w:p>
      <w:pPr>
        <w:pStyle w:val="ListParagraph"/>
        <w:numPr>
          <w:ilvl w:val="0"/>
          <w:numId w:val="2"/>
        </w:numPr>
        <w:spacing w:after="80" w:line="280"/>
      </w:pPr>
      <w:r>
        <w:rPr>
          <w:color w:val="1E293B"/>
          <w:sz w:val="21"/>
          <w:szCs w:val="21"/>
        </w:rPr>
        <w:t xml:space="preserve">Trilingual interface (English, Chinese, Bahasa Melayu), light/dark themes, responsive layout.</w:t>
      </w:r>
    </w:p>
    <w:p>
      <w:pPr>
        <w:pStyle w:val="Heading2"/>
        <w:spacing w:after="120" w:before="240"/>
      </w:pPr>
      <w:r>
        <w:t xml:space="preserve">2.2 Out of Scope (Confirmed by Client Comments)</w:t>
      </w:r>
    </w:p>
    <w:p>
      <w:pPr>
        <w:pStyle w:val="ListParagraph"/>
        <w:numPr>
          <w:ilvl w:val="0"/>
          <w:numId w:val="2"/>
        </w:numPr>
        <w:spacing w:after="80" w:line="280"/>
      </w:pPr>
      <w:r>
        <w:rPr>
          <w:color w:val="1E293B"/>
          <w:sz w:val="21"/>
          <w:szCs w:val="21"/>
        </w:rPr>
        <w:t xml:space="preserve">Pharmacy, specialist, imaging, mental health, inpatient and emergency claim categories — not captured by the current Health Savvy system.</w:t>
      </w:r>
    </w:p>
    <w:p>
      <w:pPr>
        <w:pStyle w:val="ListParagraph"/>
        <w:numPr>
          <w:ilvl w:val="0"/>
          <w:numId w:val="2"/>
        </w:numPr>
        <w:spacing w:after="80" w:line="280"/>
      </w:pPr>
      <w:r>
        <w:rPr>
          <w:color w:val="1E293B"/>
          <w:sz w:val="21"/>
          <w:szCs w:val="21"/>
        </w:rPr>
        <w:t xml:space="preserve">Department-level tracking or analytics — the system holds no department data.</w:t>
      </w:r>
    </w:p>
    <w:p>
      <w:pPr>
        <w:pStyle w:val="ListParagraph"/>
        <w:numPr>
          <w:ilvl w:val="0"/>
          <w:numId w:val="2"/>
        </w:numPr>
        <w:spacing w:after="80" w:line="280"/>
      </w:pPr>
      <w:r>
        <w:rPr>
          <w:color w:val="1E293B"/>
          <w:sz w:val="21"/>
          <w:szCs w:val="21"/>
        </w:rPr>
        <w:t xml:space="preserve">"Submitted twice" as a user-facing filter (duplicate-visit detection remains a Phase 2 backend candidate).</w:t>
      </w:r>
    </w:p>
    <w:p>
      <w:pPr>
        <w:pStyle w:val="ListParagraph"/>
        <w:numPr>
          <w:ilvl w:val="0"/>
          <w:numId w:val="2"/>
        </w:numPr>
        <w:spacing w:after="80" w:line="280"/>
      </w:pPr>
      <w:r>
        <w:rPr>
          <w:color w:val="1E293B"/>
          <w:sz w:val="21"/>
          <w:szCs w:val="21"/>
        </w:rPr>
        <w:t xml:space="preserve">Wellness scoring, program statistics, health-risk indicators, rewards and campaign management — Phase 2, pending data capture and endorsement by health professionals.</w:t>
      </w:r>
    </w:p>
    <w:p>
      <w:pPr>
        <w:pStyle w:val="ListParagraph"/>
        <w:numPr>
          <w:ilvl w:val="0"/>
          <w:numId w:val="2"/>
        </w:numPr>
        <w:spacing w:after="80" w:line="280"/>
      </w:pPr>
      <w:r>
        <w:rPr>
          <w:color w:val="1E293B"/>
          <w:sz w:val="21"/>
          <w:szCs w:val="21"/>
        </w:rPr>
        <w:t xml:space="preserve">Live AI/LLM integration, production backend, authentication and real claims data.</w:t>
      </w:r>
    </w:p>
    <w:p>
      <w:r>
        <w:br w:type="page"/>
      </w:r>
    </w:p>
    <w:p>
      <w:pPr>
        <w:pStyle w:val="Heading1"/>
        <w:spacing w:after="160" w:before="360"/>
      </w:pPr>
      <w:r>
        <w:t xml:space="preserve">3.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900"/>
        <w:gridCol w:w="2126"/>
      </w:tblGrid>
      <w:tr>
        <w:trPr>
          <w:tblHeader/>
        </w:trPr>
        <w:tc>
          <w:tcPr>
            <w:tcW w:type="dxa" w:w="17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Persona</w:t>
            </w:r>
          </w:p>
        </w:tc>
        <w:tc>
          <w:tcPr>
            <w:tcW w:type="dxa" w:w="23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Role in Platform</w:t>
            </w:r>
          </w:p>
        </w:tc>
        <w:tc>
          <w:tcPr>
            <w:tcW w:type="dxa" w:w="29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Primary Goals</w:t>
            </w:r>
          </w:p>
        </w:tc>
        <w:tc>
          <w:tcPr>
            <w:tcW w:type="dxa" w:w="2126"/>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Key Views</w:t>
            </w:r>
          </w:p>
        </w:tc>
      </w:tr>
      <w:tr>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HR Manager (primary)</w:t>
            </w:r>
          </w:p>
        </w:tc>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Monitors outpatient claim utilisation and cost for the workforce</w:t>
            </w:r>
          </w:p>
        </w:tc>
        <w:tc>
          <w:tcPr>
            <w:tcW w:type="dxa" w:w="2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Contain healthcare cost; spot over-limit and high-frequency claimants; obtain TPA-grade commentary without TPA fees; decide on ecosystem referrals</w:t>
            </w:r>
          </w:p>
        </w:tc>
        <w:tc>
          <w:tcPr>
            <w:tcW w:type="dxa" w:w="21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HR Dashboard, AI Observations &amp; Suggestions report, ecosystem services</w:t>
            </w:r>
          </w:p>
        </w:tc>
      </w:tr>
      <w:tr>
        <w:tc>
          <w:tcPr>
            <w:tcW w:type="dxa" w:w="1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Doctor / Panel Clinician</w:t>
            </w:r>
          </w:p>
        </w:tc>
        <w:tc>
          <w:tcPr>
            <w:tcW w:type="dxa" w:w="2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Reviews patients and uses clinical decision-support aids</w:t>
            </w:r>
          </w:p>
        </w:tc>
        <w:tc>
          <w:tcPr>
            <w:tcW w:type="dxa" w:w="2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Efficient consultations; structured notes; safe prescribing</w:t>
            </w:r>
          </w:p>
        </w:tc>
        <w:tc>
          <w:tcPr>
            <w:tcW w:type="dxa" w:w="21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Doctor Workspace with AI Copilot (demo)</w:t>
            </w:r>
          </w:p>
        </w:tc>
      </w:tr>
      <w:tr>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Employee / Patient</w:t>
            </w:r>
          </w:p>
        </w:tc>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Views own health records, claims, appointments and medication</w:t>
            </w:r>
          </w:p>
        </w:tc>
        <w:tc>
          <w:tcPr>
            <w:tcW w:type="dxa" w:w="2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Understand own benefits and health; adhere to treatment</w:t>
            </w:r>
          </w:p>
        </w:tc>
        <w:tc>
          <w:tcPr>
            <w:tcW w:type="dxa" w:w="21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Patient Portal</w:t>
            </w:r>
          </w:p>
        </w:tc>
      </w:tr>
      <w:tr>
        <w:tc>
          <w:tcPr>
            <w:tcW w:type="dxa" w:w="1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Corporate Decision Maker</w:t>
            </w:r>
          </w:p>
        </w:tc>
        <w:tc>
          <w:tcPr>
            <w:tcW w:type="dxa" w:w="2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Evaluates the platform against TPA offerings</w:t>
            </w:r>
          </w:p>
        </w:tc>
        <w:tc>
          <w:tcPr>
            <w:tcW w:type="dxa" w:w="2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Measurable ROI; governance and privacy assurance</w:t>
            </w:r>
          </w:p>
        </w:tc>
        <w:tc>
          <w:tcPr>
            <w:tcW w:type="dxa" w:w="21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Full demo walkthrough</w:t>
            </w:r>
          </w:p>
        </w:tc>
      </w:tr>
    </w:tbl>
    <w:p>
      <w:pPr>
        <w:spacing w:after="120" w:line="300"/>
      </w:pPr>
      <w:r>
        <w:rPr>
          <w:color w:val="1E293B"/>
          <w:sz w:val="21"/>
          <w:szCs w:val="21"/>
        </w:rPr>
        <w:t xml:space="preserve"/>
      </w:r>
    </w:p>
    <w:p>
      <w:pPr>
        <w:spacing w:after="120" w:line="300"/>
      </w:pPr>
      <w:r>
        <w:rPr>
          <w:color w:val="1E293B"/>
          <w:sz w:val="21"/>
          <w:szCs w:val="21"/>
        </w:rPr>
        <w:t xml:space="preserve">Access is role-based: each role sees only its own dashboard, selected via the role dropdown in the top navigation. Individual employee medical detail is presented only in claim-administration context; the design principle for production is that HR sees population-level insight, never clinical records.</w:t>
      </w:r>
    </w:p>
    <w:p>
      <w:r>
        <w:br w:type="page"/>
      </w:r>
    </w:p>
    <w:p>
      <w:pPr>
        <w:pStyle w:val="Heading1"/>
        <w:spacing w:after="160" w:before="360"/>
      </w:pPr>
      <w:r>
        <w:t xml:space="preserve">4. Feature Catalogue</w:t>
      </w:r>
    </w:p>
    <w:p>
      <w:pPr>
        <w:pStyle w:val="Heading2"/>
        <w:spacing w:after="120" w:before="240"/>
      </w:pPr>
      <w:r>
        <w:t xml:space="preserve">4.1 HR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Feature</w:t>
            </w:r>
          </w:p>
        </w:tc>
        <w:tc>
          <w:tcPr>
            <w:tcW w:type="dxa" w:w="6526"/>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Description</w:t>
            </w:r>
          </w:p>
        </w:tc>
      </w:tr>
      <w:tr>
        <w:tc>
          <w:tcPr>
            <w:tcW w:type="dxa" w:w="2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KPI summary</w:t>
            </w:r>
          </w:p>
        </w:tc>
        <w:tc>
          <w:tcPr>
            <w:tcW w:type="dxa" w:w="65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Employees with claims, total claims, total amount (RM), exceeded-limit count, pending count</w:t>
            </w:r>
          </w:p>
        </w:tc>
      </w:tr>
      <w:tr>
        <w:tc>
          <w:tcPr>
            <w:tcW w:type="dxa" w:w="2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Payment-type analysis</w:t>
            </w:r>
          </w:p>
        </w:tc>
        <w:tc>
          <w:tcPr>
            <w:tcW w:type="dxa" w:w="65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Outpatient claims by Cashless / Self-payment / Reimbursement with claim status donut</w:t>
            </w:r>
          </w:p>
        </w:tc>
      </w:tr>
      <w:tr>
        <w:tc>
          <w:tcPr>
            <w:tcW w:type="dxa" w:w="2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Employee claims table</w:t>
            </w:r>
          </w:p>
        </w:tc>
        <w:tc>
          <w:tcPr>
            <w:tcW w:type="dxa" w:w="65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Per-employee tier, limit, utilisation progress and status; search across employees, claims and providers</w:t>
            </w:r>
          </w:p>
        </w:tc>
      </w:tr>
      <w:tr>
        <w:tc>
          <w:tcPr>
            <w:tcW w:type="dxa" w:w="2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Claim drill-down</w:t>
            </w:r>
          </w:p>
        </w:tc>
        <w:tc>
          <w:tcPr>
            <w:tcW w:type="dxa" w:w="65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Inline expansion showing each claim with payment type, provider, status and generated claim document (preview / download)</w:t>
            </w:r>
          </w:p>
        </w:tc>
      </w:tr>
      <w:tr>
        <w:tc>
          <w:tcPr>
            <w:tcW w:type="dxa" w:w="2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Filters</w:t>
            </w:r>
          </w:p>
        </w:tc>
        <w:tc>
          <w:tcPr>
            <w:tcW w:type="dxa" w:w="65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All / Exceeded Limit / Pending Claims</w:t>
            </w:r>
          </w:p>
        </w:tc>
      </w:tr>
      <w:tr>
        <w:tc>
          <w:tcPr>
            <w:tcW w:type="dxa" w:w="2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HR Intelligence Reports</w:t>
            </w:r>
          </w:p>
        </w:tc>
        <w:tc>
          <w:tcPr>
            <w:tcW w:type="dxa" w:w="65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Threshold-exceeded, repeat-claimant, spending-projection and anomaly summaries — honestly labelled rule-based, with AI items marked as Phase 2</w:t>
            </w:r>
          </w:p>
        </w:tc>
      </w:tr>
    </w:tbl>
    <w:p>
      <w:pPr>
        <w:pStyle w:val="Heading2"/>
        <w:spacing w:after="120" w:before="240"/>
      </w:pPr>
      <w:r>
        <w:t xml:space="preserve">4.2 AI Observations &amp; Suggestions Report</w:t>
      </w:r>
    </w:p>
    <w:p>
      <w:pPr>
        <w:spacing w:after="120" w:line="300"/>
      </w:pPr>
      <w:r>
        <w:rPr>
          <w:color w:val="1E293B"/>
          <w:sz w:val="21"/>
          <w:szCs w:val="21"/>
        </w:rPr>
        <w:t xml:space="preserve">The differentiator feature: automatically generated quarterly / semi-annual claims commentary, economically produced for every corporate customer regardless of premium size. Details in Section 5.</w:t>
      </w:r>
    </w:p>
    <w:p>
      <w:pPr>
        <w:pStyle w:val="Heading2"/>
        <w:spacing w:after="120" w:before="240"/>
      </w:pPr>
      <w:r>
        <w:t xml:space="preserve">4.3 Ecosystem Wellness Services</w:t>
      </w:r>
    </w:p>
    <w:p>
      <w:pPr>
        <w:spacing w:after="120" w:line="300"/>
      </w:pPr>
      <w:r>
        <w:rPr>
          <w:color w:val="1E293B"/>
          <w:sz w:val="21"/>
          <w:szCs w:val="21"/>
        </w:rPr>
        <w:t xml:space="preserve">A referral directory of wellness services arranged through the Health Savvy ecosystem. Program tracking and data feeds arrive in Phase 2; today the card is explicitly labelled referral-only, and HR decides whether to engage a provider.</w:t>
      </w:r>
    </w:p>
    <w:p>
      <w:pPr>
        <w:pStyle w:val="Heading2"/>
        <w:spacing w:after="120" w:before="240"/>
      </w:pPr>
      <w:r>
        <w:t xml:space="preserve">4.4 Doctor Workspace (Demo)</w:t>
      </w:r>
    </w:p>
    <w:p>
      <w:pPr>
        <w:spacing w:after="120" w:line="300"/>
      </w:pPr>
      <w:r>
        <w:rPr>
          <w:color w:val="1E293B"/>
          <w:sz w:val="21"/>
          <w:szCs w:val="21"/>
        </w:rPr>
        <w:t xml:space="preserve">Patient list with active conditions, vitals with normal-range flags, patient timeline, prescriptions and lab results, plus an AI Copilot (demo) producing simulated consultation summaries, ICD-10 code suggestions, abnormal-vitals highlights, drug-interaction checks, SOAP notes, referral letters and discharge summaries. Per the reviewer confirmations, no numeric risk scores or department information is displayed. (Figure 5.)</w:t>
      </w:r>
    </w:p>
    <w:p>
      <w:pPr>
        <w:pStyle w:val="Heading2"/>
        <w:spacing w:after="120" w:before="240"/>
      </w:pPr>
      <w:r>
        <w:t xml:space="preserve">4.5 Patient Portal (Demo)</w:t>
      </w:r>
    </w:p>
    <w:p>
      <w:pPr>
        <w:spacing w:after="120" w:line="300"/>
      </w:pPr>
      <w:r>
        <w:rPr>
          <w:color w:val="1E293B"/>
          <w:sz w:val="21"/>
          <w:szCs w:val="21"/>
        </w:rPr>
        <w:t xml:space="preserve">Personal health overview: upcoming appointments, digital prescriptions with refill progress, medicine and vaccination reminders, outpatient claims history in RM, and medical history. Per the reviewer confirmations, no personal health score, wellness score or lifestyle score is shown. (Figure 6.)</w:t>
      </w:r>
    </w:p>
    <w:p>
      <w:pPr>
        <w:pStyle w:val="Heading2"/>
        <w:spacing w:after="120" w:before="240"/>
      </w:pPr>
      <w:r>
        <w:t xml:space="preserve">4.6 Platform Features</w:t>
      </w:r>
    </w:p>
    <w:p>
      <w:pPr>
        <w:pStyle w:val="ListParagraph"/>
        <w:numPr>
          <w:ilvl w:val="0"/>
          <w:numId w:val="2"/>
        </w:numPr>
        <w:spacing w:after="80" w:line="280"/>
      </w:pPr>
      <w:r>
        <w:rPr>
          <w:color w:val="1E293B"/>
          <w:sz w:val="21"/>
          <w:szCs w:val="21"/>
        </w:rPr>
        <w:t xml:space="preserve">Trilingual UI — English, Chinese (中文), Bahasa Melayu — including the demo assistant.</w:t>
      </w:r>
    </w:p>
    <w:p>
      <w:pPr>
        <w:pStyle w:val="ListParagraph"/>
        <w:numPr>
          <w:ilvl w:val="0"/>
          <w:numId w:val="2"/>
        </w:numPr>
        <w:spacing w:after="80" w:line="280"/>
      </w:pPr>
      <w:r>
        <w:rPr>
          <w:color w:val="1E293B"/>
          <w:sz w:val="21"/>
          <w:szCs w:val="21"/>
        </w:rPr>
        <w:t xml:space="preserve">Light and dark themes; responsive desktop / tablet / mobile layouts with mobile bottom navigation.</w:t>
      </w:r>
    </w:p>
    <w:p>
      <w:pPr>
        <w:pStyle w:val="ListParagraph"/>
        <w:numPr>
          <w:ilvl w:val="0"/>
          <w:numId w:val="2"/>
        </w:numPr>
        <w:spacing w:after="80" w:line="280"/>
      </w:pPr>
      <w:r>
        <w:rPr>
          <w:color w:val="1E293B"/>
          <w:sz w:val="21"/>
          <w:szCs w:val="21"/>
        </w:rPr>
        <w:t xml:space="preserve">Generated claim documents rendered on demand (no stored PHI files in the demo).</w:t>
      </w:r>
    </w:p>
    <w:p>
      <w:pPr>
        <w:spacing w:after="120" w:line="300"/>
      </w:pPr>
      <w:r>
        <w:rPr>
          <w:color w:val="1E293B"/>
          <w:sz w:val="21"/>
          <w:szCs w:val="21"/>
        </w:rPr>
        <w:t xml:space="preserve"/>
      </w:r>
    </w:p>
    <w:p>
      <w:pPr>
        <w:spacing w:after="120" w:line="300"/>
      </w:pPr>
      <w:r>
        <w:rPr>
          <w:b/>
          <w:bCs/>
          <w:color w:val="1E293B"/>
          <w:sz w:val="21"/>
          <w:szCs w:val="21"/>
        </w:rPr>
        <w:t xml:space="preserve">Feature coverage vs. the confirmed current-phase scope: </w:t>
      </w:r>
      <w:r>
        <w:rPr>
          <w:color w:val="1E293B"/>
          <w:sz w:val="21"/>
          <w:szCs w:val="21"/>
        </w:rPr>
        <w:t xml:space="preserve">outpatient claims summary (KPI cards), claim amount analysis (payment-type chart, per-employee table and drill-down), utilization reporting (claims per employee, tier utilisation, report utilisation metrics), and basic reporting (HR Intelligence Reports panel). Annotated screenshots of every view are provided in Appendix A.</w:t>
      </w:r>
    </w:p>
    <w:p>
      <w:r>
        <w:br w:type="page"/>
      </w:r>
    </w:p>
    <w:p>
      <w:pPr>
        <w:pStyle w:val="Heading1"/>
        <w:spacing w:after="160" w:before="360"/>
      </w:pPr>
      <w:r>
        <w:t xml:space="preserve">5. AI Features</w:t>
      </w:r>
    </w:p>
    <w:p>
      <w:pPr>
        <w:pStyle w:val="Heading2"/>
        <w:spacing w:after="120" w:before="240"/>
      </w:pPr>
      <w:r>
        <w:t xml:space="preserve">5.1 Positioning Principle</w:t>
      </w:r>
    </w:p>
    <w:p>
      <w:pPr>
        <w:spacing w:after="120" w:line="300"/>
      </w:pPr>
      <w:r>
        <w:rPr>
          <w:color w:val="1E293B"/>
          <w:sz w:val="21"/>
          <w:szCs w:val="21"/>
        </w:rPr>
        <w:t xml:space="preserve">AI capabilities follow the client direction: an AI Care Management Platform for Employers, not an AI diagnosis product. Anything shown as intelligent is labelled truthfully — rule-based analytics are marked "Rule-based"; genuine AI capabilities are marked as roadmap items until the data volume and governance to support them exist.</w:t>
      </w:r>
    </w:p>
    <w:p>
      <w:pPr>
        <w:pStyle w:val="Heading2"/>
        <w:spacing w:after="120" w:before="240"/>
      </w:pPr>
      <w:r>
        <w:t xml:space="preserve">5.2 Current Release — AI Observations &amp; Suggestions Report</w:t>
      </w:r>
    </w:p>
    <w:p>
      <w:pPr>
        <w:spacing w:after="120" w:line="300"/>
      </w:pPr>
      <w:r>
        <w:rPr>
          <w:color w:val="1E293B"/>
          <w:sz w:val="21"/>
          <w:szCs w:val="21"/>
        </w:rPr>
        <w:t xml:space="preserve">Generated from collected outpatient claims per period. Each observation carries a benchmark judgement (High side / Acceptable / Low side):</w:t>
      </w:r>
    </w:p>
    <w:p>
      <w:pPr>
        <w:pStyle w:val="ListParagraph"/>
        <w:numPr>
          <w:ilvl w:val="0"/>
          <w:numId w:val="2"/>
        </w:numPr>
        <w:spacing w:after="80" w:line="280"/>
      </w:pPr>
      <w:r>
        <w:rPr>
          <w:color w:val="1E293B"/>
          <w:sz w:val="21"/>
          <w:szCs w:val="21"/>
        </w:rPr>
        <w:t xml:space="preserve">Utilisation (incidence) rate versus workforce benchmarks.</w:t>
      </w:r>
    </w:p>
    <w:p>
      <w:pPr>
        <w:pStyle w:val="ListParagraph"/>
        <w:numPr>
          <w:ilvl w:val="0"/>
          <w:numId w:val="2"/>
        </w:numPr>
        <w:spacing w:after="80" w:line="280"/>
      </w:pPr>
      <w:r>
        <w:rPr>
          <w:color w:val="1E293B"/>
          <w:sz w:val="21"/>
          <w:szCs w:val="21"/>
        </w:rPr>
        <w:t xml:space="preserve">Average claim size per visit versus the acceptable range.</w:t>
      </w:r>
    </w:p>
    <w:p>
      <w:pPr>
        <w:pStyle w:val="ListParagraph"/>
        <w:numPr>
          <w:ilvl w:val="0"/>
          <w:numId w:val="2"/>
        </w:numPr>
        <w:spacing w:after="80" w:line="280"/>
      </w:pPr>
      <w:r>
        <w:rPr>
          <w:color w:val="1E293B"/>
          <w:sz w:val="21"/>
          <w:szCs w:val="21"/>
        </w:rPr>
        <w:t xml:space="preserve">Claim cost per covered headcount, with attribution (visit frequency vs cost per visit).</w:t>
      </w:r>
    </w:p>
    <w:p>
      <w:pPr>
        <w:pStyle w:val="ListParagraph"/>
        <w:numPr>
          <w:ilvl w:val="0"/>
          <w:numId w:val="2"/>
        </w:numPr>
        <w:spacing w:after="80" w:line="280"/>
      </w:pPr>
      <w:r>
        <w:rPr>
          <w:color w:val="1E293B"/>
          <w:sz w:val="21"/>
          <w:szCs w:val="21"/>
        </w:rPr>
        <w:t xml:space="preserve">Provider outliers — average cost per visit by clinic and share of total payout.</w:t>
      </w:r>
    </w:p>
    <w:p>
      <w:pPr>
        <w:pStyle w:val="ListParagraph"/>
        <w:numPr>
          <w:ilvl w:val="0"/>
          <w:numId w:val="2"/>
        </w:numPr>
        <w:spacing w:after="80" w:line="280"/>
      </w:pPr>
      <w:r>
        <w:rPr>
          <w:color w:val="1E293B"/>
          <w:sz w:val="21"/>
          <w:szCs w:val="21"/>
        </w:rPr>
        <w:t xml:space="preserve">Chronic vs non-chronic split, driven by captured ICD-10 codes.</w:t>
      </w:r>
    </w:p>
    <w:p>
      <w:pPr>
        <w:pStyle w:val="ListParagraph"/>
        <w:numPr>
          <w:ilvl w:val="0"/>
          <w:numId w:val="2"/>
        </w:numPr>
        <w:spacing w:after="80" w:line="280"/>
      </w:pPr>
      <w:r>
        <w:rPr>
          <w:color w:val="1E293B"/>
          <w:sz w:val="21"/>
          <w:szCs w:val="21"/>
        </w:rPr>
        <w:t xml:space="preserve">Employee vs dependent split.</w:t>
      </w:r>
    </w:p>
    <w:p>
      <w:pPr>
        <w:pStyle w:val="ListParagraph"/>
        <w:numPr>
          <w:ilvl w:val="0"/>
          <w:numId w:val="2"/>
        </w:numPr>
        <w:spacing w:after="80" w:line="280"/>
      </w:pPr>
      <w:r>
        <w:rPr>
          <w:color w:val="1E293B"/>
          <w:sz w:val="21"/>
          <w:szCs w:val="21"/>
        </w:rPr>
        <w:t xml:space="preserve">High utilizers — employees above visit-count thresholds, with average cost per visit and medical-leave correlation.</w:t>
      </w:r>
    </w:p>
    <w:p>
      <w:pPr>
        <w:spacing w:after="120" w:line="300"/>
      </w:pPr>
      <w:r>
        <w:rPr>
          <w:color w:val="1E293B"/>
          <w:sz w:val="21"/>
          <w:szCs w:val="21"/>
        </w:rPr>
        <w:t xml:space="preserve">Suggestions are actionable and each links to solution providers inside the Health Savvy ecosystem (smoking cessation, chronic disease management, nutrition coaching, health coaching). HR retains the decision to engage. A top-10 disease table (ICD-10) with chronic/acute classification and cost share completes the report.</w:t>
      </w:r>
    </w:p>
    <w:p>
      <w:pPr>
        <w:spacing w:after="120" w:line="300"/>
      </w:pPr>
      <w:r>
        <w:rPr>
          <w:b/>
          <w:bCs/>
          <w:color w:val="1E293B"/>
          <w:sz w:val="21"/>
          <w:szCs w:val="21"/>
        </w:rPr>
        <w:t xml:space="preserve">Minimum-data threshold: </w:t>
      </w:r>
      <w:r>
        <w:rPr>
          <w:color w:val="1E293B"/>
          <w:sz w:val="21"/>
          <w:szCs w:val="21"/>
        </w:rPr>
        <w:t xml:space="preserve">below 100 claims per period the report is suppressed with an explanatory notice, because small samples (typical of small SMEs) produce statistically insignificant and potentially misleading conclusions.</w:t>
      </w:r>
    </w:p>
    <w:p>
      <w:pPr>
        <w:pStyle w:val="Heading2"/>
        <w:spacing w:after="120" w:before="240"/>
      </w:pPr>
      <w:r>
        <w:t xml:space="preserve">5.3 Phase 2 AI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26"/>
      </w:tblGrid>
      <w:tr>
        <w:trPr>
          <w:tblHeader/>
        </w:trPr>
        <w:tc>
          <w:tcPr>
            <w:tcW w:type="dxa" w:w="21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Capability</w:t>
            </w:r>
          </w:p>
        </w:tc>
        <w:tc>
          <w:tcPr>
            <w:tcW w:type="dxa" w:w="36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Purpose</w:t>
            </w:r>
          </w:p>
        </w:tc>
        <w:tc>
          <w:tcPr>
            <w:tcW w:type="dxa" w:w="3326"/>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Expected Benefit</w:t>
            </w:r>
          </w:p>
        </w:tc>
      </w:tr>
      <w:tr>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Duplicate visit detection</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Flag repeat consultations for the same issue within a short window</w:t>
            </w:r>
          </w:p>
        </w:tc>
        <w:tc>
          <w:tcPr>
            <w:tcW w:type="dxa" w:w="33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Reduces abuse and unnecessary repeat visits</w:t>
            </w:r>
          </w:p>
        </w:tc>
      </w:tr>
      <w:tr>
        <w:tc>
          <w:tcPr>
            <w:tcW w:type="dxa" w:w="2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Chronic disease prediction</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Early identification for diabetes, hypertension, asthma</w:t>
            </w:r>
          </w:p>
        </w:tc>
        <w:tc>
          <w:tcPr>
            <w:tcW w:type="dxa" w:w="33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10–30% long-term claim savings via early intervention</w:t>
            </w:r>
          </w:p>
        </w:tc>
      </w:tr>
      <w:tr>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Mental health risk detection</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Early support before repeated stress-related consultations</w:t>
            </w:r>
          </w:p>
        </w:tc>
        <w:tc>
          <w:tcPr>
            <w:tcW w:type="dxa" w:w="33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Lower absenteeism and outpatient claims</w:t>
            </w:r>
          </w:p>
        </w:tc>
      </w:tr>
      <w:tr>
        <w:tc>
          <w:tcPr>
            <w:tcW w:type="dxa" w:w="2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Fraud / anomaly detection</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Surface unusual claiming patterns with clinical review</w:t>
            </w:r>
          </w:p>
        </w:tc>
        <w:tc>
          <w:tcPr>
            <w:tcW w:type="dxa" w:w="33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Reduces inappropriate claims</w:t>
            </w:r>
          </w:p>
        </w:tc>
      </w:tr>
      <w:tr>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Provider recommendation</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Steer employees to suitable clinics by symptoms, quality, wait time, cost</w:t>
            </w:r>
          </w:p>
        </w:tc>
        <w:tc>
          <w:tcPr>
            <w:tcW w:type="dxa" w:w="33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Better outcomes at lower cost</w:t>
            </w:r>
          </w:p>
        </w:tc>
      </w:tr>
      <w:tr>
        <w:tc>
          <w:tcPr>
            <w:tcW w:type="dxa" w:w="2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AI spending forecast</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Reliable cost prediction for HR budgeting</w:t>
            </w:r>
          </w:p>
        </w:tc>
        <w:tc>
          <w:tcPr>
            <w:tcW w:type="dxa" w:w="33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Enabled once sufficient claims history is collected</w:t>
            </w:r>
          </w:p>
        </w:tc>
      </w:tr>
      <w:tr>
        <w:tc>
          <w:tcPr>
            <w:tcW w:type="dxa" w:w="2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AI Health Manager</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Continuous analysis of lifetime health records: anonymised population insights for employers, personalised preventive guidance for employees</w:t>
            </w:r>
          </w:p>
        </w:tc>
        <w:tc>
          <w:tcPr>
            <w:tcW w:type="dxa" w:w="33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Strategic differentiator in the Malaysian market</w:t>
            </w:r>
          </w:p>
        </w:tc>
      </w:tr>
    </w:tbl>
    <w:p>
      <w:pPr>
        <w:pStyle w:val="Heading2"/>
        <w:spacing w:after="120" w:before="240"/>
      </w:pPr>
      <w:r>
        <w:t xml:space="preserve">5.4 Demo Assistant</w:t>
      </w:r>
    </w:p>
    <w:p>
      <w:pPr>
        <w:spacing w:after="120" w:line="300"/>
      </w:pPr>
      <w:r>
        <w:rPr>
          <w:color w:val="1E293B"/>
          <w:sz w:val="21"/>
          <w:szCs w:val="21"/>
        </w:rPr>
        <w:t xml:space="preserve">The in-app chat assistant runs entirely on locally simulated responses aligned to the current data model. No external AI service is called, no API key exists in the application, and the interface states this plainly ("AI Assistant (Demo)"). Production AI integration will be server-side behind a proxy.</w:t>
      </w:r>
    </w:p>
    <w:p>
      <w:r>
        <w:br w:type="page"/>
      </w:r>
    </w:p>
    <w:p>
      <w:pPr>
        <w:pStyle w:val="Heading1"/>
        <w:spacing w:after="160" w:before="360"/>
      </w:pPr>
      <w:r>
        <w:t xml:space="preserve">6. Requirements Register</w:t>
      </w:r>
    </w:p>
    <w:p>
      <w:pPr>
        <w:spacing w:after="120" w:line="300"/>
      </w:pPr>
      <w:r>
        <w:rPr>
          <w:color w:val="1E293B"/>
          <w:sz w:val="21"/>
          <w:szCs w:val="21"/>
        </w:rPr>
        <w:t xml:space="preserve">Requirements are derived from the client comment document (12 Jul 2026) and the AI solutions direction. Full traceability is maintained in REQUIREMENTS.md.</w:t>
      </w:r>
    </w:p>
    <w:p>
      <w:pPr>
        <w:pStyle w:val="Heading2"/>
        <w:spacing w:after="120" w:before="240"/>
      </w:pPr>
      <w:r>
        <w:t xml:space="preserve">6.1 Phase 1 — Dashboard Corrections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426"/>
      </w:tblGrid>
      <w:tr>
        <w:trPr>
          <w:tblHeader/>
        </w:trPr>
        <w:tc>
          <w:tcPr>
            <w:tcW w:type="dxa" w:w="7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ID</w:t>
            </w:r>
          </w:p>
        </w:tc>
        <w:tc>
          <w:tcPr>
            <w:tcW w:type="dxa" w:w="69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Requirement</w:t>
            </w:r>
          </w:p>
        </w:tc>
        <w:tc>
          <w:tcPr>
            <w:tcW w:type="dxa" w:w="1426"/>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Status</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R1</w:t>
            </w:r>
          </w:p>
        </w:tc>
        <w:tc>
          <w:tcPr>
            <w:tcW w:type="dxa" w:w="6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Claims restricted to Outpatient, split by payment type (Cashless / Self-payment / Reimbursement); all other categories removed</w:t>
            </w:r>
          </w:p>
        </w:tc>
        <w:tc>
          <w:tcPr>
            <w:tcW w:type="dxa" w:w="14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Implemented</w:t>
            </w:r>
          </w:p>
        </w:tc>
      </w:tr>
      <w:tr>
        <w:tc>
          <w:tcPr>
            <w:tcW w:type="dxa" w:w="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R2</w:t>
            </w:r>
          </w:p>
        </w:tc>
        <w:tc>
          <w:tcPr>
            <w:tcW w:type="dxa" w:w="6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"Submitted Twice+" filter and badges removed from the UI</w:t>
            </w:r>
          </w:p>
        </w:tc>
        <w:tc>
          <w:tcPr>
            <w:tcW w:type="dxa" w:w="14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Implemented</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R3</w:t>
            </w:r>
          </w:p>
        </w:tc>
        <w:tc>
          <w:tcPr>
            <w:tcW w:type="dxa" w:w="6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Department column, filter and department-driven charts removed</w:t>
            </w:r>
          </w:p>
        </w:tc>
        <w:tc>
          <w:tcPr>
            <w:tcW w:type="dxa" w:w="14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Implemented</w:t>
            </w:r>
          </w:p>
        </w:tc>
      </w:tr>
      <w:tr>
        <w:tc>
          <w:tcPr>
            <w:tcW w:type="dxa" w:w="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R4</w:t>
            </w:r>
          </w:p>
        </w:tc>
        <w:tc>
          <w:tcPr>
            <w:tcW w:type="dxa" w:w="6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Flat monthly limit replaced by per-employee benefit tiers (RM300 / RM500 / RM800)</w:t>
            </w:r>
          </w:p>
        </w:tc>
        <w:tc>
          <w:tcPr>
            <w:tcW w:type="dxa" w:w="14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Implemented</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R5</w:t>
            </w:r>
          </w:p>
        </w:tc>
        <w:tc>
          <w:tcPr>
            <w:tcW w:type="dxa" w:w="6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HR wellness score cards and trend charts removed (no supporting data; professional endorsement required)</w:t>
            </w:r>
          </w:p>
        </w:tc>
        <w:tc>
          <w:tcPr>
            <w:tcW w:type="dxa" w:w="14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Implemented</w:t>
            </w:r>
          </w:p>
        </w:tc>
      </w:tr>
      <w:tr>
        <w:tc>
          <w:tcPr>
            <w:tcW w:type="dxa" w:w="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R6</w:t>
            </w:r>
          </w:p>
        </w:tc>
        <w:tc>
          <w:tcPr>
            <w:tcW w:type="dxa" w:w="6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Wellness program statistics removed; replaced by referral-only ecosystem directory</w:t>
            </w:r>
          </w:p>
        </w:tc>
        <w:tc>
          <w:tcPr>
            <w:tcW w:type="dxa" w:w="14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Implemented</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R7</w:t>
            </w:r>
          </w:p>
        </w:tc>
        <w:tc>
          <w:tcPr>
            <w:tcW w:type="dxa" w:w="6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Health-risk indicators and wellness rewards removed (no tracking capability)</w:t>
            </w:r>
          </w:p>
        </w:tc>
        <w:tc>
          <w:tcPr>
            <w:tcW w:type="dxa" w:w="14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Implemented</w:t>
            </w:r>
          </w:p>
        </w:tc>
      </w:tr>
      <w:tr>
        <w:tc>
          <w:tcPr>
            <w:tcW w:type="dxa" w:w="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R8</w:t>
            </w:r>
          </w:p>
        </w:tc>
        <w:tc>
          <w:tcPr>
            <w:tcW w:type="dxa" w:w="6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Health campaigns removed (no HR data-entry capability)</w:t>
            </w:r>
          </w:p>
        </w:tc>
        <w:tc>
          <w:tcPr>
            <w:tcW w:type="dxa" w:w="14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Implemented</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R9</w:t>
            </w:r>
          </w:p>
        </w:tc>
        <w:tc>
          <w:tcPr>
            <w:tcW w:type="dxa" w:w="6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Intelligence panel honestly relabelled: rule-based vs AI-assisted vs AI-planned</w:t>
            </w:r>
          </w:p>
        </w:tc>
        <w:tc>
          <w:tcPr>
            <w:tcW w:type="dxa" w:w="14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Implemented</w:t>
            </w:r>
          </w:p>
        </w:tc>
      </w:tr>
      <w:tr>
        <w:tc>
          <w:tcPr>
            <w:tcW w:type="dxa" w:w="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R10</w:t>
            </w:r>
          </w:p>
        </w:tc>
        <w:tc>
          <w:tcPr>
            <w:tcW w:type="dxa" w:w="6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Currency displayed in RM across claims views and documents</w:t>
            </w:r>
          </w:p>
        </w:tc>
        <w:tc>
          <w:tcPr>
            <w:tcW w:type="dxa" w:w="14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Implemented</w:t>
            </w:r>
          </w:p>
        </w:tc>
      </w:tr>
    </w:tbl>
    <w:p>
      <w:pPr>
        <w:pStyle w:val="Heading2"/>
        <w:spacing w:after="120" w:before="240"/>
      </w:pPr>
      <w:r>
        <w:t xml:space="preserve">6.2 Phase 1.5 — Differentiator (Implemented in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426"/>
      </w:tblGrid>
      <w:tr>
        <w:trPr>
          <w:tblHeader/>
        </w:trPr>
        <w:tc>
          <w:tcPr>
            <w:tcW w:type="dxa" w:w="7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ID</w:t>
            </w:r>
          </w:p>
        </w:tc>
        <w:tc>
          <w:tcPr>
            <w:tcW w:type="dxa" w:w="69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Requirement</w:t>
            </w:r>
          </w:p>
        </w:tc>
        <w:tc>
          <w:tcPr>
            <w:tcW w:type="dxa" w:w="1426"/>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Status</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R11</w:t>
            </w:r>
          </w:p>
        </w:tc>
        <w:tc>
          <w:tcPr>
            <w:tcW w:type="dxa" w:w="6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Auto-generated Observations section with benchmark judgements per metric</w:t>
            </w:r>
          </w:p>
        </w:tc>
        <w:tc>
          <w:tcPr>
            <w:tcW w:type="dxa" w:w="14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Implemented (demo data)</w:t>
            </w:r>
          </w:p>
        </w:tc>
      </w:tr>
      <w:tr>
        <w:tc>
          <w:tcPr>
            <w:tcW w:type="dxa" w:w="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R12</w:t>
            </w:r>
          </w:p>
        </w:tc>
        <w:tc>
          <w:tcPr>
            <w:tcW w:type="dxa" w:w="6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Suggestions linked to Health Savvy ecosystem providers; HR decides engagement</w:t>
            </w:r>
          </w:p>
        </w:tc>
        <w:tc>
          <w:tcPr>
            <w:tcW w:type="dxa" w:w="14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Implemented (demo data)</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R13</w:t>
            </w:r>
          </w:p>
        </w:tc>
        <w:tc>
          <w:tcPr>
            <w:tcW w:type="dxa" w:w="6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Top-10 disease analysis using captured ICD-10 codes</w:t>
            </w:r>
          </w:p>
        </w:tc>
        <w:tc>
          <w:tcPr>
            <w:tcW w:type="dxa" w:w="14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Implemented (demo data)</w:t>
            </w:r>
          </w:p>
        </w:tc>
      </w:tr>
      <w:tr>
        <w:tc>
          <w:tcPr>
            <w:tcW w:type="dxa" w:w="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R14</w:t>
            </w:r>
          </w:p>
        </w:tc>
        <w:tc>
          <w:tcPr>
            <w:tcW w:type="dxa" w:w="6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Minimum-data threshold with suppression notice for statistically insignificant periods</w:t>
            </w:r>
          </w:p>
        </w:tc>
        <w:tc>
          <w:tcPr>
            <w:tcW w:type="dxa" w:w="14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Implemented</w:t>
            </w:r>
          </w:p>
        </w:tc>
      </w:tr>
    </w:tbl>
    <w:p>
      <w:pPr>
        <w:pStyle w:val="Heading2"/>
        <w:spacing w:after="120" w:before="240"/>
      </w:pPr>
      <w:r>
        <w:t xml:space="preserve">6.3 Phase 2 —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426"/>
      </w:tblGrid>
      <w:tr>
        <w:trPr>
          <w:tblHeader/>
        </w:trPr>
        <w:tc>
          <w:tcPr>
            <w:tcW w:type="dxa" w:w="7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ID</w:t>
            </w:r>
          </w:p>
        </w:tc>
        <w:tc>
          <w:tcPr>
            <w:tcW w:type="dxa" w:w="69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Requirement</w:t>
            </w:r>
          </w:p>
        </w:tc>
        <w:tc>
          <w:tcPr>
            <w:tcW w:type="dxa" w:w="1426"/>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Status</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R15</w:t>
            </w:r>
          </w:p>
        </w:tc>
        <w:tc>
          <w:tcPr>
            <w:tcW w:type="dxa" w:w="6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AI capability set per Section 5.3 (duplicate visits, chronic prediction, mental health risk, fraud, provider recommendation, forecasting, AI Health Manager)</w:t>
            </w:r>
          </w:p>
        </w:tc>
        <w:tc>
          <w:tcPr>
            <w:tcW w:type="dxa" w:w="14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Planned</w:t>
            </w:r>
          </w:p>
        </w:tc>
      </w:tr>
      <w:tr>
        <w:tc>
          <w:tcPr>
            <w:tcW w:type="dxa" w:w="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R16</w:t>
            </w:r>
          </w:p>
        </w:tc>
        <w:tc>
          <w:tcPr>
            <w:tcW w:type="dxa" w:w="6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Wellness scoring / programs / rewards / campaigns, contingent on data capture and health-professional endorsement</w:t>
            </w:r>
          </w:p>
        </w:tc>
        <w:tc>
          <w:tcPr>
            <w:tcW w:type="dxa" w:w="14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Planned</w:t>
            </w:r>
          </w:p>
        </w:tc>
      </w:tr>
      <w:tr>
        <w:tc>
          <w:tcPr>
            <w:tcW w:type="dxa" w:w="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R17</w:t>
            </w:r>
          </w:p>
        </w:tc>
        <w:tc>
          <w:tcPr>
            <w:tcW w:type="dxa" w:w="6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Production data integration with Health Savvy core system and mobile app</w:t>
            </w:r>
          </w:p>
        </w:tc>
        <w:tc>
          <w:tcPr>
            <w:tcW w:type="dxa" w:w="14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Planned</w:t>
            </w:r>
          </w:p>
        </w:tc>
      </w:tr>
      <w:tr>
        <w:tc>
          <w:tcPr>
            <w:tcW w:type="dxa" w:w="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R18</w:t>
            </w:r>
          </w:p>
        </w:tc>
        <w:tc>
          <w:tcPr>
            <w:tcW w:type="dxa" w:w="6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Governance controls per Section 9 enforced in production architecture</w:t>
            </w:r>
          </w:p>
        </w:tc>
        <w:tc>
          <w:tcPr>
            <w:tcW w:type="dxa" w:w="14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Planned</w:t>
            </w:r>
          </w:p>
        </w:tc>
      </w:tr>
    </w:tbl>
    <w:p>
      <w:r>
        <w:br w:type="page"/>
      </w:r>
    </w:p>
    <w:p>
      <w:pPr>
        <w:pStyle w:val="Heading1"/>
        <w:spacing w:after="160" w:before="360"/>
      </w:pPr>
      <w:r>
        <w:t xml:space="preserve">7. Technical Specification</w:t>
      </w:r>
    </w:p>
    <w:p>
      <w:pPr>
        <w:pStyle w:val="Heading2"/>
        <w:spacing w:after="120" w:before="240"/>
      </w:pPr>
      <w:r>
        <w:t xml:space="preserve">7.1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Layer</w:t>
            </w:r>
          </w:p>
        </w:tc>
        <w:tc>
          <w:tcPr>
            <w:tcW w:type="dxa" w:w="6626"/>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Technology</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Frontend framework</w:t>
            </w:r>
          </w:p>
        </w:tc>
        <w:tc>
          <w:tcPr>
            <w:tcW w:type="dxa" w:w="66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React 18 with TypeScript, built with Vite 5</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Styling</w:t>
            </w:r>
          </w:p>
        </w:tc>
        <w:tc>
          <w:tcPr>
            <w:tcW w:type="dxa" w:w="66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Tailwind CSS 3 with custom NTT DATA navy/brand palette; light and dark themes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Icons / charts</w:t>
            </w:r>
          </w:p>
        </w:tc>
        <w:tc>
          <w:tcPr>
            <w:tcW w:type="dxa" w:w="66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lucide-react icons; lightweight in-house SVG chart components (bar, line, multi-line, donut)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Internationalisation</w:t>
            </w:r>
          </w:p>
        </w:tc>
        <w:tc>
          <w:tcPr>
            <w:tcW w:type="dxa" w:w="66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In-house i18n provider — English, Chinese, Bahasa Melayu</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Documents</w:t>
            </w:r>
          </w:p>
        </w:tc>
        <w:tc>
          <w:tcPr>
            <w:tcW w:type="dxa" w:w="66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Claim documents generated client-side on canvas; downloadable and printable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Backend / APIs</w:t>
            </w:r>
          </w:p>
        </w:tc>
        <w:tc>
          <w:tcPr>
            <w:tcW w:type="dxa" w:w="66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None — the backend is completely mocked. No server, no database, no authentication service and no external API of any kind; all data is defined in typed in-browser datasets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AI assistant</w:t>
            </w:r>
          </w:p>
        </w:tc>
        <w:tc>
          <w:tcPr>
            <w:tcW w:type="dxa" w:w="66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Local mock response engine (no external calls, no API keys)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Hosting model</w:t>
            </w:r>
          </w:p>
        </w:tc>
        <w:tc>
          <w:tcPr>
            <w:tcW w:type="dxa" w:w="66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Static SPA build (dist/) deployed via GitHub Pages (GitHub Actions workflow); deployable to any static host</w:t>
            </w:r>
          </w:p>
        </w:tc>
      </w:tr>
    </w:tbl>
    <w:p>
      <w:pPr>
        <w:pStyle w:val="Heading2"/>
        <w:spacing w:after="120" w:before="240"/>
      </w:pPr>
      <w:r>
        <w:t xml:space="preserve">7.2 Data Model (Core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Entity</w:t>
            </w:r>
          </w:p>
        </w:tc>
        <w:tc>
          <w:tcPr>
            <w:tcW w:type="dxa" w:w="38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Key Fields</w:t>
            </w:r>
          </w:p>
        </w:tc>
        <w:tc>
          <w:tcPr>
            <w:tcW w:type="dxa" w:w="3326"/>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Notes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ClaimRecord</w:t>
            </w:r>
          </w:p>
        </w:tc>
        <w:tc>
          <w:tcPr>
            <w:tcW w:type="dxa" w:w="3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id, employeeId, employeeName, date, provider, paymentType, amount (RM), status, document link</w:t>
            </w:r>
          </w:p>
        </w:tc>
        <w:tc>
          <w:tcPr>
            <w:tcW w:type="dxa" w:w="33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paymentType ∈ {Cashless, Self-payment, Reimbursement}; category is always Outpatient</w:t>
            </w:r>
          </w:p>
        </w:tc>
      </w:tr>
      <w:tr>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Benefit tiers</w:t>
            </w:r>
          </w:p>
        </w:tc>
        <w:tc>
          <w:tcPr>
            <w:tcW w:type="dxa" w:w="3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Tier 1 RM300 · Tier 2 RM500 · Tier 3 RM800 per month</w:t>
            </w:r>
          </w:p>
        </w:tc>
        <w:tc>
          <w:tcPr>
            <w:tcW w:type="dxa" w:w="33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Assigned per employee; limits, remaining and exceeded status computed per tier</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ObservationsReport</w:t>
            </w:r>
          </w:p>
        </w:tc>
        <w:tc>
          <w:tcPr>
            <w:tcW w:type="dxa" w:w="3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period, claim count, headcount, observations[], suggestions[], topDiseases[]</w:t>
            </w:r>
          </w:p>
        </w:tc>
        <w:tc>
          <w:tcPr>
            <w:tcW w:type="dxa" w:w="33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Suppressed below 100 claims per period</w:t>
            </w:r>
          </w:p>
        </w:tc>
      </w:tr>
      <w:tr>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DiseaseStat</w:t>
            </w:r>
          </w:p>
        </w:tc>
        <w:tc>
          <w:tcPr>
            <w:tcW w:type="dxa" w:w="3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ICD-10 code, name, claims, cost, chronic flag</w:t>
            </w:r>
          </w:p>
        </w:tc>
        <w:tc>
          <w:tcPr>
            <w:tcW w:type="dxa" w:w="33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Codes captured by the Health Savvy system</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EcosystemService</w:t>
            </w:r>
          </w:p>
        </w:tc>
        <w:tc>
          <w:tcPr>
            <w:tcW w:type="dxa" w:w="3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name, description</w:t>
            </w:r>
          </w:p>
        </w:tc>
        <w:tc>
          <w:tcPr>
            <w:tcW w:type="dxa" w:w="33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Referral-only in current release</w:t>
            </w:r>
          </w:p>
        </w:tc>
      </w:tr>
    </w:tbl>
    <w:p>
      <w:pPr>
        <w:pStyle w:val="Heading2"/>
        <w:spacing w:after="120" w:before="240"/>
      </w:pPr>
      <w:r>
        <w:t xml:space="preserve">7.3 Demo Dataset (Mock Backend)</w:t>
      </w:r>
    </w:p>
    <w:p>
      <w:pPr>
        <w:spacing w:after="120" w:line="300"/>
      </w:pPr>
      <w:r>
        <w:rPr>
          <w:color w:val="1E293B"/>
          <w:sz w:val="21"/>
          <w:szCs w:val="21"/>
        </w:rPr>
        <w:t xml:space="preserve">Because the backend is completely mocked, the application ships with an illustrative in-browser dataset: 30 outpatient claims across 14 employees for the current month (RM3,320 total; 3 employees over tier limits), and report datasets for H1 2026 (1,250 claims), Q2 2026 (680 claims) and Q1 2026 (42 claims — demonstrating threshold suppression). All patients, doctors, providers, prescriptions and lab results are likewise synthetic. Figures are representative, not actuals, and reset on every page reload.</w:t>
      </w:r>
    </w:p>
    <w:p>
      <w:r>
        <w:br w:type="page"/>
      </w:r>
    </w:p>
    <w:p>
      <w:pPr>
        <w:pStyle w:val="Heading1"/>
        <w:spacing w:after="160" w:before="360"/>
      </w:pPr>
      <w:r>
        <w:t xml:space="preserve">8. Prerequisites</w:t>
      </w:r>
    </w:p>
    <w:p>
      <w:pPr>
        <w:pStyle w:val="Heading2"/>
        <w:spacing w:after="120" w:before="240"/>
      </w:pPr>
      <w:r>
        <w:t xml:space="preserve">8.1 Development / Demo Environment</w:t>
      </w:r>
    </w:p>
    <w:p>
      <w:pPr>
        <w:pStyle w:val="ListParagraph"/>
        <w:numPr>
          <w:ilvl w:val="0"/>
          <w:numId w:val="2"/>
        </w:numPr>
        <w:spacing w:after="80" w:line="280"/>
      </w:pPr>
      <w:r>
        <w:rPr>
          <w:color w:val="1E293B"/>
          <w:sz w:val="21"/>
          <w:szCs w:val="21"/>
        </w:rPr>
        <w:t xml:space="preserve">Node.js 18 or later with npm.</w:t>
      </w:r>
    </w:p>
    <w:p>
      <w:pPr>
        <w:pStyle w:val="ListParagraph"/>
        <w:numPr>
          <w:ilvl w:val="0"/>
          <w:numId w:val="2"/>
        </w:numPr>
        <w:spacing w:after="80" w:line="280"/>
      </w:pPr>
      <w:r>
        <w:rPr>
          <w:color w:val="1E293B"/>
          <w:sz w:val="21"/>
          <w:szCs w:val="21"/>
        </w:rPr>
        <w:t xml:space="preserve">A modern evergreen browser (Chrome, Edge, Firefox, Safari).</w:t>
      </w:r>
    </w:p>
    <w:p>
      <w:pPr>
        <w:pStyle w:val="ListParagraph"/>
        <w:numPr>
          <w:ilvl w:val="0"/>
          <w:numId w:val="2"/>
        </w:numPr>
        <w:spacing w:after="80" w:line="280"/>
      </w:pPr>
      <w:r>
        <w:rPr>
          <w:color w:val="1E293B"/>
          <w:sz w:val="21"/>
          <w:szCs w:val="21"/>
        </w:rPr>
        <w:t xml:space="preserve">Commands: npm install → npm run dev (local demo at port 5173) or npm run build (static production bundle in dist/).</w:t>
      </w:r>
    </w:p>
    <w:p>
      <w:pPr>
        <w:pStyle w:val="ListParagraph"/>
        <w:numPr>
          <w:ilvl w:val="0"/>
          <w:numId w:val="2"/>
        </w:numPr>
        <w:spacing w:after="80" w:line="280"/>
      </w:pPr>
      <w:r>
        <w:rPr>
          <w:color w:val="1E293B"/>
          <w:sz w:val="21"/>
          <w:szCs w:val="21"/>
        </w:rPr>
        <w:t xml:space="preserve">No API keys, accounts or external services are required — the AI assistant is fully mocked.</w:t>
      </w:r>
    </w:p>
    <w:p>
      <w:pPr>
        <w:pStyle w:val="Heading2"/>
        <w:spacing w:after="120" w:before="240"/>
      </w:pPr>
      <w:r>
        <w:t xml:space="preserve">8.2 Production Readiness Prerequisites (Phase 2)</w:t>
      </w:r>
    </w:p>
    <w:p>
      <w:pPr>
        <w:pStyle w:val="ListParagraph"/>
        <w:numPr>
          <w:ilvl w:val="0"/>
          <w:numId w:val="2"/>
        </w:numPr>
        <w:spacing w:after="80" w:line="280"/>
      </w:pPr>
      <w:r>
        <w:rPr>
          <w:color w:val="1E293B"/>
          <w:sz w:val="21"/>
          <w:szCs w:val="21"/>
        </w:rPr>
        <w:t xml:space="preserve">Integration with the Health Savvy core system for live outpatient claims and ICD-10 data.</w:t>
      </w:r>
    </w:p>
    <w:p>
      <w:pPr>
        <w:pStyle w:val="ListParagraph"/>
        <w:numPr>
          <w:ilvl w:val="0"/>
          <w:numId w:val="2"/>
        </w:numPr>
        <w:spacing w:after="80" w:line="280"/>
      </w:pPr>
      <w:r>
        <w:rPr>
          <w:color w:val="1E293B"/>
          <w:sz w:val="21"/>
          <w:szCs w:val="21"/>
        </w:rPr>
        <w:t xml:space="preserve">Sufficient claims history per customer before AI forecasting and prediction features are enabled.</w:t>
      </w:r>
    </w:p>
    <w:p>
      <w:pPr>
        <w:pStyle w:val="ListParagraph"/>
        <w:numPr>
          <w:ilvl w:val="0"/>
          <w:numId w:val="2"/>
        </w:numPr>
        <w:spacing w:after="80" w:line="280"/>
      </w:pPr>
      <w:r>
        <w:rPr>
          <w:color w:val="1E293B"/>
          <w:sz w:val="21"/>
          <w:szCs w:val="21"/>
        </w:rPr>
        <w:t xml:space="preserve">Endorsement by qualified health professionals for any published health score or risk indicator.</w:t>
      </w:r>
    </w:p>
    <w:p>
      <w:pPr>
        <w:pStyle w:val="ListParagraph"/>
        <w:numPr>
          <w:ilvl w:val="0"/>
          <w:numId w:val="2"/>
        </w:numPr>
        <w:spacing w:after="80" w:line="280"/>
      </w:pPr>
      <w:r>
        <w:rPr>
          <w:color w:val="1E293B"/>
          <w:sz w:val="21"/>
          <w:szCs w:val="21"/>
        </w:rPr>
        <w:t xml:space="preserve">Server-side AI gateway (proxy) so that no model credentials ever reach the client.</w:t>
      </w:r>
    </w:p>
    <w:p>
      <w:pPr>
        <w:pStyle w:val="ListParagraph"/>
        <w:numPr>
          <w:ilvl w:val="0"/>
          <w:numId w:val="2"/>
        </w:numPr>
        <w:spacing w:after="80" w:line="280"/>
      </w:pPr>
      <w:r>
        <w:rPr>
          <w:color w:val="1E293B"/>
          <w:sz w:val="21"/>
          <w:szCs w:val="21"/>
        </w:rPr>
        <w:t xml:space="preserve">Authentication, authorisation and audit logging appropriate to PHI-adjacent data.</w:t>
      </w:r>
    </w:p>
    <w:p>
      <w:r>
        <w:br w:type="page"/>
      </w:r>
    </w:p>
    <w:p>
      <w:pPr>
        <w:pStyle w:val="Heading1"/>
        <w:spacing w:after="160" w:before="360"/>
      </w:pPr>
      <w:r>
        <w:t xml:space="preserve">9. Security &amp; Data Governance</w:t>
      </w:r>
    </w:p>
    <w:p>
      <w:pPr>
        <w:pStyle w:val="Heading2"/>
        <w:spacing w:after="120" w:before="240"/>
      </w:pPr>
      <w:r>
        <w:t xml:space="preserve">9.1 Current Release</w:t>
      </w:r>
    </w:p>
    <w:p>
      <w:pPr>
        <w:pStyle w:val="ListParagraph"/>
        <w:numPr>
          <w:ilvl w:val="0"/>
          <w:numId w:val="2"/>
        </w:numPr>
        <w:spacing w:after="80" w:line="280"/>
      </w:pPr>
      <w:r>
        <w:rPr>
          <w:color w:val="1E293B"/>
          <w:sz w:val="21"/>
          <w:szCs w:val="21"/>
        </w:rPr>
        <w:t xml:space="preserve">No secrets in the client: the previously embedded AI API key has been removed from the codebase, environment files and build output; the assistant makes no external network calls.</w:t>
      </w:r>
    </w:p>
    <w:p>
      <w:pPr>
        <w:pStyle w:val="ListParagraph"/>
        <w:numPr>
          <w:ilvl w:val="0"/>
          <w:numId w:val="2"/>
        </w:numPr>
        <w:spacing w:after="80" w:line="280"/>
      </w:pPr>
      <w:r>
        <w:rPr>
          <w:color w:val="1E293B"/>
          <w:sz w:val="21"/>
          <w:szCs w:val="21"/>
        </w:rPr>
        <w:t xml:space="preserve">No real personal data: all employees, claims and clinical records are synthetic demonstration data.</w:t>
      </w:r>
    </w:p>
    <w:p>
      <w:pPr>
        <w:pStyle w:val="ListParagraph"/>
        <w:numPr>
          <w:ilvl w:val="0"/>
          <w:numId w:val="2"/>
        </w:numPr>
        <w:spacing w:after="80" w:line="280"/>
      </w:pPr>
      <w:r>
        <w:rPr>
          <w:color w:val="1E293B"/>
          <w:sz w:val="21"/>
          <w:szCs w:val="21"/>
        </w:rPr>
        <w:t xml:space="preserve">Honest AI labelling: simulated output is marked "Demo"; rule-based analytics are not presented as AI.</w:t>
      </w:r>
    </w:p>
    <w:p>
      <w:pPr>
        <w:pStyle w:val="Heading2"/>
        <w:spacing w:after="120" w:before="240"/>
      </w:pPr>
      <w:r>
        <w:t xml:space="preserve">9.2 Production Governance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Control</w:t>
            </w:r>
          </w:p>
        </w:tc>
        <w:tc>
          <w:tcPr>
            <w:tcW w:type="dxa" w:w="6726"/>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Requirement</w:t>
            </w:r>
          </w:p>
        </w:tc>
      </w:tr>
      <w:t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Blind-trust separation</w:t>
            </w:r>
          </w:p>
        </w:tc>
        <w:tc>
          <w:tcPr>
            <w:tcW w:type="dxa" w:w="67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Individual biometric / clinical data strictly separated from the employer-facing dashboard; employers see aggregates only</w:t>
            </w:r>
          </w:p>
        </w:tc>
      </w:tr>
      <w:tr>
        <w:tc>
          <w:tcPr>
            <w:tcW w:type="dxa" w:w="2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Minimum aggregation</w:t>
            </w:r>
          </w:p>
        </w:tc>
        <w:tc>
          <w:tcPr>
            <w:tcW w:type="dxa" w:w="67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Population insights displayed only above a minimum group size to prevent re-identification</w:t>
            </w:r>
          </w:p>
        </w:tc>
      </w:tr>
      <w:t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Clinician-in-the-loop</w:t>
            </w:r>
          </w:p>
        </w:tc>
        <w:tc>
          <w:tcPr>
            <w:tcW w:type="dxa" w:w="67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No autonomous clinical conclusions; health-professional sign-off for any published score, and warm hand-off protocols for critical flags</w:t>
            </w:r>
          </w:p>
        </w:tc>
      </w:tr>
      <w:tr>
        <w:tc>
          <w:tcPr>
            <w:tcW w:type="dxa" w:w="2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Explainable AI</w:t>
            </w:r>
          </w:p>
        </w:tc>
        <w:tc>
          <w:tcPr>
            <w:tcW w:type="dxa" w:w="67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Any risk classification must expose an auditable trail of contributing data points; monitored for drift and bias</w:t>
            </w:r>
          </w:p>
        </w:tc>
      </w:tr>
      <w:t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No external model training</w:t>
            </w:r>
          </w:p>
        </w:tc>
        <w:tc>
          <w:tcPr>
            <w:tcW w:type="dxa" w:w="67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Employee health data must never be used to train public or third-party AI models</w:t>
            </w:r>
          </w:p>
        </w:tc>
      </w:tr>
      <w:tr>
        <w:tc>
          <w:tcPr>
            <w:tcW w:type="dxa" w:w="23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Data protection</w:t>
            </w:r>
          </w:p>
        </w:tc>
        <w:tc>
          <w:tcPr>
            <w:tcW w:type="dxa" w:w="67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Compliance with Malaysia PDPA; encryption in transit (TLS 1.3) and at rest (AES-256); tokenisation / pseudonymisation before analytics processing</w:t>
            </w:r>
          </w:p>
        </w:tc>
      </w:tr>
      <w:t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Data lifecycle</w:t>
            </w:r>
          </w:p>
        </w:tc>
        <w:tc>
          <w:tcPr>
            <w:tcW w:type="dxa" w:w="67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Contractual data portability and destruction obligations on termination (purge within an agreed window, including derived artefacts)</w:t>
            </w:r>
          </w:p>
        </w:tc>
      </w:tr>
    </w:tbl>
    <w:p>
      <w:r>
        <w:br w:type="page"/>
      </w:r>
    </w:p>
    <w:p>
      <w:pPr>
        <w:pStyle w:val="Heading1"/>
        <w:spacing w:after="160" w:before="360"/>
      </w:pPr>
      <w:r>
        <w:t xml:space="preserve">10. Limitations</w:t>
      </w:r>
    </w:p>
    <w:p>
      <w:pPr>
        <w:pStyle w:val="ListParagraph"/>
        <w:numPr>
          <w:ilvl w:val="0"/>
          <w:numId w:val="2"/>
        </w:numPr>
        <w:spacing w:after="80" w:line="280"/>
      </w:pPr>
      <w:r>
        <w:rPr>
          <w:b/>
          <w:bCs/>
          <w:color w:val="1E293B"/>
          <w:sz w:val="21"/>
          <w:szCs w:val="21"/>
        </w:rPr>
        <w:t xml:space="preserve">The backend is completely mocked: no server, no database, no integrations — all data is synthetic, lives in the browser, and volumes are illustrative (the monthly view and the report periods are intentionally different datasets).</w:t>
      </w:r>
    </w:p>
    <w:p>
      <w:pPr>
        <w:pStyle w:val="ListParagraph"/>
        <w:numPr>
          <w:ilvl w:val="0"/>
          <w:numId w:val="2"/>
        </w:numPr>
        <w:spacing w:after="80" w:line="280"/>
      </w:pPr>
      <w:r>
        <w:rPr>
          <w:color w:val="1E293B"/>
          <w:sz w:val="21"/>
          <w:szCs w:val="21"/>
        </w:rPr>
        <w:t xml:space="preserve">Outpatient only: the Health Savvy source system does not capture pharmacy, specialist, imaging, mental health, inpatient or emergency data; the dashboard cannot report on them.</w:t>
      </w:r>
    </w:p>
    <w:p>
      <w:pPr>
        <w:pStyle w:val="ListParagraph"/>
        <w:numPr>
          <w:ilvl w:val="0"/>
          <w:numId w:val="2"/>
        </w:numPr>
        <w:spacing w:after="80" w:line="280"/>
      </w:pPr>
      <w:r>
        <w:rPr>
          <w:color w:val="1E293B"/>
          <w:sz w:val="21"/>
          <w:szCs w:val="21"/>
        </w:rPr>
        <w:t xml:space="preserve">No department dimension: workforce analytics by department are not possible with current source data.</w:t>
      </w:r>
    </w:p>
    <w:p>
      <w:pPr>
        <w:pStyle w:val="ListParagraph"/>
        <w:numPr>
          <w:ilvl w:val="0"/>
          <w:numId w:val="2"/>
        </w:numPr>
        <w:spacing w:after="80" w:line="280"/>
      </w:pPr>
      <w:r>
        <w:rPr>
          <w:color w:val="1E293B"/>
          <w:sz w:val="21"/>
          <w:szCs w:val="21"/>
        </w:rPr>
        <w:t xml:space="preserve">Statistical threshold: analysis is intentionally withheld for small claim volumes; small SMEs will see the suppression notice rather than commentary.</w:t>
      </w:r>
    </w:p>
    <w:p>
      <w:pPr>
        <w:pStyle w:val="ListParagraph"/>
        <w:numPr>
          <w:ilvl w:val="0"/>
          <w:numId w:val="2"/>
        </w:numPr>
        <w:spacing w:after="80" w:line="280"/>
      </w:pPr>
      <w:r>
        <w:rPr>
          <w:color w:val="1E293B"/>
          <w:sz w:val="21"/>
          <w:szCs w:val="21"/>
        </w:rPr>
        <w:t xml:space="preserve">AI features are simulated in this release; genuine prediction and detection require Phase 2 data integration and governance.</w:t>
      </w:r>
    </w:p>
    <w:p>
      <w:pPr>
        <w:pStyle w:val="ListParagraph"/>
        <w:numPr>
          <w:ilvl w:val="0"/>
          <w:numId w:val="2"/>
        </w:numPr>
        <w:spacing w:after="80" w:line="280"/>
      </w:pPr>
      <w:r>
        <w:rPr>
          <w:color w:val="1E293B"/>
          <w:sz w:val="21"/>
          <w:szCs w:val="21"/>
        </w:rPr>
        <w:t xml:space="preserve">No backend, authentication or persistence: state resets on reload; role switching is a demo affordance, not access control.</w:t>
      </w:r>
    </w:p>
    <w:p>
      <w:pPr>
        <w:pStyle w:val="ListParagraph"/>
        <w:numPr>
          <w:ilvl w:val="0"/>
          <w:numId w:val="2"/>
        </w:numPr>
        <w:spacing w:after="80" w:line="280"/>
      </w:pPr>
      <w:r>
        <w:rPr>
          <w:color w:val="1E293B"/>
          <w:sz w:val="21"/>
          <w:szCs w:val="21"/>
        </w:rPr>
        <w:t xml:space="preserve">Wellness scoring and program tracking await data capture capability and professional endorsement (Phase 2).</w:t>
      </w:r>
    </w:p>
    <w:p>
      <w:r>
        <w:br w:type="page"/>
      </w:r>
    </w:p>
    <w:p>
      <w:pPr>
        <w:pStyle w:val="Heading1"/>
        <w:spacing w:after="160" w:before="360"/>
      </w:pPr>
      <w:r>
        <w:t xml:space="preserve">11. Outcomes</w:t>
      </w:r>
    </w:p>
    <w:p>
      <w:pPr>
        <w:pStyle w:val="Heading2"/>
        <w:spacing w:after="120" w:before="240"/>
      </w:pPr>
      <w:r>
        <w:t xml:space="preserve">11.1 Delivered Outcomes (This Release)</w:t>
      </w:r>
    </w:p>
    <w:p>
      <w:pPr>
        <w:pStyle w:val="ListParagraph"/>
        <w:numPr>
          <w:ilvl w:val="0"/>
          <w:numId w:val="2"/>
        </w:numPr>
        <w:spacing w:after="80" w:line="280"/>
      </w:pPr>
      <w:r>
        <w:rPr>
          <w:color w:val="1E293B"/>
          <w:sz w:val="21"/>
          <w:szCs w:val="21"/>
        </w:rPr>
        <w:t xml:space="preserve">Dashboard fully aligned with the Health Savvy system's real data capture — every widget shown is producible from actual source data.</w:t>
      </w:r>
    </w:p>
    <w:p>
      <w:pPr>
        <w:pStyle w:val="ListParagraph"/>
        <w:numPr>
          <w:ilvl w:val="0"/>
          <w:numId w:val="2"/>
        </w:numPr>
        <w:spacing w:after="80" w:line="280"/>
      </w:pPr>
      <w:r>
        <w:rPr>
          <w:color w:val="1E293B"/>
          <w:sz w:val="21"/>
          <w:szCs w:val="21"/>
        </w:rPr>
        <w:t xml:space="preserve">TPA-differentiating Observations &amp; Suggestions report demonstrated end-to-end, including ecosystem-linked suggestions and ICD-10 top-10 analysis.</w:t>
      </w:r>
    </w:p>
    <w:p>
      <w:pPr>
        <w:pStyle w:val="ListParagraph"/>
        <w:numPr>
          <w:ilvl w:val="0"/>
          <w:numId w:val="2"/>
        </w:numPr>
        <w:spacing w:after="80" w:line="280"/>
      </w:pPr>
      <w:r>
        <w:rPr>
          <w:color w:val="1E293B"/>
          <w:sz w:val="21"/>
          <w:szCs w:val="21"/>
        </w:rPr>
        <w:t xml:space="preserve">Truthful AI labelling throughout, protecting credibility with clients and health professionals.</w:t>
      </w:r>
    </w:p>
    <w:p>
      <w:pPr>
        <w:pStyle w:val="ListParagraph"/>
        <w:numPr>
          <w:ilvl w:val="0"/>
          <w:numId w:val="2"/>
        </w:numPr>
        <w:spacing w:after="80" w:line="280"/>
      </w:pPr>
      <w:r>
        <w:rPr>
          <w:color w:val="1E293B"/>
          <w:sz w:val="21"/>
          <w:szCs w:val="21"/>
        </w:rPr>
        <w:t xml:space="preserve">Security posture corrected: no credentials in the client, no external AI calls, clean build output.</w:t>
      </w:r>
    </w:p>
    <w:p>
      <w:pPr>
        <w:pStyle w:val="Heading2"/>
        <w:spacing w:after="120" w:before="240"/>
      </w:pPr>
      <w:r>
        <w:t xml:space="preserve">11.2 Expected Business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Outcome</w:t>
            </w:r>
          </w:p>
        </w:tc>
        <w:tc>
          <w:tcPr>
            <w:tcW w:type="dxa" w:w="6126"/>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line="260"/>
            </w:pPr>
            <w:r>
              <w:rPr>
                <w:b/>
                <w:bCs/>
                <w:color w:val="FFFFFF"/>
                <w:sz w:val="19"/>
                <w:szCs w:val="19"/>
              </w:rPr>
              <w:t xml:space="preserve">Mechanism</w:t>
            </w:r>
          </w:p>
        </w:tc>
      </w:tr>
      <w:tr>
        <w:tc>
          <w:tcPr>
            <w:tcW w:type="dxa" w:w="2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TPA-grade insight for every customer</w:t>
            </w:r>
          </w:p>
        </w:tc>
        <w:tc>
          <w:tcPr>
            <w:tcW w:type="dxa" w:w="61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Automated commentary removes the RM1M premium threshold that limits TPA reporting</w:t>
            </w:r>
          </w:p>
        </w:tc>
      </w:tr>
      <w:tr>
        <w:tc>
          <w:tcPr>
            <w:tcW w:type="dxa" w:w="2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Healthcare cost containment</w:t>
            </w:r>
          </w:p>
        </w:tc>
        <w:tc>
          <w:tcPr>
            <w:tcW w:type="dxa" w:w="61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Early identification of high utilizers, provider outliers and chronic-risk claimants; ecosystem referrals (10–30% long-term savings potential on chronic conditions)</w:t>
            </w:r>
          </w:p>
        </w:tc>
      </w:tr>
      <w:tr>
        <w:tc>
          <w:tcPr>
            <w:tcW w:type="dxa" w:w="2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Better HR budgeting</w:t>
            </w:r>
          </w:p>
        </w:tc>
        <w:tc>
          <w:tcPr>
            <w:tcW w:type="dxa" w:w="61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Spending visibility now; reliable AI forecasting when data volume permits</w:t>
            </w:r>
          </w:p>
        </w:tc>
      </w:tr>
      <w:tr>
        <w:tc>
          <w:tcPr>
            <w:tcW w:type="dxa" w:w="2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Ecosystem revenue channel</w:t>
            </w:r>
          </w:p>
        </w:tc>
        <w:tc>
          <w:tcPr>
            <w:tcW w:type="dxa" w:w="61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line="260"/>
            </w:pPr>
            <w:r>
              <w:rPr>
                <w:color w:val="1E293B"/>
                <w:sz w:val="19"/>
                <w:szCs w:val="19"/>
              </w:rPr>
              <w:t xml:space="preserve">Suggestions route demand to Health Savvy ecosystem providers, with HR in control</w:t>
            </w:r>
          </w:p>
        </w:tc>
      </w:tr>
      <w:tr>
        <w:tc>
          <w:tcPr>
            <w:tcW w:type="dxa" w:w="2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Trust and adoption</w:t>
            </w:r>
          </w:p>
        </w:tc>
        <w:tc>
          <w:tcPr>
            <w:tcW w:type="dxa" w:w="6126"/>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line="260"/>
            </w:pPr>
            <w:r>
              <w:rPr>
                <w:color w:val="1E293B"/>
                <w:sz w:val="19"/>
                <w:szCs w:val="19"/>
              </w:rPr>
              <w:t xml:space="preserve">Privacy-first architecture and clinician endorsement build employee and employer confidence</w:t>
            </w:r>
          </w:p>
        </w:tc>
      </w:tr>
    </w:tbl>
    <w:p>
      <w:r>
        <w:br w:type="page"/>
      </w:r>
    </w:p>
    <w:p>
      <w:pPr>
        <w:pStyle w:val="Heading1"/>
        <w:spacing w:after="160" w:before="360"/>
      </w:pPr>
      <w:r>
        <w:t xml:space="preserve">12. Appendix A — Feature Walkthrough (Screenshots)</w:t>
      </w:r>
    </w:p>
    <w:p>
      <w:pPr>
        <w:spacing w:after="120" w:line="300"/>
      </w:pPr>
      <w:r>
        <w:rPr>
          <w:color w:val="1E293B"/>
          <w:sz w:val="21"/>
          <w:szCs w:val="21"/>
        </w:rPr>
        <w:t xml:space="preserve">Screenshots captured from the running application (v1.1, 16 Jul 2026). All figures show mock demonstration data rendered by the fully mocked in-browser backend.</w:t>
      </w:r>
    </w:p>
    <w:p>
      <w:pPr>
        <w:spacing w:after="60" w:before="120"/>
        <w:jc w:val="center"/>
      </w:pPr>
      <w:r>
        <w:drawing>
          <wp:inline distT="0" distB="0" distL="0" distR="0">
            <wp:extent cx="5715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475569"/>
          <w:sz w:val="18"/>
          <w:szCs w:val="18"/>
        </w:rPr>
        <w:t xml:space="preserve">Figure 1: HR Dashboard — outpatient claim KPIs, claims by payment type, claim status, and the per-employee claims table with benefit-tier limits (RM).</w:t>
      </w:r>
    </w:p>
    <w:p>
      <w:r>
        <w:br w:type="page"/>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475569"/>
          <w:sz w:val="18"/>
          <w:szCs w:val="18"/>
        </w:rPr>
        <w:t xml:space="preserve">Figure 2: AI Observations &amp; Suggestions Report — period selector and benchmark-judged observations (High side / Acceptable).</w:t>
      </w:r>
    </w:p>
    <w:p>
      <w:pPr>
        <w:spacing w:after="60" w:before="12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09975"/>
                    </a:xfrm>
                    <a:prstGeom prst="rect">
                      <a:avLst/>
                    </a:prstGeom>
                  </pic:spPr>
                </pic:pic>
              </a:graphicData>
            </a:graphic>
          </wp:inline>
        </w:drawing>
      </w:r>
    </w:p>
    <w:p>
      <w:pPr>
        <w:spacing w:after="200"/>
        <w:jc w:val="center"/>
      </w:pPr>
      <w:r>
        <w:rPr>
          <w:i/>
          <w:iCs/>
          <w:color w:val="475569"/>
          <w:sz w:val="18"/>
          <w:szCs w:val="18"/>
        </w:rPr>
        <w:t xml:space="preserve">Figure 3: Report suggestions linked to Health Savvy ecosystem providers, and the top-10 disease table from captured ICD-10 codes.</w:t>
      </w:r>
    </w:p>
    <w:p>
      <w:r>
        <w:br w:type="page"/>
      </w:r>
    </w:p>
    <w:p>
      <w:pPr>
        <w:spacing w:after="60" w:before="12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i/>
          <w:iCs/>
          <w:color w:val="475569"/>
          <w:sz w:val="18"/>
          <w:szCs w:val="18"/>
        </w:rPr>
        <w:t xml:space="preserve">Figure 4: Ecosystem wellness services (referral-only) and the honestly-labelled HR Intelligence Reports panel (Rule-based vs AI-planned).</w:t>
      </w:r>
    </w:p>
    <w:p>
      <w:pPr>
        <w:spacing w:after="60" w:before="120"/>
        <w:jc w:val="center"/>
      </w:pPr>
      <w:r>
        <w:drawing>
          <wp:inline distT="0" distB="0" distL="0" distR="0">
            <wp:extent cx="5715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10025"/>
                    </a:xfrm>
                    <a:prstGeom prst="rect">
                      <a:avLst/>
                    </a:prstGeom>
                  </pic:spPr>
                </pic:pic>
              </a:graphicData>
            </a:graphic>
          </wp:inline>
        </w:drawing>
      </w:r>
    </w:p>
    <w:p>
      <w:pPr>
        <w:spacing w:after="200"/>
        <w:jc w:val="center"/>
      </w:pPr>
      <w:r>
        <w:rPr>
          <w:i/>
          <w:iCs/>
          <w:color w:val="475569"/>
          <w:sz w:val="18"/>
          <w:szCs w:val="18"/>
        </w:rPr>
        <w:t xml:space="preserve">Figure 5: Doctor Workspace — patient list with conditions, vitals with range flags, timeline, prescriptions, labs, and the AI Copilot (demo). No risk scores or departments shown.</w:t>
      </w:r>
    </w:p>
    <w:p>
      <w:r>
        <w:br w:type="page"/>
      </w:r>
    </w:p>
    <w:p>
      <w:pPr>
        <w:spacing w:after="60" w:before="120"/>
        <w:jc w:val="center"/>
      </w:pPr>
      <w:r>
        <w:drawing>
          <wp:inline distT="0" distB="0" distL="0" distR="0">
            <wp:extent cx="57150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200650"/>
                    </a:xfrm>
                    <a:prstGeom prst="rect">
                      <a:avLst/>
                    </a:prstGeom>
                  </pic:spPr>
                </pic:pic>
              </a:graphicData>
            </a:graphic>
          </wp:inline>
        </w:drawing>
      </w:r>
    </w:p>
    <w:p>
      <w:pPr>
        <w:spacing w:after="200"/>
        <w:jc w:val="center"/>
      </w:pPr>
      <w:r>
        <w:rPr>
          <w:i/>
          <w:iCs/>
          <w:color w:val="475569"/>
          <w:sz w:val="18"/>
          <w:szCs w:val="18"/>
        </w:rPr>
        <w:t xml:space="preserve">Figure 6: Patient Portal — appointments, prescriptions, reminders, outpatient claims in RM, and medical history. No personal health or wellness scores shown.</w:t>
      </w:r>
    </w:p>
    <w:p>
      <w:pPr>
        <w:spacing w:after="120" w:line="300"/>
      </w:pPr>
      <w:r>
        <w:rPr>
          <w:color w:val="1E293B"/>
          <w:sz w:val="21"/>
          <w:szCs w:val="21"/>
        </w:rPr>
        <w:t xml:space="preserve"/>
      </w:r>
    </w:p>
    <w:p>
      <w:pPr>
        <w:spacing w:after="120" w:line="300"/>
      </w:pPr>
      <w:r>
        <w:rPr>
          <w:i/>
          <w:iCs/>
          <w:color w:val="475569"/>
          <w:sz w:val="21"/>
          <w:szCs w:val="21"/>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4"/>
      </w:pBdr>
      <w:tabs>
        <w:tab w:val="right" w:pos="9026"/>
      </w:tabs>
    </w:pPr>
    <w:r>
      <w:rPr>
        <w:color w:val="475569"/>
        <w:sz w:val="16"/>
        <w:szCs w:val="16"/>
      </w:rPr>
      <w:t xml:space="preserve">NTT DATA — Internal / Client Confidential</w:t>
    </w:r>
    <w:r>
      <w:rPr>
        <w:color w:val="475569"/>
        <w:sz w:val="16"/>
        <w:szCs w:val="16"/>
      </w:rPr>
      <w:t xml:space="preserve">	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tabs>
        <w:tab w:val="right" w:pos="9026"/>
      </w:tabs>
    </w:pPr>
    <w:r>
      <w:rPr>
        <w:b/>
        <w:bCs/>
        <w:color w:val="1E3A5F"/>
        <w:sz w:val="18"/>
        <w:szCs w:val="18"/>
      </w:rPr>
      <w:t xml:space="preserve">NTT DATA</w:t>
    </w:r>
    <w:r>
      <w:rPr>
        <w:color w:val="475569"/>
        <w:sz w:val="16"/>
        <w:szCs w:val="16"/>
      </w:rPr>
      <w:t xml:space="preserve">	Health Savvy — Scope, Features &amp;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E3A5F"/>
      <w:sz w:val="30"/>
      <w:szCs w:val="30"/>
    </w:rPr>
  </w:style>
  <w:style w:type="paragraph" w:styleId="Heading2">
    <w:name w:val="Heading 2"/>
    <w:basedOn w:val="Normal"/>
    <w:next w:val="Normal"/>
    <w:qFormat/>
    <w:pPr>
      <w:spacing w:after="120" w:before="240"/>
    </w:pPr>
    <w:rPr>
      <w:rFonts w:ascii="Calibri" w:cs="Calibri" w:eastAsia="Calibri" w:hAnsi="Calibri"/>
      <w:b/>
      <w:bCs/>
      <w:color w:val="3366F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6d549e61dec42789441b863cc0569d5e1e0b2a.png"/><Relationship Id="rId10" Type="http://schemas.openxmlformats.org/officeDocument/2006/relationships/image" Target="media/9123217dc8019605198afa0f2922238ab61af592.png"/><Relationship Id="rId11" Type="http://schemas.openxmlformats.org/officeDocument/2006/relationships/image" Target="media/cb19b07d6e60c6de6f1b35ad67d0360be997f2b0.png"/><Relationship Id="rId12" Type="http://schemas.openxmlformats.org/officeDocument/2006/relationships/image" Target="media/62ec69606869996b68c75fb440ff53c391ab71eb.png"/><Relationship Id="rId13" Type="http://schemas.openxmlformats.org/officeDocument/2006/relationships/image" Target="media/3a7da02240f0f50f7fec1b3151db827e5e2f9550.png"/><Relationship Id="rId14" Type="http://schemas.openxmlformats.org/officeDocument/2006/relationships/image" Target="media/2c7bf46fa8491a05cb57e087e44c19bb8b5ef25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2026-07-16T02:31:44.195Z</dcterms:created>
  <dcterms:modified xsi:type="dcterms:W3CDTF">2026-07-16T02:31:44.198Z</dcterms:modified>
</cp:coreProperties>
</file>

<file path=docProps/custom.xml><?xml version="1.0" encoding="utf-8"?>
<Properties xmlns="http://schemas.openxmlformats.org/officeDocument/2006/custom-properties" xmlns:vt="http://schemas.openxmlformats.org/officeDocument/2006/docPropsVTypes"/>
</file>