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r w:rsidR="00C57701" w:rsidRPr="0013218C">
        <w:rPr>
          <w:rFonts w:ascii="標楷體" w:hint="eastAsia"/>
          <w:sz w:val="24"/>
          <w:szCs w:val="24"/>
        </w:rPr>
        <w:t>MediMate - 智伴一把罩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r w:rsidR="00C57701" w:rsidRPr="0013218C">
        <w:rPr>
          <w:rFonts w:ascii="標楷體"/>
          <w:sz w:val="24"/>
          <w:szCs w:val="24"/>
        </w:rPr>
        <w:t>MediMate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可知傳統照護已無法有效滿足日益增長的需求，且照護的層面往往都只在於對身體的照顧，心理部分往往都被忽視，因此本組開發「MediMate - 智伴一把罩」，使用人工智慧和物聯網等的智慧照護系統，旨在革新長者照護模式。本系統由四大核心組件整合組成：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137E4E08" w:rsidR="006944F5" w:rsidRPr="00555E4D" w:rsidRDefault="00E865C7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F844299" wp14:editId="3FFBE28A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322AB" w14:textId="77777777" w:rsidR="00A5677E" w:rsidRP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A5677E">
        <w:rPr>
          <w:rFonts w:ascii="標楷體" w:eastAsia="標楷體" w:hAnsi="Times New Roman" w:cs="Times New Roman" w:hint="eastAsia"/>
          <w:b/>
          <w:sz w:val="28"/>
        </w:rPr>
        <w:t>LineBOT服務前台</w:t>
      </w: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3E8EE281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88FC3C4" w14:textId="5F7C17E5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5E55E2C9" w14:textId="3ED41780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FEA15C8" w14:textId="3460A3E3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9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178B" w14:textId="77777777" w:rsidR="006B4492" w:rsidRDefault="006B4492">
      <w:r>
        <w:separator/>
      </w:r>
    </w:p>
  </w:endnote>
  <w:endnote w:type="continuationSeparator" w:id="0">
    <w:p w14:paraId="18CB1F5C" w14:textId="77777777" w:rsidR="006B4492" w:rsidRDefault="006B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D657" w14:textId="77777777" w:rsidR="006B4492" w:rsidRDefault="006B4492">
      <w:r>
        <w:separator/>
      </w:r>
    </w:p>
  </w:footnote>
  <w:footnote w:type="continuationSeparator" w:id="0">
    <w:p w14:paraId="34FA4B33" w14:textId="77777777" w:rsidR="006B4492" w:rsidRDefault="006B4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6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43F88"/>
    <w:rsid w:val="0007529F"/>
    <w:rsid w:val="00085320"/>
    <w:rsid w:val="00093750"/>
    <w:rsid w:val="000B002A"/>
    <w:rsid w:val="000C501D"/>
    <w:rsid w:val="000E3099"/>
    <w:rsid w:val="00127136"/>
    <w:rsid w:val="0013218C"/>
    <w:rsid w:val="001924DD"/>
    <w:rsid w:val="002510B7"/>
    <w:rsid w:val="00286E85"/>
    <w:rsid w:val="002A65FB"/>
    <w:rsid w:val="002E5557"/>
    <w:rsid w:val="002F4143"/>
    <w:rsid w:val="00317493"/>
    <w:rsid w:val="003E1B65"/>
    <w:rsid w:val="00466765"/>
    <w:rsid w:val="00472F02"/>
    <w:rsid w:val="0049432D"/>
    <w:rsid w:val="004C6D0A"/>
    <w:rsid w:val="00555E4D"/>
    <w:rsid w:val="00674C9F"/>
    <w:rsid w:val="006944F5"/>
    <w:rsid w:val="006B4492"/>
    <w:rsid w:val="007E5960"/>
    <w:rsid w:val="00812806"/>
    <w:rsid w:val="008A3E00"/>
    <w:rsid w:val="008C1A37"/>
    <w:rsid w:val="0094707C"/>
    <w:rsid w:val="00973658"/>
    <w:rsid w:val="009920CC"/>
    <w:rsid w:val="009966AB"/>
    <w:rsid w:val="009C056F"/>
    <w:rsid w:val="009E6D25"/>
    <w:rsid w:val="00A5677E"/>
    <w:rsid w:val="00AC1CBD"/>
    <w:rsid w:val="00AC59ED"/>
    <w:rsid w:val="00AC71EB"/>
    <w:rsid w:val="00AC7859"/>
    <w:rsid w:val="00AD28E7"/>
    <w:rsid w:val="00B35384"/>
    <w:rsid w:val="00B95BF9"/>
    <w:rsid w:val="00BB686C"/>
    <w:rsid w:val="00BE7E2E"/>
    <w:rsid w:val="00C05054"/>
    <w:rsid w:val="00C2425E"/>
    <w:rsid w:val="00C57701"/>
    <w:rsid w:val="00C925EA"/>
    <w:rsid w:val="00CE35B8"/>
    <w:rsid w:val="00D24045"/>
    <w:rsid w:val="00D33DD5"/>
    <w:rsid w:val="00D72E08"/>
    <w:rsid w:val="00D9058E"/>
    <w:rsid w:val="00E17556"/>
    <w:rsid w:val="00E17EA7"/>
    <w:rsid w:val="00E25F92"/>
    <w:rsid w:val="00E74131"/>
    <w:rsid w:val="00E86517"/>
    <w:rsid w:val="00E865C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69</cp:revision>
  <dcterms:created xsi:type="dcterms:W3CDTF">2024-09-19T03:19:00Z</dcterms:created>
  <dcterms:modified xsi:type="dcterms:W3CDTF">2024-09-23T13:45:00Z</dcterms:modified>
</cp:coreProperties>
</file>