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5EC5" w14:textId="77777777" w:rsidR="0072526E" w:rsidRPr="0072526E" w:rsidRDefault="0072526E" w:rsidP="0072526E">
      <w:pPr>
        <w:widowControl/>
        <w:shd w:val="clear" w:color="auto" w:fill="FFFFFF"/>
        <w:spacing w:after="150"/>
        <w:jc w:val="center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72526E">
        <w:rPr>
          <w:rFonts w:ascii="標楷體" w:eastAsia="標楷體" w:hAnsi="標楷體" w:cs="Times New Roman" w:hint="eastAsia"/>
          <w:b/>
          <w:bCs/>
          <w:color w:val="444444"/>
          <w:kern w:val="0"/>
          <w:sz w:val="32"/>
          <w:szCs w:val="32"/>
        </w:rPr>
        <w:t>國立</w:t>
      </w:r>
      <w:proofErr w:type="gramStart"/>
      <w:r w:rsidRPr="0072526E">
        <w:rPr>
          <w:rFonts w:ascii="標楷體" w:eastAsia="標楷體" w:hAnsi="標楷體" w:cs="Times New Roman" w:hint="eastAsia"/>
          <w:b/>
          <w:bCs/>
          <w:color w:val="444444"/>
          <w:kern w:val="0"/>
          <w:sz w:val="32"/>
          <w:szCs w:val="32"/>
        </w:rPr>
        <w:t>臺</w:t>
      </w:r>
      <w:proofErr w:type="gramEnd"/>
      <w:r w:rsidRPr="0072526E">
        <w:rPr>
          <w:rFonts w:ascii="標楷體" w:eastAsia="標楷體" w:hAnsi="標楷體" w:cs="Times New Roman" w:hint="eastAsia"/>
          <w:b/>
          <w:bCs/>
          <w:color w:val="444444"/>
          <w:kern w:val="0"/>
          <w:sz w:val="32"/>
          <w:szCs w:val="32"/>
        </w:rPr>
        <w:t>北商業大學學生資訊能力檢核辦法</w:t>
      </w:r>
    </w:p>
    <w:p w14:paraId="4A6AA1BA" w14:textId="77777777" w:rsidR="0072526E" w:rsidRPr="0072526E" w:rsidRDefault="0072526E" w:rsidP="0072526E">
      <w:pPr>
        <w:widowControl/>
        <w:shd w:val="clear" w:color="auto" w:fill="FFFFFF"/>
        <w:spacing w:after="150"/>
        <w:ind w:left="510" w:hanging="270"/>
        <w:jc w:val="right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72526E">
        <w:rPr>
          <w:rFonts w:ascii="標楷體" w:eastAsia="標楷體" w:hAnsi="標楷體" w:cs="Times New Roman" w:hint="eastAsia"/>
          <w:color w:val="444444"/>
          <w:kern w:val="0"/>
          <w:sz w:val="18"/>
          <w:szCs w:val="18"/>
        </w:rPr>
        <w:t>中華民國</w:t>
      </w:r>
      <w:r w:rsidRPr="0072526E">
        <w:rPr>
          <w:rFonts w:ascii="Times New Roman" w:eastAsia="微軟正黑體" w:hAnsi="Times New Roman" w:cs="Times New Roman"/>
          <w:color w:val="444444"/>
          <w:kern w:val="0"/>
          <w:sz w:val="18"/>
          <w:szCs w:val="18"/>
          <w:lang w:val="x-none"/>
        </w:rPr>
        <w:t>112</w:t>
      </w:r>
      <w:r w:rsidRPr="0072526E">
        <w:rPr>
          <w:rFonts w:ascii="標楷體" w:eastAsia="標楷體" w:hAnsi="標楷體" w:cs="Times New Roman" w:hint="eastAsia"/>
          <w:color w:val="444444"/>
          <w:kern w:val="0"/>
          <w:sz w:val="18"/>
          <w:szCs w:val="18"/>
        </w:rPr>
        <w:t>年</w:t>
      </w:r>
      <w:r w:rsidRPr="0072526E">
        <w:rPr>
          <w:rFonts w:ascii="Times New Roman" w:eastAsia="微軟正黑體" w:hAnsi="Times New Roman" w:cs="Times New Roman"/>
          <w:color w:val="444444"/>
          <w:kern w:val="0"/>
          <w:sz w:val="18"/>
          <w:szCs w:val="18"/>
          <w:lang w:val="x-none"/>
        </w:rPr>
        <w:t>12</w:t>
      </w:r>
      <w:r w:rsidRPr="0072526E">
        <w:rPr>
          <w:rFonts w:ascii="標楷體" w:eastAsia="標楷體" w:hAnsi="標楷體" w:cs="Times New Roman" w:hint="eastAsia"/>
          <w:color w:val="444444"/>
          <w:kern w:val="0"/>
          <w:sz w:val="18"/>
          <w:szCs w:val="18"/>
        </w:rPr>
        <w:t>月</w:t>
      </w:r>
      <w:r w:rsidRPr="0072526E">
        <w:rPr>
          <w:rFonts w:ascii="Times New Roman" w:eastAsia="微軟正黑體" w:hAnsi="Times New Roman" w:cs="Times New Roman"/>
          <w:color w:val="444444"/>
          <w:kern w:val="0"/>
          <w:sz w:val="18"/>
          <w:szCs w:val="18"/>
          <w:lang w:val="x-none"/>
        </w:rPr>
        <w:t>21</w:t>
      </w:r>
      <w:r w:rsidRPr="0072526E">
        <w:rPr>
          <w:rFonts w:ascii="標楷體" w:eastAsia="標楷體" w:hAnsi="標楷體" w:cs="Times New Roman" w:hint="eastAsia"/>
          <w:color w:val="444444"/>
          <w:kern w:val="0"/>
          <w:sz w:val="18"/>
          <w:szCs w:val="18"/>
        </w:rPr>
        <w:t>日</w:t>
      </w:r>
      <w:r w:rsidRPr="0072526E">
        <w:rPr>
          <w:rFonts w:ascii="Times New Roman" w:eastAsia="微軟正黑體" w:hAnsi="Times New Roman" w:cs="Times New Roman"/>
          <w:color w:val="444444"/>
          <w:kern w:val="0"/>
          <w:sz w:val="18"/>
          <w:szCs w:val="18"/>
          <w:lang w:val="x-none"/>
        </w:rPr>
        <w:t>112</w:t>
      </w:r>
      <w:r w:rsidRPr="0072526E">
        <w:rPr>
          <w:rFonts w:ascii="標楷體" w:eastAsia="標楷體" w:hAnsi="標楷體" w:cs="Times New Roman" w:hint="eastAsia"/>
          <w:color w:val="444444"/>
          <w:kern w:val="0"/>
          <w:sz w:val="18"/>
          <w:szCs w:val="18"/>
          <w:lang w:val="x-none"/>
        </w:rPr>
        <w:t>學年度第</w:t>
      </w:r>
      <w:r w:rsidRPr="0072526E">
        <w:rPr>
          <w:rFonts w:ascii="Times New Roman" w:eastAsia="微軟正黑體" w:hAnsi="Times New Roman" w:cs="Times New Roman"/>
          <w:color w:val="444444"/>
          <w:kern w:val="0"/>
          <w:sz w:val="18"/>
          <w:szCs w:val="18"/>
          <w:lang w:val="x-none"/>
        </w:rPr>
        <w:t>1</w:t>
      </w:r>
      <w:r w:rsidRPr="0072526E">
        <w:rPr>
          <w:rFonts w:ascii="標楷體" w:eastAsia="標楷體" w:hAnsi="標楷體" w:cs="Times New Roman" w:hint="eastAsia"/>
          <w:color w:val="444444"/>
          <w:kern w:val="0"/>
          <w:sz w:val="18"/>
          <w:szCs w:val="18"/>
          <w:lang w:val="x-none"/>
        </w:rPr>
        <w:t>學期第</w:t>
      </w:r>
      <w:r w:rsidRPr="0072526E">
        <w:rPr>
          <w:rFonts w:ascii="Times New Roman" w:eastAsia="微軟正黑體" w:hAnsi="Times New Roman" w:cs="Times New Roman"/>
          <w:color w:val="444444"/>
          <w:kern w:val="0"/>
          <w:sz w:val="18"/>
          <w:szCs w:val="18"/>
          <w:lang w:val="x-none"/>
        </w:rPr>
        <w:t>9</w:t>
      </w:r>
      <w:r w:rsidRPr="0072526E">
        <w:rPr>
          <w:rFonts w:ascii="標楷體" w:eastAsia="標楷體" w:hAnsi="標楷體" w:cs="Times New Roman" w:hint="eastAsia"/>
          <w:color w:val="444444"/>
          <w:kern w:val="0"/>
          <w:sz w:val="18"/>
          <w:szCs w:val="18"/>
          <w:lang w:val="x-none"/>
        </w:rPr>
        <w:t>次</w:t>
      </w:r>
      <w:r w:rsidRPr="0072526E">
        <w:rPr>
          <w:rFonts w:ascii="標楷體" w:eastAsia="標楷體" w:hAnsi="標楷體" w:cs="Times New Roman" w:hint="eastAsia"/>
          <w:color w:val="444444"/>
          <w:kern w:val="0"/>
          <w:sz w:val="18"/>
          <w:szCs w:val="18"/>
        </w:rPr>
        <w:t>行政會議通過</w:t>
      </w:r>
    </w:p>
    <w:p w14:paraId="77CB47A4" w14:textId="77777777" w:rsidR="0072526E" w:rsidRPr="0072526E" w:rsidRDefault="0072526E" w:rsidP="0072526E">
      <w:pPr>
        <w:widowControl/>
        <w:shd w:val="clear" w:color="auto" w:fill="FFFFFF"/>
        <w:spacing w:after="150"/>
        <w:ind w:left="555" w:hanging="560"/>
        <w:jc w:val="both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72526E">
        <w:rPr>
          <w:rFonts w:ascii="標楷體" w:eastAsia="標楷體" w:hAnsi="標楷體" w:cs="新細明體" w:hint="eastAsia"/>
          <w:color w:val="444444"/>
          <w:kern w:val="0"/>
          <w:sz w:val="27"/>
          <w:szCs w:val="27"/>
        </w:rPr>
        <w:t>一、國立</w:t>
      </w:r>
      <w:proofErr w:type="gramStart"/>
      <w:r w:rsidRPr="0072526E">
        <w:rPr>
          <w:rFonts w:ascii="標楷體" w:eastAsia="標楷體" w:hAnsi="標楷體" w:cs="新細明體" w:hint="eastAsia"/>
          <w:color w:val="444444"/>
          <w:kern w:val="0"/>
          <w:sz w:val="27"/>
          <w:szCs w:val="27"/>
        </w:rPr>
        <w:t>臺</w:t>
      </w:r>
      <w:proofErr w:type="gramEnd"/>
      <w:r w:rsidRPr="0072526E">
        <w:rPr>
          <w:rFonts w:ascii="標楷體" w:eastAsia="標楷體" w:hAnsi="標楷體" w:cs="新細明體" w:hint="eastAsia"/>
          <w:color w:val="444444"/>
          <w:kern w:val="0"/>
          <w:sz w:val="27"/>
          <w:szCs w:val="27"/>
        </w:rPr>
        <w:t>北商業大學（以下簡稱本校）為提升學生資訊基本能力，特訂定「國立</w:t>
      </w:r>
      <w:proofErr w:type="gramStart"/>
      <w:r w:rsidRPr="0072526E">
        <w:rPr>
          <w:rFonts w:ascii="標楷體" w:eastAsia="標楷體" w:hAnsi="標楷體" w:cs="新細明體" w:hint="eastAsia"/>
          <w:color w:val="444444"/>
          <w:kern w:val="0"/>
          <w:sz w:val="27"/>
          <w:szCs w:val="27"/>
        </w:rPr>
        <w:t>臺</w:t>
      </w:r>
      <w:proofErr w:type="gramEnd"/>
      <w:r w:rsidRPr="0072526E">
        <w:rPr>
          <w:rFonts w:ascii="標楷體" w:eastAsia="標楷體" w:hAnsi="標楷體" w:cs="新細明體" w:hint="eastAsia"/>
          <w:color w:val="444444"/>
          <w:kern w:val="0"/>
          <w:sz w:val="27"/>
          <w:szCs w:val="27"/>
        </w:rPr>
        <w:t>北商業大學學生資訊能力檢核辦法」（以下簡稱本辦法）。</w:t>
      </w:r>
    </w:p>
    <w:p w14:paraId="4C884E12" w14:textId="77777777" w:rsidR="0072526E" w:rsidRPr="0072526E" w:rsidRDefault="0072526E" w:rsidP="0072526E">
      <w:pPr>
        <w:widowControl/>
        <w:shd w:val="clear" w:color="auto" w:fill="FFFFFF"/>
        <w:spacing w:after="150"/>
        <w:ind w:left="555" w:hanging="560"/>
        <w:jc w:val="both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72526E">
        <w:rPr>
          <w:rFonts w:ascii="標楷體" w:eastAsia="標楷體" w:hAnsi="標楷體" w:cs="Times New Roman" w:hint="eastAsia"/>
          <w:color w:val="444444"/>
          <w:kern w:val="0"/>
          <w:sz w:val="28"/>
          <w:szCs w:val="28"/>
        </w:rPr>
        <w:t>二、本校</w:t>
      </w:r>
      <w:r w:rsidRPr="0072526E">
        <w:rPr>
          <w:rFonts w:ascii="Times New Roman" w:eastAsia="微軟正黑體" w:hAnsi="Times New Roman" w:cs="Times New Roman"/>
          <w:color w:val="444444"/>
          <w:kern w:val="0"/>
          <w:sz w:val="28"/>
          <w:szCs w:val="28"/>
        </w:rPr>
        <w:t>113</w:t>
      </w:r>
      <w:r w:rsidRPr="0072526E">
        <w:rPr>
          <w:rFonts w:ascii="標楷體" w:eastAsia="標楷體" w:hAnsi="標楷體" w:cs="Times New Roman" w:hint="eastAsia"/>
          <w:color w:val="444444"/>
          <w:kern w:val="0"/>
          <w:sz w:val="28"/>
          <w:szCs w:val="28"/>
        </w:rPr>
        <w:t>學年度起入學之研究生（含博士班、碩士班、碩士在職專班、產碩專班、碩士學位學程）、大學部、專科部學生適用。</w:t>
      </w:r>
    </w:p>
    <w:p w14:paraId="2427ED2B" w14:textId="77777777" w:rsidR="0072526E" w:rsidRPr="0072526E" w:rsidRDefault="0072526E" w:rsidP="0072526E">
      <w:pPr>
        <w:widowControl/>
        <w:shd w:val="clear" w:color="auto" w:fill="FFFFFF"/>
        <w:spacing w:after="150"/>
        <w:ind w:left="420" w:hanging="420"/>
        <w:jc w:val="both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72526E">
        <w:rPr>
          <w:rFonts w:ascii="標楷體" w:eastAsia="標楷體" w:hAnsi="標楷體" w:cs="Times New Roman" w:hint="eastAsia"/>
          <w:color w:val="444444"/>
          <w:kern w:val="0"/>
          <w:sz w:val="28"/>
          <w:szCs w:val="28"/>
        </w:rPr>
        <w:t>三、本校學生應於畢業前達成本辦法下列擇</w:t>
      </w:r>
      <w:proofErr w:type="gramStart"/>
      <w:r w:rsidRPr="0072526E">
        <w:rPr>
          <w:rFonts w:ascii="標楷體" w:eastAsia="標楷體" w:hAnsi="標楷體" w:cs="Times New Roman" w:hint="eastAsia"/>
          <w:color w:val="444444"/>
          <w:kern w:val="0"/>
          <w:sz w:val="28"/>
          <w:szCs w:val="28"/>
        </w:rPr>
        <w:t>一</w:t>
      </w:r>
      <w:proofErr w:type="gramEnd"/>
      <w:r w:rsidRPr="0072526E">
        <w:rPr>
          <w:rFonts w:ascii="標楷體" w:eastAsia="標楷體" w:hAnsi="標楷體" w:cs="Times New Roman" w:hint="eastAsia"/>
          <w:color w:val="444444"/>
          <w:kern w:val="0"/>
          <w:sz w:val="28"/>
          <w:szCs w:val="28"/>
        </w:rPr>
        <w:t>資訊能力檢核認定項目始得畢業：</w:t>
      </w:r>
    </w:p>
    <w:tbl>
      <w:tblPr>
        <w:tblW w:w="100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5385"/>
        <w:gridCol w:w="2700"/>
      </w:tblGrid>
      <w:tr w:rsidR="0072526E" w:rsidRPr="0072526E" w14:paraId="00124C07" w14:textId="77777777" w:rsidTr="0072526E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C2624A" w14:textId="77777777" w:rsidR="0072526E" w:rsidRPr="0072526E" w:rsidRDefault="0072526E" w:rsidP="0072526E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資訊能力檢定</w:t>
            </w:r>
          </w:p>
        </w:tc>
        <w:tc>
          <w:tcPr>
            <w:tcW w:w="53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417849" w14:textId="77777777" w:rsidR="0072526E" w:rsidRPr="0072526E" w:rsidRDefault="0072526E" w:rsidP="0072526E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科目</w:t>
            </w:r>
          </w:p>
        </w:tc>
        <w:tc>
          <w:tcPr>
            <w:tcW w:w="2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B08CB2" w14:textId="77777777" w:rsidR="0072526E" w:rsidRPr="0072526E" w:rsidRDefault="0072526E" w:rsidP="0072526E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本校通過標準</w:t>
            </w:r>
          </w:p>
        </w:tc>
      </w:tr>
      <w:tr w:rsidR="0072526E" w:rsidRPr="0072526E" w14:paraId="7B2766C6" w14:textId="77777777" w:rsidTr="0072526E">
        <w:tc>
          <w:tcPr>
            <w:tcW w:w="19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FB6755" w14:textId="77777777" w:rsidR="0072526E" w:rsidRPr="0072526E" w:rsidRDefault="0072526E" w:rsidP="0072526E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72526E">
              <w:rPr>
                <w:rFonts w:ascii="Times New Roman" w:eastAsia="微軟正黑體" w:hAnsi="Times New Roman" w:cs="Times New Roman"/>
                <w:color w:val="444444"/>
                <w:kern w:val="0"/>
                <w:sz w:val="28"/>
                <w:szCs w:val="28"/>
              </w:rPr>
              <w:t>TQC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B809F6" w14:textId="77777777" w:rsidR="0072526E" w:rsidRPr="0072526E" w:rsidRDefault="0072526E" w:rsidP="0072526E">
            <w:pPr>
              <w:widowControl/>
              <w:spacing w:after="150"/>
              <w:jc w:val="both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72526E">
              <w:rPr>
                <w:rFonts w:ascii="Times New Roman" w:eastAsia="微軟正黑體" w:hAnsi="Times New Roman" w:cs="Times New Roman"/>
                <w:color w:val="444444"/>
                <w:kern w:val="0"/>
                <w:sz w:val="28"/>
                <w:szCs w:val="28"/>
              </w:rPr>
              <w:t>Microsoft Word</w:t>
            </w:r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、</w:t>
            </w:r>
            <w:r w:rsidRPr="0072526E">
              <w:rPr>
                <w:rFonts w:ascii="Times New Roman" w:eastAsia="微軟正黑體" w:hAnsi="Times New Roman" w:cs="Times New Roman"/>
                <w:color w:val="444444"/>
                <w:kern w:val="0"/>
                <w:sz w:val="28"/>
                <w:szCs w:val="28"/>
              </w:rPr>
              <w:t>Excel PowerPoint</w:t>
            </w:r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任</w:t>
            </w:r>
            <w:proofErr w:type="gramStart"/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一</w:t>
            </w:r>
            <w:proofErr w:type="gramEnd"/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科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6300EE" w14:textId="77777777" w:rsidR="0072526E" w:rsidRPr="0072526E" w:rsidRDefault="0072526E" w:rsidP="0072526E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實用級或以上</w:t>
            </w:r>
          </w:p>
        </w:tc>
      </w:tr>
      <w:tr w:rsidR="0072526E" w:rsidRPr="0072526E" w14:paraId="4666D52D" w14:textId="77777777" w:rsidTr="0072526E">
        <w:tc>
          <w:tcPr>
            <w:tcW w:w="19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9EC29A" w14:textId="77777777" w:rsidR="0072526E" w:rsidRPr="0072526E" w:rsidRDefault="0072526E" w:rsidP="0072526E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72526E">
              <w:rPr>
                <w:rFonts w:ascii="Times New Roman" w:eastAsia="微軟正黑體" w:hAnsi="Times New Roman" w:cs="Times New Roman"/>
                <w:color w:val="444444"/>
                <w:kern w:val="0"/>
                <w:sz w:val="28"/>
                <w:szCs w:val="28"/>
              </w:rPr>
              <w:t>MOS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9C4D69" w14:textId="77777777" w:rsidR="0072526E" w:rsidRPr="0072526E" w:rsidRDefault="0072526E" w:rsidP="0072526E">
            <w:pPr>
              <w:widowControl/>
              <w:spacing w:after="150"/>
              <w:jc w:val="both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72526E">
              <w:rPr>
                <w:rFonts w:ascii="Times New Roman" w:eastAsia="微軟正黑體" w:hAnsi="Times New Roman" w:cs="Times New Roman"/>
                <w:color w:val="444444"/>
                <w:kern w:val="0"/>
                <w:sz w:val="28"/>
                <w:szCs w:val="28"/>
              </w:rPr>
              <w:t>Microsoft Word</w:t>
            </w:r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、</w:t>
            </w:r>
            <w:r w:rsidRPr="0072526E">
              <w:rPr>
                <w:rFonts w:ascii="Times New Roman" w:eastAsia="微軟正黑體" w:hAnsi="Times New Roman" w:cs="Times New Roman"/>
                <w:color w:val="444444"/>
                <w:kern w:val="0"/>
                <w:sz w:val="28"/>
                <w:szCs w:val="28"/>
              </w:rPr>
              <w:t>Excel PowerPoint</w:t>
            </w:r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任</w:t>
            </w:r>
            <w:proofErr w:type="gramStart"/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一</w:t>
            </w:r>
            <w:proofErr w:type="gramEnd"/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科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528937" w14:textId="77777777" w:rsidR="0072526E" w:rsidRPr="0072526E" w:rsidRDefault="0072526E" w:rsidP="0072526E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標準級</w:t>
            </w:r>
            <w:r w:rsidRPr="0072526E">
              <w:rPr>
                <w:rFonts w:ascii="Times New Roman" w:eastAsia="微軟正黑體" w:hAnsi="Times New Roman" w:cs="Times New Roman"/>
                <w:color w:val="444444"/>
                <w:kern w:val="0"/>
                <w:sz w:val="28"/>
                <w:szCs w:val="28"/>
              </w:rPr>
              <w:t>(Core)</w:t>
            </w:r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或以上</w:t>
            </w:r>
          </w:p>
        </w:tc>
      </w:tr>
      <w:tr w:rsidR="0072526E" w:rsidRPr="0072526E" w14:paraId="13073CBA" w14:textId="77777777" w:rsidTr="0072526E">
        <w:tc>
          <w:tcPr>
            <w:tcW w:w="19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0D0326" w14:textId="77777777" w:rsidR="0072526E" w:rsidRPr="0072526E" w:rsidRDefault="0072526E" w:rsidP="0072526E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72526E">
              <w:rPr>
                <w:rFonts w:ascii="Times New Roman" w:eastAsia="微軟正黑體" w:hAnsi="Times New Roman" w:cs="Times New Roman"/>
                <w:color w:val="444444"/>
                <w:kern w:val="0"/>
                <w:sz w:val="28"/>
                <w:szCs w:val="28"/>
              </w:rPr>
              <w:t>Google</w:t>
            </w:r>
          </w:p>
          <w:p w14:paraId="783EC6E8" w14:textId="77777777" w:rsidR="0072526E" w:rsidRPr="0072526E" w:rsidRDefault="0072526E" w:rsidP="0072526E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雲端文件認證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61A719" w14:textId="77777777" w:rsidR="0072526E" w:rsidRPr="0072526E" w:rsidRDefault="0072526E" w:rsidP="0072526E">
            <w:pPr>
              <w:widowControl/>
              <w:spacing w:after="150"/>
              <w:jc w:val="both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72526E">
              <w:rPr>
                <w:rFonts w:ascii="Times New Roman" w:eastAsia="微軟正黑體" w:hAnsi="Times New Roman" w:cs="Times New Roman"/>
                <w:color w:val="444444"/>
                <w:kern w:val="0"/>
                <w:sz w:val="28"/>
                <w:szCs w:val="28"/>
              </w:rPr>
              <w:t>Google Apps Education Drive Individual Qualification (IQ)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542474" w14:textId="77777777" w:rsidR="0072526E" w:rsidRPr="0072526E" w:rsidRDefault="0072526E" w:rsidP="0072526E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通過</w:t>
            </w:r>
          </w:p>
        </w:tc>
      </w:tr>
      <w:tr w:rsidR="0072526E" w:rsidRPr="0072526E" w14:paraId="42CE296C" w14:textId="77777777" w:rsidTr="0072526E">
        <w:tc>
          <w:tcPr>
            <w:tcW w:w="19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B16318" w14:textId="77777777" w:rsidR="0072526E" w:rsidRPr="0072526E" w:rsidRDefault="0072526E" w:rsidP="0072526E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資訊能力</w:t>
            </w:r>
          </w:p>
          <w:p w14:paraId="0B335A0D" w14:textId="77777777" w:rsidR="0072526E" w:rsidRPr="0072526E" w:rsidRDefault="0072526E" w:rsidP="0072526E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相關證照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125F64" w14:textId="77777777" w:rsidR="0072526E" w:rsidRPr="0072526E" w:rsidRDefault="0072526E" w:rsidP="0072526E">
            <w:pPr>
              <w:widowControl/>
              <w:spacing w:after="150"/>
              <w:jc w:val="both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各教學單位自訂，每學年公告之。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E261C8" w14:textId="77777777" w:rsidR="0072526E" w:rsidRPr="0072526E" w:rsidRDefault="0072526E" w:rsidP="0072526E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通過</w:t>
            </w:r>
          </w:p>
        </w:tc>
      </w:tr>
      <w:tr w:rsidR="0072526E" w:rsidRPr="0072526E" w14:paraId="587964A4" w14:textId="77777777" w:rsidTr="0072526E">
        <w:tc>
          <w:tcPr>
            <w:tcW w:w="19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17E022" w14:textId="77777777" w:rsidR="0072526E" w:rsidRPr="0072526E" w:rsidRDefault="0072526E" w:rsidP="0072526E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校內課程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FE78A2" w14:textId="77777777" w:rsidR="0072526E" w:rsidRPr="0072526E" w:rsidRDefault="0072526E" w:rsidP="0072526E">
            <w:pPr>
              <w:widowControl/>
              <w:spacing w:after="150"/>
              <w:jc w:val="both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下列認定方式二擇</w:t>
            </w:r>
            <w:proofErr w:type="gramStart"/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一</w:t>
            </w:r>
            <w:proofErr w:type="gramEnd"/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：</w:t>
            </w:r>
          </w:p>
          <w:p w14:paraId="3D669121" w14:textId="77777777" w:rsidR="0072526E" w:rsidRPr="0072526E" w:rsidRDefault="0072526E" w:rsidP="0072526E">
            <w:pPr>
              <w:widowControl/>
              <w:spacing w:after="150"/>
              <w:ind w:left="285" w:hanging="280"/>
              <w:jc w:val="both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72526E">
              <w:rPr>
                <w:rFonts w:ascii="Times New Roman" w:eastAsia="微軟正黑體" w:hAnsi="Times New Roman" w:cs="Times New Roman"/>
                <w:color w:val="444444"/>
                <w:kern w:val="0"/>
                <w:sz w:val="28"/>
                <w:szCs w:val="28"/>
              </w:rPr>
              <w:lastRenderedPageBreak/>
              <w:t>1.</w:t>
            </w:r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課程名稱含「程式設計」、「程式語言」之課程。</w:t>
            </w:r>
          </w:p>
          <w:p w14:paraId="22DA7443" w14:textId="77777777" w:rsidR="0072526E" w:rsidRPr="0072526E" w:rsidRDefault="0072526E" w:rsidP="0072526E">
            <w:pPr>
              <w:widowControl/>
              <w:spacing w:after="150"/>
              <w:ind w:left="285" w:hanging="280"/>
              <w:jc w:val="both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72526E">
              <w:rPr>
                <w:rFonts w:ascii="Times New Roman" w:eastAsia="微軟正黑體" w:hAnsi="Times New Roman" w:cs="Times New Roman"/>
                <w:color w:val="444444"/>
                <w:kern w:val="0"/>
                <w:sz w:val="28"/>
                <w:szCs w:val="28"/>
              </w:rPr>
              <w:t>2.</w:t>
            </w:r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程式設計導入之課程</w:t>
            </w:r>
            <w:r w:rsidRPr="0072526E">
              <w:rPr>
                <w:rFonts w:ascii="Times New Roman" w:eastAsia="微軟正黑體" w:hAnsi="Times New Roman" w:cs="Times New Roman"/>
                <w:color w:val="444444"/>
                <w:kern w:val="0"/>
                <w:sz w:val="28"/>
                <w:szCs w:val="28"/>
              </w:rPr>
              <w:t>(</w:t>
            </w:r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授課大綱中內含程式設計、程式語言或各教學單位自訂之資訊軟體至少</w:t>
            </w:r>
            <w:r w:rsidRPr="0072526E">
              <w:rPr>
                <w:rFonts w:ascii="Times New Roman" w:eastAsia="微軟正黑體" w:hAnsi="Times New Roman" w:cs="Times New Roman"/>
                <w:color w:val="444444"/>
                <w:kern w:val="0"/>
                <w:sz w:val="28"/>
                <w:szCs w:val="28"/>
              </w:rPr>
              <w:t>6</w:t>
            </w:r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小時</w:t>
            </w:r>
            <w:r w:rsidRPr="0072526E">
              <w:rPr>
                <w:rFonts w:ascii="Times New Roman" w:eastAsia="微軟正黑體" w:hAnsi="Times New Roman" w:cs="Times New Roman"/>
                <w:color w:val="444444"/>
                <w:kern w:val="0"/>
                <w:sz w:val="28"/>
                <w:szCs w:val="28"/>
              </w:rPr>
              <w:t>)</w:t>
            </w:r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。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AAE20B" w14:textId="77777777" w:rsidR="0072526E" w:rsidRPr="0072526E" w:rsidRDefault="0072526E" w:rsidP="0072526E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lastRenderedPageBreak/>
              <w:t>依各學制成績規定</w:t>
            </w:r>
          </w:p>
          <w:p w14:paraId="03AE8037" w14:textId="77777777" w:rsidR="0072526E" w:rsidRPr="0072526E" w:rsidRDefault="0072526E" w:rsidP="0072526E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認定及格</w:t>
            </w:r>
          </w:p>
        </w:tc>
      </w:tr>
      <w:tr w:rsidR="0072526E" w:rsidRPr="0072526E" w14:paraId="69F1154D" w14:textId="77777777" w:rsidTr="0072526E">
        <w:tc>
          <w:tcPr>
            <w:tcW w:w="19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16DD4A" w14:textId="77777777" w:rsidR="0072526E" w:rsidRPr="0072526E" w:rsidRDefault="0072526E" w:rsidP="0072526E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校外課程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34476F" w14:textId="77777777" w:rsidR="0072526E" w:rsidRPr="0072526E" w:rsidRDefault="0072526E" w:rsidP="0072526E">
            <w:pPr>
              <w:widowControl/>
              <w:spacing w:after="150"/>
              <w:jc w:val="both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下列認定方式二擇</w:t>
            </w:r>
            <w:proofErr w:type="gramStart"/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一</w:t>
            </w:r>
            <w:proofErr w:type="gramEnd"/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：</w:t>
            </w:r>
          </w:p>
          <w:p w14:paraId="3CA54836" w14:textId="77777777" w:rsidR="0072526E" w:rsidRPr="0072526E" w:rsidRDefault="0072526E" w:rsidP="0072526E">
            <w:pPr>
              <w:widowControl/>
              <w:spacing w:after="150"/>
              <w:ind w:left="285" w:hanging="280"/>
              <w:jc w:val="both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72526E">
              <w:rPr>
                <w:rFonts w:ascii="Times New Roman" w:eastAsia="微軟正黑體" w:hAnsi="Times New Roman" w:cs="Times New Roman"/>
                <w:color w:val="444444"/>
                <w:kern w:val="0"/>
                <w:sz w:val="28"/>
                <w:szCs w:val="28"/>
              </w:rPr>
              <w:t>1.</w:t>
            </w:r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課程名稱含「程式設計」、「程式語言」之課程。</w:t>
            </w:r>
          </w:p>
          <w:p w14:paraId="2BD0261F" w14:textId="77777777" w:rsidR="0072526E" w:rsidRPr="0072526E" w:rsidRDefault="0072526E" w:rsidP="0072526E">
            <w:pPr>
              <w:widowControl/>
              <w:spacing w:after="150"/>
              <w:ind w:left="285" w:hanging="280"/>
              <w:jc w:val="both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72526E">
              <w:rPr>
                <w:rFonts w:ascii="Times New Roman" w:eastAsia="微軟正黑體" w:hAnsi="Times New Roman" w:cs="Times New Roman"/>
                <w:color w:val="444444"/>
                <w:kern w:val="0"/>
                <w:sz w:val="28"/>
                <w:szCs w:val="28"/>
              </w:rPr>
              <w:t>2.</w:t>
            </w:r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授課大綱中內含程式設計、程式語言或各教學單位自訂之資訊軟體至少</w:t>
            </w:r>
            <w:r w:rsidRPr="0072526E">
              <w:rPr>
                <w:rFonts w:ascii="Times New Roman" w:eastAsia="微軟正黑體" w:hAnsi="Times New Roman" w:cs="Times New Roman"/>
                <w:color w:val="444444"/>
                <w:kern w:val="0"/>
                <w:sz w:val="28"/>
                <w:szCs w:val="28"/>
              </w:rPr>
              <w:t>6</w:t>
            </w:r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小時，請檢附課程大綱申請審查，審查通過者</w:t>
            </w:r>
            <w:proofErr w:type="gramStart"/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予以抵認</w:t>
            </w:r>
            <w:proofErr w:type="gramEnd"/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。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533951" w14:textId="77777777" w:rsidR="0072526E" w:rsidRPr="0072526E" w:rsidRDefault="0072526E" w:rsidP="0072526E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依各校成績規定</w:t>
            </w:r>
          </w:p>
          <w:p w14:paraId="72CAD242" w14:textId="77777777" w:rsidR="0072526E" w:rsidRPr="0072526E" w:rsidRDefault="0072526E" w:rsidP="0072526E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72526E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認定及格</w:t>
            </w:r>
          </w:p>
        </w:tc>
      </w:tr>
    </w:tbl>
    <w:p w14:paraId="60CB1764" w14:textId="77777777" w:rsidR="0072526E" w:rsidRPr="0072526E" w:rsidRDefault="0072526E" w:rsidP="0072526E">
      <w:pPr>
        <w:widowControl/>
        <w:shd w:val="clear" w:color="auto" w:fill="FFFFFF"/>
        <w:spacing w:after="150"/>
        <w:ind w:left="555" w:hanging="560"/>
        <w:jc w:val="both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72526E">
        <w:rPr>
          <w:rFonts w:ascii="標楷體" w:eastAsia="標楷體" w:hAnsi="標楷體" w:cs="Times New Roman" w:hint="eastAsia"/>
          <w:color w:val="444444"/>
          <w:kern w:val="0"/>
          <w:sz w:val="28"/>
          <w:szCs w:val="28"/>
        </w:rPr>
        <w:t>四、本校學生於在學期間通過資訊能力檢核標準，並將通過之證照或修課成績證明文件（正本及影本）送至該所、系（科）辦公室登錄，以作為該項「資訊能力檢核」通過之評定依據，</w:t>
      </w:r>
      <w:proofErr w:type="gramStart"/>
      <w:r w:rsidRPr="0072526E">
        <w:rPr>
          <w:rFonts w:ascii="標楷體" w:eastAsia="標楷體" w:hAnsi="標楷體" w:cs="Times New Roman" w:hint="eastAsia"/>
          <w:color w:val="444444"/>
          <w:kern w:val="0"/>
          <w:sz w:val="28"/>
          <w:szCs w:val="28"/>
        </w:rPr>
        <w:t>並送彙整</w:t>
      </w:r>
      <w:proofErr w:type="gramEnd"/>
      <w:r w:rsidRPr="0072526E">
        <w:rPr>
          <w:rFonts w:ascii="標楷體" w:eastAsia="標楷體" w:hAnsi="標楷體" w:cs="Times New Roman" w:hint="eastAsia"/>
          <w:color w:val="444444"/>
          <w:kern w:val="0"/>
          <w:sz w:val="28"/>
          <w:szCs w:val="28"/>
        </w:rPr>
        <w:t>名冊至本校學習品保組備查。</w:t>
      </w:r>
    </w:p>
    <w:p w14:paraId="6A4D5129" w14:textId="77777777" w:rsidR="0072526E" w:rsidRPr="0072526E" w:rsidRDefault="0072526E" w:rsidP="0072526E">
      <w:pPr>
        <w:widowControl/>
        <w:shd w:val="clear" w:color="auto" w:fill="FFFFFF"/>
        <w:spacing w:after="150"/>
        <w:ind w:left="555" w:hanging="560"/>
        <w:jc w:val="both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72526E">
        <w:rPr>
          <w:rFonts w:ascii="標楷體" w:eastAsia="標楷體" w:hAnsi="標楷體" w:cs="Times New Roman" w:hint="eastAsia"/>
          <w:color w:val="444444"/>
          <w:kern w:val="0"/>
          <w:sz w:val="28"/>
          <w:szCs w:val="28"/>
        </w:rPr>
        <w:lastRenderedPageBreak/>
        <w:t>五、如在入學前即已通過本校訂定之資訊能力指標者，仍須完成各所、系（科）指定之資訊能力培育相關必修課程，亦不得抵免上列之資訊能力培育必修課程。</w:t>
      </w:r>
    </w:p>
    <w:p w14:paraId="332F7912" w14:textId="77777777" w:rsidR="0072526E" w:rsidRPr="0072526E" w:rsidRDefault="0072526E" w:rsidP="0072526E">
      <w:pPr>
        <w:widowControl/>
        <w:shd w:val="clear" w:color="auto" w:fill="FFFFFF"/>
        <w:spacing w:after="150"/>
        <w:ind w:left="555" w:hanging="560"/>
        <w:jc w:val="both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72526E">
        <w:rPr>
          <w:rFonts w:ascii="標楷體" w:eastAsia="標楷體" w:hAnsi="標楷體" w:cs="Times New Roman" w:hint="eastAsia"/>
          <w:color w:val="444444"/>
          <w:kern w:val="0"/>
          <w:sz w:val="28"/>
          <w:szCs w:val="28"/>
        </w:rPr>
        <w:t>六、本辦法經行政會議通過，陳請校長核定後實施，修正時亦同。</w:t>
      </w:r>
    </w:p>
    <w:p w14:paraId="3604603C" w14:textId="77777777" w:rsidR="003A1F0B" w:rsidRPr="0072526E" w:rsidRDefault="003A1F0B"/>
    <w:sectPr w:rsidR="003A1F0B" w:rsidRPr="007252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6E"/>
    <w:rsid w:val="003A1F0B"/>
    <w:rsid w:val="0072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0DCD"/>
  <w15:chartTrackingRefBased/>
  <w15:docId w15:val="{C5875D55-A054-4CC2-AB47-2CE19AFA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252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7252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4">
    <w:name w:val="頁首 字元"/>
    <w:basedOn w:val="a0"/>
    <w:link w:val="a3"/>
    <w:uiPriority w:val="99"/>
    <w:semiHidden/>
    <w:rsid w:val="0072526E"/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8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2025-04-18T08:11:00Z</dcterms:created>
  <dcterms:modified xsi:type="dcterms:W3CDTF">2025-04-18T08:11:00Z</dcterms:modified>
</cp:coreProperties>
</file>