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CF3A0" w14:textId="77777777" w:rsidR="00882ADE" w:rsidRPr="00882ADE" w:rsidRDefault="00882ADE" w:rsidP="00882ADE">
      <w:pPr>
        <w:widowControl/>
        <w:shd w:val="clear" w:color="auto" w:fill="FFFFFF"/>
        <w:rPr>
          <w:rFonts w:ascii="微軟正黑體" w:eastAsia="微軟正黑體" w:hAnsi="微軟正黑體" w:cs="新細明體"/>
          <w:color w:val="444444"/>
          <w:kern w:val="0"/>
          <w:szCs w:val="24"/>
        </w:rPr>
      </w:pPr>
      <w:r w:rsidRPr="00882ADE">
        <w:rPr>
          <w:rFonts w:ascii="微軟正黑體" w:eastAsia="微軟正黑體" w:hAnsi="微軟正黑體" w:cs="新細明體" w:hint="eastAsia"/>
          <w:color w:val="444444"/>
          <w:kern w:val="0"/>
          <w:szCs w:val="24"/>
        </w:rPr>
        <w:t>國立</w:t>
      </w:r>
      <w:proofErr w:type="gramStart"/>
      <w:r w:rsidRPr="00882ADE">
        <w:rPr>
          <w:rFonts w:ascii="微軟正黑體" w:eastAsia="微軟正黑體" w:hAnsi="微軟正黑體" w:cs="新細明體" w:hint="eastAsia"/>
          <w:color w:val="444444"/>
          <w:kern w:val="0"/>
          <w:szCs w:val="24"/>
        </w:rPr>
        <w:t>臺</w:t>
      </w:r>
      <w:proofErr w:type="gramEnd"/>
      <w:r w:rsidRPr="00882ADE">
        <w:rPr>
          <w:rFonts w:ascii="微軟正黑體" w:eastAsia="微軟正黑體" w:hAnsi="微軟正黑體" w:cs="新細明體" w:hint="eastAsia"/>
          <w:color w:val="444444"/>
          <w:kern w:val="0"/>
          <w:szCs w:val="24"/>
        </w:rPr>
        <w:t>北商業大學財務金融系學生財金專業能力畢業門檻及輔導實施要點</w:t>
      </w:r>
    </w:p>
    <w:p w14:paraId="7685A625" w14:textId="77777777" w:rsidR="00882ADE" w:rsidRPr="00882ADE" w:rsidRDefault="00882ADE" w:rsidP="00882ADE">
      <w:pPr>
        <w:widowControl/>
        <w:shd w:val="clear" w:color="auto" w:fill="FFFFFF"/>
        <w:rPr>
          <w:rFonts w:ascii="微軟正黑體" w:eastAsia="微軟正黑體" w:hAnsi="微軟正黑體" w:cs="新細明體" w:hint="eastAsia"/>
          <w:color w:val="444444"/>
          <w:kern w:val="0"/>
          <w:szCs w:val="24"/>
        </w:rPr>
      </w:pPr>
      <w:r w:rsidRPr="00882ADE">
        <w:rPr>
          <w:rFonts w:ascii="微軟正黑體" w:eastAsia="微軟正黑體" w:hAnsi="微軟正黑體" w:cs="新細明體" w:hint="eastAsia"/>
          <w:color w:val="444444"/>
          <w:kern w:val="0"/>
          <w:szCs w:val="24"/>
        </w:rPr>
        <w:t>一、 目　　的：國立</w:t>
      </w:r>
      <w:proofErr w:type="gramStart"/>
      <w:r w:rsidRPr="00882ADE">
        <w:rPr>
          <w:rFonts w:ascii="微軟正黑體" w:eastAsia="微軟正黑體" w:hAnsi="微軟正黑體" w:cs="新細明體" w:hint="eastAsia"/>
          <w:color w:val="444444"/>
          <w:kern w:val="0"/>
          <w:szCs w:val="24"/>
        </w:rPr>
        <w:t>臺</w:t>
      </w:r>
      <w:proofErr w:type="gramEnd"/>
      <w:r w:rsidRPr="00882ADE">
        <w:rPr>
          <w:rFonts w:ascii="微軟正黑體" w:eastAsia="微軟正黑體" w:hAnsi="微軟正黑體" w:cs="新細明體" w:hint="eastAsia"/>
          <w:color w:val="444444"/>
          <w:kern w:val="0"/>
          <w:szCs w:val="24"/>
        </w:rPr>
        <w:t>北商業大學（以下簡稱本校）財務金融系（以下簡稱本系）為提升學生財金專業能力，加強其就業競爭力，並帶動師生學習財金實務之風氣，特訂定「國立</w:t>
      </w:r>
      <w:proofErr w:type="gramStart"/>
      <w:r w:rsidRPr="00882ADE">
        <w:rPr>
          <w:rFonts w:ascii="微軟正黑體" w:eastAsia="微軟正黑體" w:hAnsi="微軟正黑體" w:cs="新細明體" w:hint="eastAsia"/>
          <w:color w:val="444444"/>
          <w:kern w:val="0"/>
          <w:szCs w:val="24"/>
        </w:rPr>
        <w:t>臺</w:t>
      </w:r>
      <w:proofErr w:type="gramEnd"/>
      <w:r w:rsidRPr="00882ADE">
        <w:rPr>
          <w:rFonts w:ascii="微軟正黑體" w:eastAsia="微軟正黑體" w:hAnsi="微軟正黑體" w:cs="新細明體" w:hint="eastAsia"/>
          <w:color w:val="444444"/>
          <w:kern w:val="0"/>
          <w:szCs w:val="24"/>
        </w:rPr>
        <w:t>北商業大學財務金融系學生財金專業能力畢業門檻及輔導實施要點」（以下簡稱本要點）。</w:t>
      </w:r>
    </w:p>
    <w:p w14:paraId="0043E1E4" w14:textId="77777777" w:rsidR="00882ADE" w:rsidRPr="00882ADE" w:rsidRDefault="00882ADE" w:rsidP="00882ADE">
      <w:pPr>
        <w:widowControl/>
        <w:shd w:val="clear" w:color="auto" w:fill="FFFFFF"/>
        <w:rPr>
          <w:rFonts w:ascii="微軟正黑體" w:eastAsia="微軟正黑體" w:hAnsi="微軟正黑體" w:cs="新細明體" w:hint="eastAsia"/>
          <w:color w:val="444444"/>
          <w:kern w:val="0"/>
          <w:szCs w:val="24"/>
        </w:rPr>
      </w:pPr>
      <w:r w:rsidRPr="00882ADE">
        <w:rPr>
          <w:rFonts w:ascii="微軟正黑體" w:eastAsia="微軟正黑體" w:hAnsi="微軟正黑體" w:cs="新細明體" w:hint="eastAsia"/>
          <w:color w:val="444444"/>
          <w:kern w:val="0"/>
          <w:szCs w:val="24"/>
        </w:rPr>
        <w:t>二、 實施對象：本系日間部五專部、二</w:t>
      </w:r>
      <w:proofErr w:type="gramStart"/>
      <w:r w:rsidRPr="00882ADE">
        <w:rPr>
          <w:rFonts w:ascii="微軟正黑體" w:eastAsia="微軟正黑體" w:hAnsi="微軟正黑體" w:cs="新細明體" w:hint="eastAsia"/>
          <w:color w:val="444444"/>
          <w:kern w:val="0"/>
          <w:szCs w:val="24"/>
        </w:rPr>
        <w:t>技部與</w:t>
      </w:r>
      <w:proofErr w:type="gramEnd"/>
      <w:r w:rsidRPr="00882ADE">
        <w:rPr>
          <w:rFonts w:ascii="微軟正黑體" w:eastAsia="微軟正黑體" w:hAnsi="微軟正黑體" w:cs="新細明體" w:hint="eastAsia"/>
          <w:color w:val="444444"/>
          <w:kern w:val="0"/>
          <w:szCs w:val="24"/>
        </w:rPr>
        <w:t>四技部之學生。(不含國際學生與身心障礙學生，並溯及103學年度(含)以前之國際學生與身心障礙學生)</w:t>
      </w:r>
    </w:p>
    <w:p w14:paraId="473D9276" w14:textId="77777777" w:rsidR="00882ADE" w:rsidRPr="00882ADE" w:rsidRDefault="00882ADE" w:rsidP="00882ADE">
      <w:pPr>
        <w:widowControl/>
        <w:shd w:val="clear" w:color="auto" w:fill="FFFFFF"/>
        <w:rPr>
          <w:rFonts w:ascii="微軟正黑體" w:eastAsia="微軟正黑體" w:hAnsi="微軟正黑體" w:cs="新細明體" w:hint="eastAsia"/>
          <w:color w:val="444444"/>
          <w:kern w:val="0"/>
          <w:szCs w:val="24"/>
        </w:rPr>
      </w:pPr>
      <w:r w:rsidRPr="00882ADE">
        <w:rPr>
          <w:rFonts w:ascii="微軟正黑體" w:eastAsia="微軟正黑體" w:hAnsi="微軟正黑體" w:cs="新細明體" w:hint="eastAsia"/>
          <w:color w:val="444444"/>
          <w:kern w:val="0"/>
          <w:szCs w:val="24"/>
        </w:rPr>
        <w:t>三、 檢定標準：本系日間部學生應通過</w:t>
      </w:r>
      <w:proofErr w:type="gramStart"/>
      <w:r w:rsidRPr="00882ADE">
        <w:rPr>
          <w:rFonts w:ascii="微軟正黑體" w:eastAsia="微軟正黑體" w:hAnsi="微軟正黑體" w:cs="新細明體" w:hint="eastAsia"/>
          <w:color w:val="444444"/>
          <w:kern w:val="0"/>
          <w:szCs w:val="24"/>
        </w:rPr>
        <w:t>本系訂定</w:t>
      </w:r>
      <w:proofErr w:type="gramEnd"/>
      <w:r w:rsidRPr="00882ADE">
        <w:rPr>
          <w:rFonts w:ascii="微軟正黑體" w:eastAsia="微軟正黑體" w:hAnsi="微軟正黑體" w:cs="新細明體" w:hint="eastAsia"/>
          <w:color w:val="444444"/>
          <w:kern w:val="0"/>
          <w:szCs w:val="24"/>
        </w:rPr>
        <w:t>之財金專業能力畢業門檻標準始得畢業，詳如附表</w:t>
      </w:r>
      <w:proofErr w:type="gramStart"/>
      <w:r w:rsidRPr="00882ADE">
        <w:rPr>
          <w:rFonts w:ascii="微軟正黑體" w:eastAsia="微軟正黑體" w:hAnsi="微軟正黑體" w:cs="新細明體" w:hint="eastAsia"/>
          <w:color w:val="444444"/>
          <w:kern w:val="0"/>
          <w:szCs w:val="24"/>
        </w:rPr>
        <w:t>一</w:t>
      </w:r>
      <w:proofErr w:type="gramEnd"/>
      <w:r w:rsidRPr="00882ADE">
        <w:rPr>
          <w:rFonts w:ascii="微軟正黑體" w:eastAsia="微軟正黑體" w:hAnsi="微軟正黑體" w:cs="新細明體" w:hint="eastAsia"/>
          <w:color w:val="444444"/>
          <w:kern w:val="0"/>
          <w:szCs w:val="24"/>
        </w:rPr>
        <w:t>。</w:t>
      </w:r>
    </w:p>
    <w:p w14:paraId="2028A046" w14:textId="77777777" w:rsidR="00882ADE" w:rsidRPr="00882ADE" w:rsidRDefault="00882ADE" w:rsidP="00882ADE">
      <w:pPr>
        <w:widowControl/>
        <w:shd w:val="clear" w:color="auto" w:fill="FFFFFF"/>
        <w:rPr>
          <w:rFonts w:ascii="微軟正黑體" w:eastAsia="微軟正黑體" w:hAnsi="微軟正黑體" w:cs="新細明體" w:hint="eastAsia"/>
          <w:color w:val="444444"/>
          <w:kern w:val="0"/>
          <w:szCs w:val="24"/>
        </w:rPr>
      </w:pPr>
      <w:r w:rsidRPr="00882ADE">
        <w:rPr>
          <w:rFonts w:ascii="微軟正黑體" w:eastAsia="微軟正黑體" w:hAnsi="微軟正黑體" w:cs="新細明體" w:hint="eastAsia"/>
          <w:color w:val="444444"/>
          <w:kern w:val="0"/>
          <w:szCs w:val="24"/>
        </w:rPr>
        <w:t>四、 實施方式：</w:t>
      </w:r>
    </w:p>
    <w:p w14:paraId="51995267" w14:textId="77777777" w:rsidR="00882ADE" w:rsidRPr="00882ADE" w:rsidRDefault="00882ADE" w:rsidP="00882ADE">
      <w:pPr>
        <w:widowControl/>
        <w:shd w:val="clear" w:color="auto" w:fill="FFFFFF"/>
        <w:rPr>
          <w:rFonts w:ascii="微軟正黑體" w:eastAsia="微軟正黑體" w:hAnsi="微軟正黑體" w:cs="新細明體" w:hint="eastAsia"/>
          <w:color w:val="444444"/>
          <w:kern w:val="0"/>
          <w:szCs w:val="24"/>
        </w:rPr>
      </w:pPr>
      <w:r w:rsidRPr="00882ADE">
        <w:rPr>
          <w:rFonts w:ascii="微軟正黑體" w:eastAsia="微軟正黑體" w:hAnsi="微軟正黑體" w:cs="新細明體" w:hint="eastAsia"/>
          <w:color w:val="444444"/>
          <w:kern w:val="0"/>
          <w:szCs w:val="24"/>
        </w:rPr>
        <w:t>（一） 五專部：四年級第二學期結束前通過表列其中一項測驗，並將通過之成績證明文件（正本及影本）於四年級第二學期結束前送至本系辦公室登錄，以作為該項「財金專業能力鑑定」通過之評定依據。</w:t>
      </w:r>
    </w:p>
    <w:p w14:paraId="01FB235F" w14:textId="77777777" w:rsidR="00882ADE" w:rsidRPr="00882ADE" w:rsidRDefault="00882ADE" w:rsidP="00882ADE">
      <w:pPr>
        <w:widowControl/>
        <w:shd w:val="clear" w:color="auto" w:fill="FFFFFF"/>
        <w:rPr>
          <w:rFonts w:ascii="微軟正黑體" w:eastAsia="微軟正黑體" w:hAnsi="微軟正黑體" w:cs="新細明體" w:hint="eastAsia"/>
          <w:color w:val="444444"/>
          <w:kern w:val="0"/>
          <w:szCs w:val="24"/>
        </w:rPr>
      </w:pPr>
      <w:r w:rsidRPr="00882ADE">
        <w:rPr>
          <w:rFonts w:ascii="微軟正黑體" w:eastAsia="微軟正黑體" w:hAnsi="微軟正黑體" w:cs="新細明體" w:hint="eastAsia"/>
          <w:color w:val="444444"/>
          <w:kern w:val="0"/>
          <w:szCs w:val="24"/>
        </w:rPr>
        <w:t>（二） 二技部：一年級第二學期結束前通過表列其中一項測驗，並將通過之成績證明文件（正本及影本）於一年級第二學期結束前送至本系辦公室登錄，以作為該項「財金專業能力鑑定」通過之評定依據。</w:t>
      </w:r>
    </w:p>
    <w:p w14:paraId="1A88A0D9" w14:textId="77777777" w:rsidR="00882ADE" w:rsidRPr="00882ADE" w:rsidRDefault="00882ADE" w:rsidP="00882ADE">
      <w:pPr>
        <w:widowControl/>
        <w:shd w:val="clear" w:color="auto" w:fill="FFFFFF"/>
        <w:rPr>
          <w:rFonts w:ascii="微軟正黑體" w:eastAsia="微軟正黑體" w:hAnsi="微軟正黑體" w:cs="新細明體" w:hint="eastAsia"/>
          <w:color w:val="444444"/>
          <w:kern w:val="0"/>
          <w:szCs w:val="24"/>
        </w:rPr>
      </w:pPr>
      <w:r w:rsidRPr="00882ADE">
        <w:rPr>
          <w:rFonts w:ascii="微軟正黑體" w:eastAsia="微軟正黑體" w:hAnsi="微軟正黑體" w:cs="新細明體" w:hint="eastAsia"/>
          <w:color w:val="444444"/>
          <w:kern w:val="0"/>
          <w:szCs w:val="24"/>
        </w:rPr>
        <w:t>（三） 四技部：</w:t>
      </w:r>
      <w:proofErr w:type="gramStart"/>
      <w:r w:rsidRPr="00882ADE">
        <w:rPr>
          <w:rFonts w:ascii="微軟正黑體" w:eastAsia="微軟正黑體" w:hAnsi="微軟正黑體" w:cs="新細明體" w:hint="eastAsia"/>
          <w:color w:val="444444"/>
          <w:kern w:val="0"/>
          <w:szCs w:val="24"/>
        </w:rPr>
        <w:t>三</w:t>
      </w:r>
      <w:proofErr w:type="gramEnd"/>
      <w:r w:rsidRPr="00882ADE">
        <w:rPr>
          <w:rFonts w:ascii="微軟正黑體" w:eastAsia="微軟正黑體" w:hAnsi="微軟正黑體" w:cs="新細明體" w:hint="eastAsia"/>
          <w:color w:val="444444"/>
          <w:kern w:val="0"/>
          <w:szCs w:val="24"/>
        </w:rPr>
        <w:t>年級第二學期結束前通過表列其中一項測驗，並將通過之成績證明文件（正本及影本）於三年級第二學期結束前送至本系辦公室登錄，以作為該項「財金專業能力鑑定」通過之評定依據。</w:t>
      </w:r>
    </w:p>
    <w:p w14:paraId="068F5431" w14:textId="77777777" w:rsidR="00882ADE" w:rsidRPr="00882ADE" w:rsidRDefault="00882ADE" w:rsidP="00882ADE">
      <w:pPr>
        <w:widowControl/>
        <w:shd w:val="clear" w:color="auto" w:fill="FFFFFF"/>
        <w:rPr>
          <w:rFonts w:ascii="微軟正黑體" w:eastAsia="微軟正黑體" w:hAnsi="微軟正黑體" w:cs="新細明體" w:hint="eastAsia"/>
          <w:color w:val="444444"/>
          <w:kern w:val="0"/>
          <w:szCs w:val="24"/>
        </w:rPr>
      </w:pPr>
      <w:r w:rsidRPr="00882ADE">
        <w:rPr>
          <w:rFonts w:ascii="微軟正黑體" w:eastAsia="微軟正黑體" w:hAnsi="微軟正黑體" w:cs="新細明體" w:hint="eastAsia"/>
          <w:color w:val="444444"/>
          <w:kern w:val="0"/>
          <w:szCs w:val="24"/>
        </w:rPr>
        <w:lastRenderedPageBreak/>
        <w:t>五、 輔導措施：</w:t>
      </w:r>
    </w:p>
    <w:p w14:paraId="439D9E7D" w14:textId="77777777" w:rsidR="00882ADE" w:rsidRPr="00882ADE" w:rsidRDefault="00882ADE" w:rsidP="00882ADE">
      <w:pPr>
        <w:widowControl/>
        <w:shd w:val="clear" w:color="auto" w:fill="FFFFFF"/>
        <w:rPr>
          <w:rFonts w:ascii="微軟正黑體" w:eastAsia="微軟正黑體" w:hAnsi="微軟正黑體" w:cs="新細明體" w:hint="eastAsia"/>
          <w:color w:val="444444"/>
          <w:kern w:val="0"/>
          <w:szCs w:val="24"/>
        </w:rPr>
      </w:pPr>
      <w:r w:rsidRPr="00882ADE">
        <w:rPr>
          <w:rFonts w:ascii="微軟正黑體" w:eastAsia="微軟正黑體" w:hAnsi="微軟正黑體" w:cs="新細明體" w:hint="eastAsia"/>
          <w:color w:val="444444"/>
          <w:kern w:val="0"/>
          <w:szCs w:val="24"/>
        </w:rPr>
        <w:t>（一） 本系學生如經參加兩次考試以上且未能於前述第四點規定期限內通過財金專業能力畢業門檻標準者，應於五年級（五專部）、二年級（二技部）、四年級（四技部）修習一學期0學分、每週2小時之「財金專業證照」課程，以密集方式</w:t>
      </w:r>
      <w:proofErr w:type="gramStart"/>
      <w:r w:rsidRPr="00882ADE">
        <w:rPr>
          <w:rFonts w:ascii="微軟正黑體" w:eastAsia="微軟正黑體" w:hAnsi="微軟正黑體" w:cs="新細明體" w:hint="eastAsia"/>
          <w:color w:val="444444"/>
          <w:kern w:val="0"/>
          <w:szCs w:val="24"/>
        </w:rPr>
        <w:t>加強其財金</w:t>
      </w:r>
      <w:proofErr w:type="gramEnd"/>
      <w:r w:rsidRPr="00882ADE">
        <w:rPr>
          <w:rFonts w:ascii="微軟正黑體" w:eastAsia="微軟正黑體" w:hAnsi="微軟正黑體" w:cs="新細明體" w:hint="eastAsia"/>
          <w:color w:val="444444"/>
          <w:kern w:val="0"/>
          <w:szCs w:val="24"/>
        </w:rPr>
        <w:t>能力，並通過課堂測驗後始得畢業。</w:t>
      </w:r>
    </w:p>
    <w:p w14:paraId="10D5EE37" w14:textId="77777777" w:rsidR="00882ADE" w:rsidRPr="00882ADE" w:rsidRDefault="00882ADE" w:rsidP="00882ADE">
      <w:pPr>
        <w:widowControl/>
        <w:shd w:val="clear" w:color="auto" w:fill="FFFFFF"/>
        <w:rPr>
          <w:rFonts w:ascii="微軟正黑體" w:eastAsia="微軟正黑體" w:hAnsi="微軟正黑體" w:cs="新細明體" w:hint="eastAsia"/>
          <w:color w:val="444444"/>
          <w:kern w:val="0"/>
          <w:szCs w:val="24"/>
        </w:rPr>
      </w:pPr>
      <w:r w:rsidRPr="00882ADE">
        <w:rPr>
          <w:rFonts w:ascii="微軟正黑體" w:eastAsia="微軟正黑體" w:hAnsi="微軟正黑體" w:cs="新細明體" w:hint="eastAsia"/>
          <w:color w:val="444444"/>
          <w:kern w:val="0"/>
          <w:szCs w:val="24"/>
        </w:rPr>
        <w:t>（二） 有關「財金專業證照」課程之教師授課鐘點費支付標準，悉依本校相關規定辦理。</w:t>
      </w:r>
    </w:p>
    <w:p w14:paraId="7A206E6C" w14:textId="77777777" w:rsidR="00882ADE" w:rsidRPr="00882ADE" w:rsidRDefault="00882ADE" w:rsidP="00882ADE">
      <w:pPr>
        <w:widowControl/>
        <w:shd w:val="clear" w:color="auto" w:fill="FFFFFF"/>
        <w:rPr>
          <w:rFonts w:ascii="微軟正黑體" w:eastAsia="微軟正黑體" w:hAnsi="微軟正黑體" w:cs="新細明體" w:hint="eastAsia"/>
          <w:color w:val="444444"/>
          <w:kern w:val="0"/>
          <w:szCs w:val="24"/>
        </w:rPr>
      </w:pPr>
      <w:r w:rsidRPr="00882ADE">
        <w:rPr>
          <w:rFonts w:ascii="微軟正黑體" w:eastAsia="微軟正黑體" w:hAnsi="微軟正黑體" w:cs="新細明體" w:hint="eastAsia"/>
          <w:color w:val="444444"/>
          <w:kern w:val="0"/>
          <w:szCs w:val="24"/>
        </w:rPr>
        <w:t>六、 本要點適用於104學年度起入學之本系（科）學生，並自104學年度起於課程科目表內註明</w:t>
      </w:r>
      <w:proofErr w:type="gramStart"/>
      <w:r w:rsidRPr="00882ADE">
        <w:rPr>
          <w:rFonts w:ascii="微軟正黑體" w:eastAsia="微軟正黑體" w:hAnsi="微軟正黑體" w:cs="新細明體" w:hint="eastAsia"/>
          <w:color w:val="444444"/>
          <w:kern w:val="0"/>
          <w:szCs w:val="24"/>
        </w:rPr>
        <w:t>本系財金</w:t>
      </w:r>
      <w:proofErr w:type="gramEnd"/>
      <w:r w:rsidRPr="00882ADE">
        <w:rPr>
          <w:rFonts w:ascii="微軟正黑體" w:eastAsia="微軟正黑體" w:hAnsi="微軟正黑體" w:cs="新細明體" w:hint="eastAsia"/>
          <w:color w:val="444444"/>
          <w:kern w:val="0"/>
          <w:szCs w:val="24"/>
        </w:rPr>
        <w:t>專業能力畢業門檻之規定。</w:t>
      </w:r>
    </w:p>
    <w:p w14:paraId="49391926" w14:textId="77777777" w:rsidR="00882ADE" w:rsidRPr="00882ADE" w:rsidRDefault="00882ADE" w:rsidP="00882ADE">
      <w:pPr>
        <w:widowControl/>
        <w:shd w:val="clear" w:color="auto" w:fill="FFFFFF"/>
        <w:rPr>
          <w:rFonts w:ascii="微軟正黑體" w:eastAsia="微軟正黑體" w:hAnsi="微軟正黑體" w:cs="新細明體" w:hint="eastAsia"/>
          <w:color w:val="444444"/>
          <w:kern w:val="0"/>
          <w:szCs w:val="24"/>
        </w:rPr>
      </w:pPr>
      <w:r w:rsidRPr="00882ADE">
        <w:rPr>
          <w:rFonts w:ascii="微軟正黑體" w:eastAsia="微軟正黑體" w:hAnsi="微軟正黑體" w:cs="新細明體" w:hint="eastAsia"/>
          <w:color w:val="444444"/>
          <w:kern w:val="0"/>
          <w:szCs w:val="24"/>
        </w:rPr>
        <w:t>七、 本要點經系課程委員會、系</w:t>
      </w:r>
      <w:proofErr w:type="gramStart"/>
      <w:r w:rsidRPr="00882ADE">
        <w:rPr>
          <w:rFonts w:ascii="微軟正黑體" w:eastAsia="微軟正黑體" w:hAnsi="微軟正黑體" w:cs="新細明體" w:hint="eastAsia"/>
          <w:color w:val="444444"/>
          <w:kern w:val="0"/>
          <w:szCs w:val="24"/>
        </w:rPr>
        <w:t>務</w:t>
      </w:r>
      <w:proofErr w:type="gramEnd"/>
      <w:r w:rsidRPr="00882ADE">
        <w:rPr>
          <w:rFonts w:ascii="微軟正黑體" w:eastAsia="微軟正黑體" w:hAnsi="微軟正黑體" w:cs="新細明體" w:hint="eastAsia"/>
          <w:color w:val="444444"/>
          <w:kern w:val="0"/>
          <w:szCs w:val="24"/>
        </w:rPr>
        <w:t>會議通過，並送院、校課程委員會及教務會議核備後實施，修正時亦同。</w:t>
      </w:r>
    </w:p>
    <w:p w14:paraId="1FC6335A" w14:textId="77777777" w:rsidR="002C5A58" w:rsidRDefault="002C5A58"/>
    <w:sectPr w:rsidR="002C5A5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ADE"/>
    <w:rsid w:val="002C5A58"/>
    <w:rsid w:val="00882A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DB511"/>
  <w15:chartTrackingRefBased/>
  <w15:docId w15:val="{24B909FF-A5E5-46E2-8D16-A1FCB5460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tab-span">
    <w:name w:val="apple-tab-span"/>
    <w:basedOn w:val="a0"/>
    <w:rsid w:val="00882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425253">
      <w:bodyDiv w:val="1"/>
      <w:marLeft w:val="0"/>
      <w:marRight w:val="0"/>
      <w:marTop w:val="0"/>
      <w:marBottom w:val="0"/>
      <w:divBdr>
        <w:top w:val="none" w:sz="0" w:space="0" w:color="auto"/>
        <w:left w:val="none" w:sz="0" w:space="0" w:color="auto"/>
        <w:bottom w:val="none" w:sz="0" w:space="0" w:color="auto"/>
        <w:right w:val="none" w:sz="0" w:space="0" w:color="auto"/>
      </w:divBdr>
      <w:divsChild>
        <w:div w:id="1647583787">
          <w:marLeft w:val="0"/>
          <w:marRight w:val="0"/>
          <w:marTop w:val="0"/>
          <w:marBottom w:val="0"/>
          <w:divBdr>
            <w:top w:val="none" w:sz="0" w:space="0" w:color="auto"/>
            <w:left w:val="none" w:sz="0" w:space="0" w:color="auto"/>
            <w:bottom w:val="none" w:sz="0" w:space="0" w:color="auto"/>
            <w:right w:val="none" w:sz="0" w:space="0" w:color="auto"/>
          </w:divBdr>
        </w:div>
        <w:div w:id="1309438991">
          <w:marLeft w:val="0"/>
          <w:marRight w:val="0"/>
          <w:marTop w:val="0"/>
          <w:marBottom w:val="0"/>
          <w:divBdr>
            <w:top w:val="none" w:sz="0" w:space="0" w:color="auto"/>
            <w:left w:val="none" w:sz="0" w:space="0" w:color="auto"/>
            <w:bottom w:val="none" w:sz="0" w:space="0" w:color="auto"/>
            <w:right w:val="none" w:sz="0" w:space="0" w:color="auto"/>
          </w:divBdr>
        </w:div>
        <w:div w:id="508065455">
          <w:marLeft w:val="0"/>
          <w:marRight w:val="0"/>
          <w:marTop w:val="0"/>
          <w:marBottom w:val="0"/>
          <w:divBdr>
            <w:top w:val="none" w:sz="0" w:space="0" w:color="auto"/>
            <w:left w:val="none" w:sz="0" w:space="0" w:color="auto"/>
            <w:bottom w:val="none" w:sz="0" w:space="0" w:color="auto"/>
            <w:right w:val="none" w:sz="0" w:space="0" w:color="auto"/>
          </w:divBdr>
        </w:div>
        <w:div w:id="1305699584">
          <w:marLeft w:val="0"/>
          <w:marRight w:val="0"/>
          <w:marTop w:val="0"/>
          <w:marBottom w:val="0"/>
          <w:divBdr>
            <w:top w:val="none" w:sz="0" w:space="0" w:color="auto"/>
            <w:left w:val="none" w:sz="0" w:space="0" w:color="auto"/>
            <w:bottom w:val="none" w:sz="0" w:space="0" w:color="auto"/>
            <w:right w:val="none" w:sz="0" w:space="0" w:color="auto"/>
          </w:divBdr>
        </w:div>
        <w:div w:id="1352805144">
          <w:marLeft w:val="0"/>
          <w:marRight w:val="0"/>
          <w:marTop w:val="0"/>
          <w:marBottom w:val="0"/>
          <w:divBdr>
            <w:top w:val="none" w:sz="0" w:space="0" w:color="auto"/>
            <w:left w:val="none" w:sz="0" w:space="0" w:color="auto"/>
            <w:bottom w:val="none" w:sz="0" w:space="0" w:color="auto"/>
            <w:right w:val="none" w:sz="0" w:space="0" w:color="auto"/>
          </w:divBdr>
        </w:div>
        <w:div w:id="1435127366">
          <w:marLeft w:val="0"/>
          <w:marRight w:val="0"/>
          <w:marTop w:val="0"/>
          <w:marBottom w:val="0"/>
          <w:divBdr>
            <w:top w:val="none" w:sz="0" w:space="0" w:color="auto"/>
            <w:left w:val="none" w:sz="0" w:space="0" w:color="auto"/>
            <w:bottom w:val="none" w:sz="0" w:space="0" w:color="auto"/>
            <w:right w:val="none" w:sz="0" w:space="0" w:color="auto"/>
          </w:divBdr>
        </w:div>
        <w:div w:id="1617638610">
          <w:marLeft w:val="0"/>
          <w:marRight w:val="0"/>
          <w:marTop w:val="0"/>
          <w:marBottom w:val="0"/>
          <w:divBdr>
            <w:top w:val="none" w:sz="0" w:space="0" w:color="auto"/>
            <w:left w:val="none" w:sz="0" w:space="0" w:color="auto"/>
            <w:bottom w:val="none" w:sz="0" w:space="0" w:color="auto"/>
            <w:right w:val="none" w:sz="0" w:space="0" w:color="auto"/>
          </w:divBdr>
        </w:div>
        <w:div w:id="2080014326">
          <w:marLeft w:val="0"/>
          <w:marRight w:val="0"/>
          <w:marTop w:val="0"/>
          <w:marBottom w:val="0"/>
          <w:divBdr>
            <w:top w:val="none" w:sz="0" w:space="0" w:color="auto"/>
            <w:left w:val="none" w:sz="0" w:space="0" w:color="auto"/>
            <w:bottom w:val="none" w:sz="0" w:space="0" w:color="auto"/>
            <w:right w:val="none" w:sz="0" w:space="0" w:color="auto"/>
          </w:divBdr>
        </w:div>
        <w:div w:id="1034647600">
          <w:marLeft w:val="0"/>
          <w:marRight w:val="0"/>
          <w:marTop w:val="0"/>
          <w:marBottom w:val="0"/>
          <w:divBdr>
            <w:top w:val="none" w:sz="0" w:space="0" w:color="auto"/>
            <w:left w:val="none" w:sz="0" w:space="0" w:color="auto"/>
            <w:bottom w:val="none" w:sz="0" w:space="0" w:color="auto"/>
            <w:right w:val="none" w:sz="0" w:space="0" w:color="auto"/>
          </w:divBdr>
        </w:div>
        <w:div w:id="2127116009">
          <w:marLeft w:val="0"/>
          <w:marRight w:val="0"/>
          <w:marTop w:val="0"/>
          <w:marBottom w:val="0"/>
          <w:divBdr>
            <w:top w:val="none" w:sz="0" w:space="0" w:color="auto"/>
            <w:left w:val="none" w:sz="0" w:space="0" w:color="auto"/>
            <w:bottom w:val="none" w:sz="0" w:space="0" w:color="auto"/>
            <w:right w:val="none" w:sz="0" w:space="0" w:color="auto"/>
          </w:divBdr>
        </w:div>
        <w:div w:id="837353907">
          <w:marLeft w:val="0"/>
          <w:marRight w:val="0"/>
          <w:marTop w:val="0"/>
          <w:marBottom w:val="0"/>
          <w:divBdr>
            <w:top w:val="none" w:sz="0" w:space="0" w:color="auto"/>
            <w:left w:val="none" w:sz="0" w:space="0" w:color="auto"/>
            <w:bottom w:val="none" w:sz="0" w:space="0" w:color="auto"/>
            <w:right w:val="none" w:sz="0" w:space="0" w:color="auto"/>
          </w:divBdr>
        </w:div>
        <w:div w:id="1002898342">
          <w:marLeft w:val="0"/>
          <w:marRight w:val="0"/>
          <w:marTop w:val="0"/>
          <w:marBottom w:val="0"/>
          <w:divBdr>
            <w:top w:val="none" w:sz="0" w:space="0" w:color="auto"/>
            <w:left w:val="none" w:sz="0" w:space="0" w:color="auto"/>
            <w:bottom w:val="none" w:sz="0" w:space="0" w:color="auto"/>
            <w:right w:val="none" w:sz="0" w:space="0" w:color="auto"/>
          </w:divBdr>
        </w:div>
        <w:div w:id="2016610572">
          <w:marLeft w:val="0"/>
          <w:marRight w:val="0"/>
          <w:marTop w:val="0"/>
          <w:marBottom w:val="0"/>
          <w:divBdr>
            <w:top w:val="none" w:sz="0" w:space="0" w:color="auto"/>
            <w:left w:val="none" w:sz="0" w:space="0" w:color="auto"/>
            <w:bottom w:val="none" w:sz="0" w:space="0" w:color="auto"/>
            <w:right w:val="none" w:sz="0" w:space="0" w:color="auto"/>
          </w:divBdr>
        </w:div>
        <w:div w:id="601425559">
          <w:marLeft w:val="0"/>
          <w:marRight w:val="0"/>
          <w:marTop w:val="0"/>
          <w:marBottom w:val="0"/>
          <w:divBdr>
            <w:top w:val="none" w:sz="0" w:space="0" w:color="auto"/>
            <w:left w:val="none" w:sz="0" w:space="0" w:color="auto"/>
            <w:bottom w:val="none" w:sz="0" w:space="0" w:color="auto"/>
            <w:right w:val="none" w:sz="0" w:space="0" w:color="auto"/>
          </w:divBdr>
        </w:div>
        <w:div w:id="1518229770">
          <w:marLeft w:val="0"/>
          <w:marRight w:val="0"/>
          <w:marTop w:val="0"/>
          <w:marBottom w:val="0"/>
          <w:divBdr>
            <w:top w:val="none" w:sz="0" w:space="0" w:color="auto"/>
            <w:left w:val="none" w:sz="0" w:space="0" w:color="auto"/>
            <w:bottom w:val="none" w:sz="0" w:space="0" w:color="auto"/>
            <w:right w:val="none" w:sz="0" w:space="0" w:color="auto"/>
          </w:divBdr>
        </w:div>
        <w:div w:id="1867979525">
          <w:marLeft w:val="0"/>
          <w:marRight w:val="0"/>
          <w:marTop w:val="0"/>
          <w:marBottom w:val="0"/>
          <w:divBdr>
            <w:top w:val="none" w:sz="0" w:space="0" w:color="auto"/>
            <w:left w:val="none" w:sz="0" w:space="0" w:color="auto"/>
            <w:bottom w:val="none" w:sz="0" w:space="0" w:color="auto"/>
            <w:right w:val="none" w:sz="0" w:space="0" w:color="auto"/>
          </w:divBdr>
        </w:div>
        <w:div w:id="805005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任崎 黃</dc:creator>
  <cp:keywords/>
  <dc:description/>
  <cp:lastModifiedBy>任崎 黃</cp:lastModifiedBy>
  <cp:revision>1</cp:revision>
  <dcterms:created xsi:type="dcterms:W3CDTF">2025-04-18T14:18:00Z</dcterms:created>
  <dcterms:modified xsi:type="dcterms:W3CDTF">2025-04-18T14:18:00Z</dcterms:modified>
</cp:coreProperties>
</file>