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1690E" w14:textId="77777777" w:rsidR="002A234C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AYAN ASIF</w:t>
      </w:r>
    </w:p>
    <w:p w14:paraId="38C81C92" w14:textId="24937E26" w:rsidR="002A234C" w:rsidRDefault="00000000">
      <w:pPr>
        <w:spacing w:after="40"/>
        <w:jc w:val="center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BS Finance &amp; </w:t>
      </w:r>
      <w:r w:rsidR="00544DB8">
        <w:rPr>
          <w:rFonts w:ascii="Arial" w:eastAsia="Arial" w:hAnsi="Arial" w:cs="Arial"/>
          <w:color w:val="444444"/>
          <w:sz w:val="18"/>
          <w:szCs w:val="18"/>
        </w:rPr>
        <w:t>Technology · FAST</w:t>
      </w:r>
      <w:r>
        <w:rPr>
          <w:rFonts w:ascii="Arial" w:eastAsia="Arial" w:hAnsi="Arial" w:cs="Arial"/>
          <w:color w:val="444444"/>
          <w:sz w:val="18"/>
          <w:szCs w:val="18"/>
        </w:rPr>
        <w:t xml:space="preserve">-NUCES, </w:t>
      </w:r>
      <w:r w:rsidR="00544DB8">
        <w:rPr>
          <w:rFonts w:ascii="Arial" w:eastAsia="Arial" w:hAnsi="Arial" w:cs="Arial"/>
          <w:color w:val="444444"/>
          <w:sz w:val="18"/>
          <w:szCs w:val="18"/>
        </w:rPr>
        <w:t>Karachi · Batch</w:t>
      </w:r>
      <w:r>
        <w:rPr>
          <w:rFonts w:ascii="Arial" w:eastAsia="Arial" w:hAnsi="Arial" w:cs="Arial"/>
          <w:color w:val="444444"/>
          <w:sz w:val="18"/>
          <w:szCs w:val="18"/>
        </w:rPr>
        <w:t xml:space="preserve"> 2027</w:t>
      </w:r>
    </w:p>
    <w:p w14:paraId="6FFCE8C0" w14:textId="26AC0FF2" w:rsidR="002A234C" w:rsidRDefault="00000000">
      <w:pPr>
        <w:spacing w:after="60"/>
        <w:jc w:val="center"/>
      </w:pPr>
      <w:r>
        <w:rPr>
          <w:rFonts w:ascii="Arial" w:eastAsia="Arial" w:hAnsi="Arial" w:cs="Arial"/>
          <w:sz w:val="18"/>
          <w:szCs w:val="18"/>
        </w:rPr>
        <w:t xml:space="preserve">+92 335 270 </w:t>
      </w:r>
      <w:r w:rsidR="00544DB8">
        <w:rPr>
          <w:rFonts w:ascii="Arial" w:eastAsia="Arial" w:hAnsi="Arial" w:cs="Arial"/>
          <w:sz w:val="18"/>
          <w:szCs w:val="18"/>
        </w:rPr>
        <w:t>3514 · Karachi</w:t>
      </w:r>
      <w:r>
        <w:rPr>
          <w:rFonts w:ascii="Arial" w:eastAsia="Arial" w:hAnsi="Arial" w:cs="Arial"/>
          <w:sz w:val="18"/>
          <w:szCs w:val="18"/>
        </w:rPr>
        <w:t xml:space="preserve">, </w:t>
      </w:r>
      <w:r w:rsidR="00544DB8">
        <w:rPr>
          <w:rFonts w:ascii="Arial" w:eastAsia="Arial" w:hAnsi="Arial" w:cs="Arial"/>
          <w:sz w:val="18"/>
          <w:szCs w:val="18"/>
        </w:rPr>
        <w:t xml:space="preserve">Pakistan </w:t>
      </w:r>
    </w:p>
    <w:p w14:paraId="5479F42D" w14:textId="77777777" w:rsidR="002A234C" w:rsidRDefault="002A234C">
      <w:pPr>
        <w:pBdr>
          <w:bottom w:val="single" w:sz="8" w:space="1" w:color="000000"/>
        </w:pBdr>
        <w:spacing w:after="120"/>
      </w:pPr>
    </w:p>
    <w:p w14:paraId="659947E0" w14:textId="77777777" w:rsidR="002A234C" w:rsidRDefault="00000000">
      <w:pPr>
        <w:pBdr>
          <w:bottom w:val="single" w:sz="6" w:space="1" w:color="000000"/>
        </w:pBdr>
        <w:spacing w:before="160" w:after="60"/>
      </w:pPr>
      <w:r>
        <w:rPr>
          <w:rFonts w:ascii="Arial" w:eastAsia="Arial" w:hAnsi="Arial" w:cs="Arial"/>
          <w:b/>
          <w:bCs/>
          <w:color w:val="000000"/>
        </w:rPr>
        <w:t>PROFILE</w:t>
      </w:r>
    </w:p>
    <w:p w14:paraId="44673AEF" w14:textId="77777777" w:rsidR="002A234C" w:rsidRDefault="00000000">
      <w:pPr>
        <w:spacing w:before="40" w:after="40"/>
      </w:pPr>
      <w:r>
        <w:rPr>
          <w:rFonts w:ascii="Arial" w:eastAsia="Arial" w:hAnsi="Arial" w:cs="Arial"/>
          <w:color w:val="000000"/>
          <w:sz w:val="18"/>
          <w:szCs w:val="18"/>
        </w:rPr>
        <w:t>Third-year BS Finance &amp; Technology student at FAST-NUCES, Karachi, with a proactive mindset and a genuine passion for FMCG marketing and brand growth. I combine strong financial knowledge with creative, consumer-driven thinking — and a deep curiosity about what moves markets. Having independently studied over 50 global FMCG, D2C, and marketing cases, I understand consumer insight, what drives brand growth, and what wins on shelf. Innovative by nature and eager to contribute to real business challenges from Day 1.</w:t>
      </w:r>
    </w:p>
    <w:p w14:paraId="474CC581" w14:textId="77777777" w:rsidR="002A234C" w:rsidRDefault="00000000">
      <w:pPr>
        <w:pBdr>
          <w:bottom w:val="single" w:sz="6" w:space="1" w:color="000000"/>
        </w:pBdr>
        <w:spacing w:before="160" w:after="60"/>
      </w:pPr>
      <w:r>
        <w:rPr>
          <w:rFonts w:ascii="Arial" w:eastAsia="Arial" w:hAnsi="Arial" w:cs="Arial"/>
          <w:b/>
          <w:bCs/>
          <w:color w:val="000000"/>
        </w:rPr>
        <w:t>WORK EXPERIENCE</w:t>
      </w:r>
    </w:p>
    <w:p w14:paraId="6741C82B" w14:textId="7E60371A" w:rsidR="002A234C" w:rsidRDefault="00000000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000000"/>
        </w:rPr>
        <w:t xml:space="preserve">Business Analyst </w:t>
      </w:r>
      <w:r w:rsidR="00544DB8">
        <w:rPr>
          <w:rFonts w:ascii="Arial" w:eastAsia="Arial" w:hAnsi="Arial" w:cs="Arial"/>
          <w:b/>
          <w:bCs/>
          <w:color w:val="000000"/>
        </w:rPr>
        <w:t>Intern — Encephalon</w:t>
      </w:r>
      <w:r>
        <w:rPr>
          <w:rFonts w:ascii="Arial" w:eastAsia="Arial" w:hAnsi="Arial" w:cs="Arial"/>
          <w:b/>
          <w:bCs/>
          <w:color w:val="000000"/>
        </w:rPr>
        <w:t xml:space="preserve"> Management Systems</w:t>
      </w:r>
      <w:r>
        <w:rPr>
          <w:rFonts w:ascii="Arial" w:eastAsia="Arial" w:hAnsi="Arial" w:cs="Arial"/>
          <w:color w:val="000000"/>
        </w:rPr>
        <w:tab/>
      </w:r>
      <w:r w:rsidR="00544DB8">
        <w:rPr>
          <w:rFonts w:ascii="Arial" w:eastAsia="Arial" w:hAnsi="Arial" w:cs="Arial"/>
          <w:color w:val="000000"/>
        </w:rPr>
        <w:t>March 2026-May 2026</w:t>
      </w:r>
    </w:p>
    <w:p w14:paraId="61A8FF72" w14:textId="77777777" w:rsidR="002A234C" w:rsidRDefault="00000000">
      <w:pPr>
        <w:spacing w:before="20" w:after="20"/>
        <w:ind w:left="360" w:hanging="200"/>
      </w:pPr>
      <w:r>
        <w:rPr>
          <w:rFonts w:ascii="Arial" w:eastAsia="Arial" w:hAnsi="Arial" w:cs="Arial"/>
          <w:color w:val="000000"/>
          <w:sz w:val="18"/>
          <w:szCs w:val="18"/>
        </w:rPr>
        <w:t>–  Translated raw clinical and operational data into structured KPIs to support executive decision-making.</w:t>
      </w:r>
    </w:p>
    <w:p w14:paraId="2B5CB2D9" w14:textId="77777777" w:rsidR="002A234C" w:rsidRDefault="00000000">
      <w:pPr>
        <w:spacing w:before="20" w:after="20"/>
        <w:ind w:left="360" w:hanging="200"/>
      </w:pPr>
      <w:r>
        <w:rPr>
          <w:rFonts w:ascii="Arial" w:eastAsia="Arial" w:hAnsi="Arial" w:cs="Arial"/>
          <w:color w:val="000000"/>
          <w:sz w:val="18"/>
          <w:szCs w:val="18"/>
        </w:rPr>
        <w:t>–  Evaluated business decisions by conducting variance analysis and benchmarking against performance targets.</w:t>
      </w:r>
    </w:p>
    <w:p w14:paraId="1E460108" w14:textId="77777777" w:rsidR="002A234C" w:rsidRDefault="00000000">
      <w:pPr>
        <w:spacing w:before="20" w:after="20"/>
        <w:ind w:left="360" w:hanging="200"/>
      </w:pPr>
      <w:r>
        <w:rPr>
          <w:rFonts w:ascii="Arial" w:eastAsia="Arial" w:hAnsi="Arial" w:cs="Arial"/>
          <w:color w:val="000000"/>
          <w:sz w:val="18"/>
          <w:szCs w:val="18"/>
        </w:rPr>
        <w:t>–  Monitored and reported on employee productivity, identifying workflow gaps and proposing process improvements.</w:t>
      </w:r>
    </w:p>
    <w:p w14:paraId="7EA24D58" w14:textId="77777777" w:rsidR="002A234C" w:rsidRDefault="00000000">
      <w:pPr>
        <w:spacing w:before="20" w:after="20"/>
        <w:ind w:left="360" w:hanging="200"/>
      </w:pPr>
      <w:r>
        <w:rPr>
          <w:rFonts w:ascii="Arial" w:eastAsia="Arial" w:hAnsi="Arial" w:cs="Arial"/>
          <w:color w:val="000000"/>
          <w:sz w:val="18"/>
          <w:szCs w:val="18"/>
        </w:rPr>
        <w:t>–  Performed detailed work analysis of employee practices across departments to inform resource allocation.</w:t>
      </w:r>
    </w:p>
    <w:p w14:paraId="337E2713" w14:textId="77777777" w:rsidR="002A234C" w:rsidRDefault="00000000">
      <w:pPr>
        <w:pBdr>
          <w:bottom w:val="single" w:sz="6" w:space="1" w:color="000000"/>
        </w:pBdr>
        <w:spacing w:before="160" w:after="60"/>
      </w:pPr>
      <w:r>
        <w:rPr>
          <w:rFonts w:ascii="Arial" w:eastAsia="Arial" w:hAnsi="Arial" w:cs="Arial"/>
          <w:b/>
          <w:bCs/>
          <w:color w:val="000000"/>
        </w:rPr>
        <w:t>EDUCATION</w:t>
      </w:r>
    </w:p>
    <w:p w14:paraId="09ADD25B" w14:textId="7E34FDC1" w:rsidR="002A234C" w:rsidRDefault="00000000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000000"/>
        </w:rPr>
        <w:t xml:space="preserve">BS Finance &amp; </w:t>
      </w:r>
      <w:r w:rsidR="00544DB8">
        <w:rPr>
          <w:rFonts w:ascii="Arial" w:eastAsia="Arial" w:hAnsi="Arial" w:cs="Arial"/>
          <w:b/>
          <w:bCs/>
          <w:color w:val="000000"/>
        </w:rPr>
        <w:t>Technology — FAST</w:t>
      </w:r>
      <w:r>
        <w:rPr>
          <w:rFonts w:ascii="Arial" w:eastAsia="Arial" w:hAnsi="Arial" w:cs="Arial"/>
          <w:b/>
          <w:bCs/>
          <w:color w:val="000000"/>
        </w:rPr>
        <w:t>-NUCES, Karachi</w:t>
      </w:r>
      <w:r>
        <w:rPr>
          <w:rFonts w:ascii="Arial" w:eastAsia="Arial" w:hAnsi="Arial" w:cs="Arial"/>
          <w:color w:val="000000"/>
        </w:rPr>
        <w:tab/>
        <w:t>2023 – 2027</w:t>
      </w:r>
    </w:p>
    <w:p w14:paraId="6C6BA75A" w14:textId="56FC903D" w:rsidR="002A234C" w:rsidRDefault="00000000">
      <w:pPr>
        <w:spacing w:after="20"/>
      </w:pPr>
      <w:r>
        <w:rPr>
          <w:rFonts w:ascii="Arial" w:eastAsia="Arial" w:hAnsi="Arial" w:cs="Arial"/>
          <w:i/>
          <w:iCs/>
          <w:color w:val="444444"/>
          <w:sz w:val="18"/>
          <w:szCs w:val="18"/>
        </w:rPr>
        <w:t xml:space="preserve">Currently 3rd </w:t>
      </w:r>
      <w:r w:rsidR="00544DB8">
        <w:rPr>
          <w:rFonts w:ascii="Arial" w:eastAsia="Arial" w:hAnsi="Arial" w:cs="Arial"/>
          <w:i/>
          <w:iCs/>
          <w:color w:val="444444"/>
          <w:sz w:val="18"/>
          <w:szCs w:val="18"/>
        </w:rPr>
        <w:t>Year ·</w:t>
      </w:r>
      <w:r>
        <w:rPr>
          <w:rFonts w:ascii="Arial" w:eastAsia="Arial" w:hAnsi="Arial" w:cs="Arial"/>
          <w:i/>
          <w:iCs/>
          <w:color w:val="444444"/>
          <w:sz w:val="18"/>
          <w:szCs w:val="18"/>
        </w:rPr>
        <w:t xml:space="preserve">  </w:t>
      </w:r>
    </w:p>
    <w:p w14:paraId="79000DAB" w14:textId="6A497B72" w:rsidR="002A234C" w:rsidRDefault="00000000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000000"/>
        </w:rPr>
        <w:t>Intermediate (Pre-</w:t>
      </w:r>
      <w:r w:rsidR="00544DB8">
        <w:rPr>
          <w:rFonts w:ascii="Arial" w:eastAsia="Arial" w:hAnsi="Arial" w:cs="Arial"/>
          <w:b/>
          <w:bCs/>
          <w:color w:val="000000"/>
        </w:rPr>
        <w:t>Engineering) — Govt.</w:t>
      </w:r>
      <w:r>
        <w:rPr>
          <w:rFonts w:ascii="Arial" w:eastAsia="Arial" w:hAnsi="Arial" w:cs="Arial"/>
          <w:b/>
          <w:bCs/>
          <w:color w:val="000000"/>
        </w:rPr>
        <w:t xml:space="preserve"> Degree S&amp;C College, Malir Cantt</w:t>
      </w:r>
      <w:r>
        <w:rPr>
          <w:rFonts w:ascii="Arial" w:eastAsia="Arial" w:hAnsi="Arial" w:cs="Arial"/>
          <w:color w:val="000000"/>
        </w:rPr>
        <w:tab/>
        <w:t>2021 – 2023</w:t>
      </w:r>
    </w:p>
    <w:p w14:paraId="12196192" w14:textId="77777777" w:rsidR="002A234C" w:rsidRDefault="00000000">
      <w:pPr>
        <w:pBdr>
          <w:bottom w:val="single" w:sz="6" w:space="1" w:color="000000"/>
        </w:pBdr>
        <w:spacing w:before="160" w:after="60"/>
      </w:pPr>
      <w:r>
        <w:rPr>
          <w:rFonts w:ascii="Arial" w:eastAsia="Arial" w:hAnsi="Arial" w:cs="Arial"/>
          <w:b/>
          <w:bCs/>
          <w:color w:val="000000"/>
        </w:rPr>
        <w:t>KNOWLEDGE &amp; COURSEWORK</w:t>
      </w:r>
    </w:p>
    <w:p w14:paraId="72C0C8AC" w14:textId="3A12731A" w:rsidR="002A234C" w:rsidRDefault="00000000">
      <w:pPr>
        <w:spacing w:before="20" w:after="20"/>
        <w:ind w:left="360" w:hanging="20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–  Business </w:t>
      </w:r>
      <w:r w:rsidR="00544DB8">
        <w:rPr>
          <w:rFonts w:ascii="Arial" w:eastAsia="Arial" w:hAnsi="Arial" w:cs="Arial"/>
          <w:color w:val="000000"/>
          <w:sz w:val="18"/>
          <w:szCs w:val="18"/>
        </w:rPr>
        <w:t>Finance — Capital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budgeting, ROI modelling, and cost-benefit analysis applied to real marketing decisions.</w:t>
      </w:r>
    </w:p>
    <w:p w14:paraId="68DF55E2" w14:textId="75489536" w:rsidR="002A234C" w:rsidRDefault="00000000">
      <w:pPr>
        <w:spacing w:before="20" w:after="20"/>
        <w:ind w:left="360" w:hanging="20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–  Consumer &amp; Market </w:t>
      </w:r>
      <w:r w:rsidR="00544DB8">
        <w:rPr>
          <w:rFonts w:ascii="Arial" w:eastAsia="Arial" w:hAnsi="Arial" w:cs="Arial"/>
          <w:color w:val="000000"/>
          <w:sz w:val="18"/>
          <w:szCs w:val="18"/>
        </w:rPr>
        <w:t>Economics — Demand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elasticity, pricing strategy, consumer spending </w:t>
      </w:r>
      <w:r w:rsidR="00544DB8">
        <w:rPr>
          <w:rFonts w:ascii="Arial" w:eastAsia="Arial" w:hAnsi="Arial" w:cs="Arial"/>
          <w:color w:val="000000"/>
          <w:sz w:val="18"/>
          <w:szCs w:val="18"/>
        </w:rPr>
        <w:t>behavior</w:t>
      </w:r>
      <w:r>
        <w:rPr>
          <w:rFonts w:ascii="Arial" w:eastAsia="Arial" w:hAnsi="Arial" w:cs="Arial"/>
          <w:color w:val="000000"/>
          <w:sz w:val="18"/>
          <w:szCs w:val="18"/>
        </w:rPr>
        <w:t>, and retail margin dynamics.</w:t>
      </w:r>
    </w:p>
    <w:p w14:paraId="5AEEB26A" w14:textId="6F83205B" w:rsidR="002A234C" w:rsidRDefault="00000000">
      <w:pPr>
        <w:spacing w:before="20" w:after="20"/>
        <w:ind w:left="360" w:hanging="20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–  50+ Case </w:t>
      </w:r>
      <w:r w:rsidR="00544DB8">
        <w:rPr>
          <w:rFonts w:ascii="Arial" w:eastAsia="Arial" w:hAnsi="Arial" w:cs="Arial"/>
          <w:color w:val="000000"/>
          <w:sz w:val="18"/>
          <w:szCs w:val="18"/>
        </w:rPr>
        <w:t>Studies — Independently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544DB8">
        <w:rPr>
          <w:rFonts w:ascii="Arial" w:eastAsia="Arial" w:hAnsi="Arial" w:cs="Arial"/>
          <w:color w:val="000000"/>
          <w:sz w:val="18"/>
          <w:szCs w:val="18"/>
        </w:rPr>
        <w:t>analyzed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global FMCG, D2C, and marketing cases covering brand repositioning, go-to-market strategy, segmentation, and market entry.</w:t>
      </w:r>
    </w:p>
    <w:p w14:paraId="123F7B41" w14:textId="77777777" w:rsidR="002A234C" w:rsidRDefault="00000000">
      <w:pPr>
        <w:pBdr>
          <w:bottom w:val="single" w:sz="6" w:space="1" w:color="000000"/>
        </w:pBdr>
        <w:spacing w:before="160" w:after="60"/>
      </w:pPr>
      <w:r>
        <w:rPr>
          <w:rFonts w:ascii="Arial" w:eastAsia="Arial" w:hAnsi="Arial" w:cs="Arial"/>
          <w:b/>
          <w:bCs/>
          <w:color w:val="000000"/>
        </w:rPr>
        <w:t>PROJECTS</w:t>
      </w:r>
    </w:p>
    <w:p w14:paraId="286831EC" w14:textId="6B5D151A" w:rsidR="002A234C" w:rsidRDefault="00000000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000000"/>
        </w:rPr>
        <w:t xml:space="preserve">Financial Accounting </w:t>
      </w:r>
      <w:r w:rsidR="00544DB8">
        <w:rPr>
          <w:rFonts w:ascii="Arial" w:eastAsia="Arial" w:hAnsi="Arial" w:cs="Arial"/>
          <w:b/>
          <w:bCs/>
          <w:color w:val="000000"/>
        </w:rPr>
        <w:t>Report — National</w:t>
      </w:r>
      <w:r>
        <w:rPr>
          <w:rFonts w:ascii="Arial" w:eastAsia="Arial" w:hAnsi="Arial" w:cs="Arial"/>
          <w:b/>
          <w:bCs/>
          <w:color w:val="000000"/>
        </w:rPr>
        <w:t xml:space="preserve"> Company Analysis</w:t>
      </w:r>
      <w:r>
        <w:rPr>
          <w:rFonts w:ascii="Arial" w:eastAsia="Arial" w:hAnsi="Arial" w:cs="Arial"/>
          <w:color w:val="000000"/>
        </w:rPr>
        <w:tab/>
        <w:t>202</w:t>
      </w:r>
      <w:r w:rsidR="00544DB8">
        <w:rPr>
          <w:rFonts w:ascii="Arial" w:eastAsia="Arial" w:hAnsi="Arial" w:cs="Arial"/>
          <w:color w:val="000000"/>
        </w:rPr>
        <w:t>5</w:t>
      </w:r>
    </w:p>
    <w:p w14:paraId="40500540" w14:textId="77777777" w:rsidR="002A234C" w:rsidRDefault="00000000">
      <w:pPr>
        <w:spacing w:before="20" w:after="20"/>
        <w:ind w:left="360" w:hanging="200"/>
      </w:pPr>
      <w:r>
        <w:rPr>
          <w:rFonts w:ascii="Arial" w:eastAsia="Arial" w:hAnsi="Arial" w:cs="Arial"/>
          <w:color w:val="000000"/>
          <w:sz w:val="18"/>
          <w:szCs w:val="18"/>
        </w:rPr>
        <w:t>–  Prepared a comprehensive financial accounting report evaluating a national company's P&amp;L, balance sheet, and cash flow statements with strategic commentary.</w:t>
      </w:r>
    </w:p>
    <w:p w14:paraId="58E62BE9" w14:textId="1E9605D1" w:rsidR="002A234C" w:rsidRDefault="00000000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000000"/>
        </w:rPr>
        <w:t xml:space="preserve">Stock </w:t>
      </w:r>
      <w:r w:rsidR="00544DB8">
        <w:rPr>
          <w:rFonts w:ascii="Arial" w:eastAsia="Arial" w:hAnsi="Arial" w:cs="Arial"/>
          <w:b/>
          <w:bCs/>
          <w:color w:val="000000"/>
        </w:rPr>
        <w:t>Analysis — Multi</w:t>
      </w:r>
      <w:r>
        <w:rPr>
          <w:rFonts w:ascii="Arial" w:eastAsia="Arial" w:hAnsi="Arial" w:cs="Arial"/>
          <w:b/>
          <w:bCs/>
          <w:color w:val="000000"/>
        </w:rPr>
        <w:t>-Company Comparative Study</w:t>
      </w:r>
      <w:r>
        <w:rPr>
          <w:rFonts w:ascii="Arial" w:eastAsia="Arial" w:hAnsi="Arial" w:cs="Arial"/>
          <w:color w:val="000000"/>
        </w:rPr>
        <w:tab/>
        <w:t>202</w:t>
      </w:r>
      <w:r w:rsidR="00544DB8">
        <w:rPr>
          <w:rFonts w:ascii="Arial" w:eastAsia="Arial" w:hAnsi="Arial" w:cs="Arial"/>
          <w:color w:val="000000"/>
        </w:rPr>
        <w:t>5</w:t>
      </w:r>
    </w:p>
    <w:p w14:paraId="112F6450" w14:textId="77777777" w:rsidR="002A234C" w:rsidRDefault="00000000">
      <w:pPr>
        <w:spacing w:before="20" w:after="20"/>
        <w:ind w:left="360" w:hanging="200"/>
      </w:pPr>
      <w:r>
        <w:rPr>
          <w:rFonts w:ascii="Arial" w:eastAsia="Arial" w:hAnsi="Arial" w:cs="Arial"/>
          <w:color w:val="000000"/>
          <w:sz w:val="18"/>
          <w:szCs w:val="18"/>
        </w:rPr>
        <w:t>–  Conducted in-depth stock analysis across multiple publicly listed companies, evaluating valuation metrics, earnings trends, and investment outlook.</w:t>
      </w:r>
    </w:p>
    <w:p w14:paraId="6227FC4B" w14:textId="77777777" w:rsidR="002A234C" w:rsidRDefault="00000000">
      <w:pPr>
        <w:pBdr>
          <w:bottom w:val="single" w:sz="6" w:space="1" w:color="000000"/>
        </w:pBdr>
        <w:spacing w:before="160" w:after="60"/>
      </w:pPr>
      <w:r>
        <w:rPr>
          <w:rFonts w:ascii="Arial" w:eastAsia="Arial" w:hAnsi="Arial" w:cs="Arial"/>
          <w:b/>
          <w:bCs/>
          <w:color w:val="000000"/>
        </w:rPr>
        <w:t>RESEARCH PAPERS</w:t>
      </w:r>
    </w:p>
    <w:p w14:paraId="57B2D48B" w14:textId="48CBFA80" w:rsidR="00544DB8" w:rsidRDefault="00000000">
      <w:pPr>
        <w:spacing w:before="60" w:after="40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Gen Z Nostalgia Marketing in FMCG: A Pakistan Consumer </w:t>
      </w:r>
      <w:r w:rsidR="00544DB8">
        <w:rPr>
          <w:rFonts w:ascii="Arial" w:eastAsia="Arial" w:hAnsi="Arial" w:cs="Arial"/>
          <w:b/>
          <w:bCs/>
          <w:sz w:val="18"/>
          <w:szCs w:val="18"/>
        </w:rPr>
        <w:t>Study:</w:t>
      </w:r>
      <w:r w:rsidR="00382C8A">
        <w:rPr>
          <w:rFonts w:ascii="Arial" w:eastAsia="Arial" w:hAnsi="Arial" w:cs="Arial"/>
          <w:b/>
          <w:bCs/>
          <w:sz w:val="18"/>
          <w:szCs w:val="18"/>
        </w:rPr>
        <w:t xml:space="preserve"> 2026</w:t>
      </w:r>
    </w:p>
    <w:p w14:paraId="358B8B25" w14:textId="5C36BCA7" w:rsidR="00544DB8" w:rsidRDefault="00544DB8">
      <w:pPr>
        <w:spacing w:before="60" w:after="40"/>
      </w:pPr>
      <w:r>
        <w:rPr>
          <w:rFonts w:ascii="Arial" w:eastAsia="Arial" w:hAnsi="Arial" w:cs="Arial"/>
          <w:b/>
          <w:bCs/>
          <w:sz w:val="18"/>
          <w:szCs w:val="18"/>
        </w:rPr>
        <w:t>The Magnum Company</w:t>
      </w:r>
    </w:p>
    <w:p w14:paraId="2E3562E1" w14:textId="47B7C83F" w:rsidR="00544DB8" w:rsidRPr="00544DB8" w:rsidRDefault="00000000">
      <w:pPr>
        <w:spacing w:before="20" w:after="40"/>
        <w:rPr>
          <w:rFonts w:ascii="Arial" w:eastAsia="Arial" w:hAnsi="Arial" w:cs="Arial"/>
          <w:color w:val="444444"/>
          <w:sz w:val="18"/>
          <w:szCs w:val="18"/>
        </w:rPr>
      </w:pPr>
      <w:r>
        <w:rPr>
          <w:rFonts w:ascii="Arial" w:eastAsia="Arial" w:hAnsi="Arial" w:cs="Arial"/>
          <w:color w:val="444444"/>
          <w:sz w:val="18"/>
          <w:szCs w:val="18"/>
        </w:rPr>
        <w:t>–  Explored emotional distress patterns in Gen Z consumers and their impact on FMCG brand engagement, with a focus on nostalgia-driven marketing effectiveness vs. traditional aspirational advertising in the Pakistani market.</w:t>
      </w:r>
    </w:p>
    <w:p w14:paraId="4F74ABFE" w14:textId="378716D5" w:rsidR="002A234C" w:rsidRPr="00544DB8" w:rsidRDefault="00000000">
      <w:pPr>
        <w:spacing w:before="20" w:after="40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Emotional Branding &amp; Consumer Decision-Making: FMCG Case </w:t>
      </w:r>
      <w:r w:rsidR="007D0E35">
        <w:rPr>
          <w:rFonts w:ascii="Arial" w:eastAsia="Arial" w:hAnsi="Arial" w:cs="Arial"/>
          <w:b/>
          <w:bCs/>
          <w:sz w:val="18"/>
          <w:szCs w:val="18"/>
        </w:rPr>
        <w:t>Analysis:</w:t>
      </w:r>
      <w:r w:rsidR="00382C8A">
        <w:rPr>
          <w:rFonts w:ascii="Arial" w:eastAsia="Arial" w:hAnsi="Arial" w:cs="Arial"/>
          <w:b/>
          <w:bCs/>
          <w:sz w:val="18"/>
          <w:szCs w:val="18"/>
        </w:rPr>
        <w:t xml:space="preserve"> 2026</w:t>
      </w:r>
      <w:r w:rsidR="00544DB8">
        <w:rPr>
          <w:rFonts w:ascii="Arial" w:eastAsia="Arial" w:hAnsi="Arial" w:cs="Arial"/>
          <w:b/>
          <w:bCs/>
          <w:sz w:val="18"/>
          <w:szCs w:val="18"/>
        </w:rPr>
        <w:br/>
        <w:t>The Magnum Company</w:t>
      </w:r>
    </w:p>
    <w:p w14:paraId="49F6FEC6" w14:textId="656F6AC9" w:rsidR="002A234C" w:rsidRDefault="00000000">
      <w:pPr>
        <w:spacing w:before="20" w:after="40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–  </w:t>
      </w:r>
      <w:r w:rsidR="00544DB8">
        <w:rPr>
          <w:rFonts w:ascii="Arial" w:eastAsia="Arial" w:hAnsi="Arial" w:cs="Arial"/>
          <w:color w:val="444444"/>
          <w:sz w:val="18"/>
          <w:szCs w:val="18"/>
        </w:rPr>
        <w:t>Analyzed</w:t>
      </w:r>
      <w:r>
        <w:rPr>
          <w:rFonts w:ascii="Arial" w:eastAsia="Arial" w:hAnsi="Arial" w:cs="Arial"/>
          <w:color w:val="444444"/>
          <w:sz w:val="18"/>
          <w:szCs w:val="18"/>
        </w:rPr>
        <w:t xml:space="preserve"> how emotional branding strategies influence purchase intent across FMCG categories, drawing on 50+ global case studies to identify patterns in consumer insight, brand positioning, and market growth.</w:t>
      </w:r>
    </w:p>
    <w:p w14:paraId="2398C10E" w14:textId="77777777" w:rsidR="002A234C" w:rsidRDefault="00000000">
      <w:pPr>
        <w:pBdr>
          <w:bottom w:val="single" w:sz="6" w:space="1" w:color="000000"/>
        </w:pBdr>
        <w:spacing w:before="160" w:after="60"/>
      </w:pPr>
      <w:r>
        <w:rPr>
          <w:rFonts w:ascii="Arial" w:eastAsia="Arial" w:hAnsi="Arial" w:cs="Arial"/>
          <w:b/>
          <w:bCs/>
          <w:color w:val="000000"/>
        </w:rPr>
        <w:t>SKILLS</w:t>
      </w:r>
    </w:p>
    <w:p w14:paraId="363308BC" w14:textId="3A5079F4" w:rsidR="002A234C" w:rsidRDefault="00000000">
      <w:pPr>
        <w:spacing w:before="30" w:after="3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Marketing:  </w:t>
      </w:r>
      <w:r>
        <w:rPr>
          <w:rFonts w:ascii="Arial" w:eastAsia="Arial" w:hAnsi="Arial" w:cs="Arial"/>
          <w:sz w:val="18"/>
          <w:szCs w:val="18"/>
        </w:rPr>
        <w:t xml:space="preserve">Market </w:t>
      </w:r>
      <w:r w:rsidR="00544DB8">
        <w:rPr>
          <w:rFonts w:ascii="Arial" w:eastAsia="Arial" w:hAnsi="Arial" w:cs="Arial"/>
          <w:sz w:val="18"/>
          <w:szCs w:val="18"/>
        </w:rPr>
        <w:t>Research · Brand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="00544DB8">
        <w:rPr>
          <w:rFonts w:ascii="Arial" w:eastAsia="Arial" w:hAnsi="Arial" w:cs="Arial"/>
          <w:sz w:val="18"/>
          <w:szCs w:val="18"/>
        </w:rPr>
        <w:t>Strategy · Campaign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="00544DB8">
        <w:rPr>
          <w:rFonts w:ascii="Arial" w:eastAsia="Arial" w:hAnsi="Arial" w:cs="Arial"/>
          <w:sz w:val="18"/>
          <w:szCs w:val="18"/>
        </w:rPr>
        <w:t>Planning · Consumer</w:t>
      </w:r>
      <w:r>
        <w:rPr>
          <w:rFonts w:ascii="Arial" w:eastAsia="Arial" w:hAnsi="Arial" w:cs="Arial"/>
          <w:sz w:val="18"/>
          <w:szCs w:val="18"/>
        </w:rPr>
        <w:t xml:space="preserve"> Insights</w:t>
      </w:r>
    </w:p>
    <w:p w14:paraId="5EE2D52F" w14:textId="581BE837" w:rsidR="002A234C" w:rsidRDefault="00000000">
      <w:pPr>
        <w:spacing w:before="30" w:after="30"/>
      </w:pPr>
      <w:r>
        <w:rPr>
          <w:rFonts w:ascii="Arial" w:eastAsia="Arial" w:hAnsi="Arial" w:cs="Arial"/>
          <w:b/>
          <w:bCs/>
          <w:sz w:val="18"/>
          <w:szCs w:val="18"/>
        </w:rPr>
        <w:t>Analytics</w:t>
      </w:r>
      <w:r w:rsidR="00544DB8">
        <w:rPr>
          <w:rFonts w:ascii="Arial" w:eastAsia="Arial" w:hAnsi="Arial" w:cs="Arial"/>
          <w:b/>
          <w:bCs/>
          <w:sz w:val="18"/>
          <w:szCs w:val="18"/>
        </w:rPr>
        <w:t>: Excel</w:t>
      </w:r>
      <w:r>
        <w:rPr>
          <w:rFonts w:ascii="Arial" w:eastAsia="Arial" w:hAnsi="Arial" w:cs="Arial"/>
          <w:sz w:val="18"/>
          <w:szCs w:val="18"/>
        </w:rPr>
        <w:t xml:space="preserve"> (</w:t>
      </w:r>
      <w:r w:rsidR="00544DB8">
        <w:rPr>
          <w:rFonts w:ascii="Arial" w:eastAsia="Arial" w:hAnsi="Arial" w:cs="Arial"/>
          <w:sz w:val="18"/>
          <w:szCs w:val="18"/>
        </w:rPr>
        <w:t>Advanced) Stata · Business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="00544DB8">
        <w:rPr>
          <w:rFonts w:ascii="Arial" w:eastAsia="Arial" w:hAnsi="Arial" w:cs="Arial"/>
          <w:sz w:val="18"/>
          <w:szCs w:val="18"/>
        </w:rPr>
        <w:t>Intelligence · Budgeting</w:t>
      </w:r>
      <w:r>
        <w:rPr>
          <w:rFonts w:ascii="Arial" w:eastAsia="Arial" w:hAnsi="Arial" w:cs="Arial"/>
          <w:sz w:val="18"/>
          <w:szCs w:val="18"/>
        </w:rPr>
        <w:t xml:space="preserve"> &amp; Forecasting</w:t>
      </w:r>
    </w:p>
    <w:p w14:paraId="3F195174" w14:textId="29D782C7" w:rsidR="002A234C" w:rsidRDefault="00000000">
      <w:pPr>
        <w:spacing w:before="30" w:after="3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Finance:  </w:t>
      </w:r>
      <w:r>
        <w:rPr>
          <w:rFonts w:ascii="Arial" w:eastAsia="Arial" w:hAnsi="Arial" w:cs="Arial"/>
          <w:sz w:val="18"/>
          <w:szCs w:val="18"/>
        </w:rPr>
        <w:t xml:space="preserve">Business </w:t>
      </w:r>
      <w:r w:rsidR="00544DB8">
        <w:rPr>
          <w:rFonts w:ascii="Arial" w:eastAsia="Arial" w:hAnsi="Arial" w:cs="Arial"/>
          <w:sz w:val="18"/>
          <w:szCs w:val="18"/>
        </w:rPr>
        <w:t>Finance · Peachtree · Scenario</w:t>
      </w:r>
      <w:r>
        <w:rPr>
          <w:rFonts w:ascii="Arial" w:eastAsia="Arial" w:hAnsi="Arial" w:cs="Arial"/>
          <w:sz w:val="18"/>
          <w:szCs w:val="18"/>
        </w:rPr>
        <w:t xml:space="preserve"> Analysis</w:t>
      </w:r>
    </w:p>
    <w:p w14:paraId="49569FC3" w14:textId="0CB52F31" w:rsidR="002A234C" w:rsidRDefault="00000000">
      <w:pPr>
        <w:spacing w:before="30" w:after="30"/>
      </w:pPr>
      <w:r>
        <w:rPr>
          <w:rFonts w:ascii="Arial" w:eastAsia="Arial" w:hAnsi="Arial" w:cs="Arial"/>
          <w:b/>
          <w:bCs/>
          <w:sz w:val="18"/>
          <w:szCs w:val="18"/>
        </w:rPr>
        <w:t>Soft Skills</w:t>
      </w:r>
      <w:r w:rsidR="00544DB8">
        <w:rPr>
          <w:rFonts w:ascii="Arial" w:eastAsia="Arial" w:hAnsi="Arial" w:cs="Arial"/>
          <w:b/>
          <w:bCs/>
          <w:sz w:val="18"/>
          <w:szCs w:val="18"/>
        </w:rPr>
        <w:t>: Presentations</w:t>
      </w:r>
      <w:r w:rsidR="00544DB8">
        <w:rPr>
          <w:rFonts w:ascii="Arial" w:eastAsia="Arial" w:hAnsi="Arial" w:cs="Arial"/>
          <w:sz w:val="18"/>
          <w:szCs w:val="18"/>
        </w:rPr>
        <w:t xml:space="preserve"> Analytical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="00544DB8">
        <w:rPr>
          <w:rFonts w:ascii="Arial" w:eastAsia="Arial" w:hAnsi="Arial" w:cs="Arial"/>
          <w:sz w:val="18"/>
          <w:szCs w:val="18"/>
        </w:rPr>
        <w:t>Thinking · Collaboration · Initiative · Adaptability · Creative</w:t>
      </w:r>
      <w:r>
        <w:rPr>
          <w:rFonts w:ascii="Arial" w:eastAsia="Arial" w:hAnsi="Arial" w:cs="Arial"/>
          <w:sz w:val="18"/>
          <w:szCs w:val="18"/>
        </w:rPr>
        <w:t xml:space="preserve"> Problem-Solving</w:t>
      </w:r>
    </w:p>
    <w:p w14:paraId="1B3BE6C4" w14:textId="3735FCC1" w:rsidR="002A234C" w:rsidRDefault="002A234C" w:rsidP="00544DB8">
      <w:pPr>
        <w:spacing w:before="120"/>
      </w:pPr>
    </w:p>
    <w:sectPr w:rsidR="002A234C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50E94"/>
    <w:multiLevelType w:val="hybridMultilevel"/>
    <w:tmpl w:val="ABBCD3FE"/>
    <w:lvl w:ilvl="0" w:tplc="501CA206">
      <w:start w:val="1"/>
      <w:numFmt w:val="bullet"/>
      <w:lvlText w:val="●"/>
      <w:lvlJc w:val="left"/>
      <w:pPr>
        <w:ind w:left="720" w:hanging="360"/>
      </w:pPr>
    </w:lvl>
    <w:lvl w:ilvl="1" w:tplc="466E7D56">
      <w:start w:val="1"/>
      <w:numFmt w:val="bullet"/>
      <w:lvlText w:val="○"/>
      <w:lvlJc w:val="left"/>
      <w:pPr>
        <w:ind w:left="1440" w:hanging="360"/>
      </w:pPr>
    </w:lvl>
    <w:lvl w:ilvl="2" w:tplc="BE1260A6">
      <w:start w:val="1"/>
      <w:numFmt w:val="bullet"/>
      <w:lvlText w:val="■"/>
      <w:lvlJc w:val="left"/>
      <w:pPr>
        <w:ind w:left="2160" w:hanging="360"/>
      </w:pPr>
    </w:lvl>
    <w:lvl w:ilvl="3" w:tplc="34DAE2B4">
      <w:start w:val="1"/>
      <w:numFmt w:val="bullet"/>
      <w:lvlText w:val="●"/>
      <w:lvlJc w:val="left"/>
      <w:pPr>
        <w:ind w:left="2880" w:hanging="360"/>
      </w:pPr>
    </w:lvl>
    <w:lvl w:ilvl="4" w:tplc="D52A3E60">
      <w:start w:val="1"/>
      <w:numFmt w:val="bullet"/>
      <w:lvlText w:val="○"/>
      <w:lvlJc w:val="left"/>
      <w:pPr>
        <w:ind w:left="3600" w:hanging="360"/>
      </w:pPr>
    </w:lvl>
    <w:lvl w:ilvl="5" w:tplc="5498B1F0">
      <w:start w:val="1"/>
      <w:numFmt w:val="bullet"/>
      <w:lvlText w:val="■"/>
      <w:lvlJc w:val="left"/>
      <w:pPr>
        <w:ind w:left="4320" w:hanging="360"/>
      </w:pPr>
    </w:lvl>
    <w:lvl w:ilvl="6" w:tplc="F7F64E58">
      <w:start w:val="1"/>
      <w:numFmt w:val="bullet"/>
      <w:lvlText w:val="●"/>
      <w:lvlJc w:val="left"/>
      <w:pPr>
        <w:ind w:left="5040" w:hanging="360"/>
      </w:pPr>
    </w:lvl>
    <w:lvl w:ilvl="7" w:tplc="F5A44F24">
      <w:start w:val="1"/>
      <w:numFmt w:val="bullet"/>
      <w:lvlText w:val="●"/>
      <w:lvlJc w:val="left"/>
      <w:pPr>
        <w:ind w:left="5760" w:hanging="360"/>
      </w:pPr>
    </w:lvl>
    <w:lvl w:ilvl="8" w:tplc="898641DE">
      <w:start w:val="1"/>
      <w:numFmt w:val="bullet"/>
      <w:lvlText w:val="●"/>
      <w:lvlJc w:val="left"/>
      <w:pPr>
        <w:ind w:left="6480" w:hanging="360"/>
      </w:pPr>
    </w:lvl>
  </w:abstractNum>
  <w:num w:numId="1" w16cid:durableId="1483424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34C"/>
    <w:rsid w:val="00105E4D"/>
    <w:rsid w:val="002A234C"/>
    <w:rsid w:val="00382C8A"/>
    <w:rsid w:val="00544DB8"/>
    <w:rsid w:val="00556402"/>
    <w:rsid w:val="007D0E35"/>
    <w:rsid w:val="0082393F"/>
    <w:rsid w:val="00AF4D94"/>
    <w:rsid w:val="00B3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93E2"/>
  <w15:docId w15:val="{77C2D3DC-86AB-4CBE-AB56-4DA4416B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Ayan Khan</cp:lastModifiedBy>
  <cp:revision>11</cp:revision>
  <dcterms:created xsi:type="dcterms:W3CDTF">2026-04-19T15:32:00Z</dcterms:created>
  <dcterms:modified xsi:type="dcterms:W3CDTF">2026-04-19T17:04:00Z</dcterms:modified>
</cp:coreProperties>
</file>