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40"/>
          <w:szCs w:val="40"/>
        </w:rPr>
        <w:t xml:space="preserve">Nub-studio-movil</w:t>
      </w:r>
    </w:p>
    <w:p>
      <w:pPr>
        <w:spacing w:after="300"/>
      </w:pPr>
      <w:r>
        <w:rPr>
          <w:color w:val="555555"/>
          <w:sz w:val="26"/>
          <w:szCs w:val="26"/>
        </w:rPr>
        <w:t xml:space="preserve">Pantallas necesarias — Lado cliente</w:t>
      </w:r>
    </w:p>
    <w:p>
      <w:pPr>
        <w:spacing w:after="200"/>
      </w:pPr>
      <w:r>
        <w:rPr>
          <w:sz w:val="22"/>
          <w:szCs w:val="22"/>
        </w:rPr>
        <w:t xml:space="preserve">Listado de pantallas para cubrir el flujo completo del cliente, desde el primer acceso hasta la compra. La app móvil es exclusiva para clientes; no incluye funciones de administrador ni de artista.</w:t>
      </w:r>
    </w:p>
    <w:p>
      <w:pPr>
        <w:pStyle w:val="Heading1"/>
        <w:spacing w:after="150" w:before="300"/>
      </w:pPr>
      <w:r>
        <w:t xml:space="preserve">1. Autenticación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200"/>
        <w:gridCol w:w="1500"/>
        <w:gridCol w:w="1500"/>
      </w:tblGrid>
      <w:tr>
        <w:trPr>
          <w:tblHeader/>
        </w:trPr>
        <w:tc>
          <w:tcPr>
            <w:tcW w:type="dxa" w:w="1900"/>
            <w:shd w:fill="2F523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Pantalla</w:t>
            </w:r>
          </w:p>
        </w:tc>
        <w:tc>
          <w:tcPr>
            <w:tcW w:type="dxa" w:w="4200"/>
            <w:shd w:fill="2F523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500"/>
            <w:shd w:fill="2F523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Usuario</w:t>
            </w:r>
          </w:p>
        </w:tc>
        <w:tc>
          <w:tcPr>
            <w:tcW w:type="dxa" w:w="1500"/>
            <w:shd w:fill="2F523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Prioridad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Login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Acceso con correo y contraseña.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MVP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Registro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Alta de una cuenta nueva de cliente.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MVP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Cambiar contraseña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Actualizar la contraseña desde la sección de cuenta, estando ya autenticado.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MVP</w:t>
            </w:r>
          </w:p>
        </w:tc>
      </w:tr>
    </w:tbl>
    <w:p>
      <w:pPr>
        <w:pStyle w:val="Heading1"/>
        <w:spacing w:after="150" w:before="300"/>
      </w:pPr>
      <w:r>
        <w:t xml:space="preserve">2. Descubrimiento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200"/>
        <w:gridCol w:w="1500"/>
        <w:gridCol w:w="1500"/>
      </w:tblGrid>
      <w:tr>
        <w:trPr>
          <w:tblHeader/>
        </w:trPr>
        <w:tc>
          <w:tcPr>
            <w:tcW w:type="dxa" w:w="1900"/>
            <w:shd w:fill="2F523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Pantalla</w:t>
            </w:r>
          </w:p>
        </w:tc>
        <w:tc>
          <w:tcPr>
            <w:tcW w:type="dxa" w:w="4200"/>
            <w:shd w:fill="2F523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500"/>
            <w:shd w:fill="2F523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Usuario</w:t>
            </w:r>
          </w:p>
        </w:tc>
        <w:tc>
          <w:tcPr>
            <w:tcW w:type="dxa" w:w="1500"/>
            <w:shd w:fill="2F523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Prioridad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Home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Pantalla de entrada con obras destacadas y acceso directo al catálogo.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MVP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Catálogo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Listado de obras disponibles, con filtros básicos (categoría, precio, etc.).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MVP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Detalle de obra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Información completa de la obra: imágenes, descripción, precio y opción de agregar al carrito.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MVP</w:t>
            </w:r>
          </w:p>
        </w:tc>
      </w:tr>
    </w:tbl>
    <w:p>
      <w:pPr>
        <w:pStyle w:val="Heading1"/>
        <w:spacing w:after="150" w:before="300"/>
      </w:pPr>
      <w:r>
        <w:t xml:space="preserve">3. Compra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200"/>
        <w:gridCol w:w="1500"/>
        <w:gridCol w:w="1500"/>
      </w:tblGrid>
      <w:tr>
        <w:trPr>
          <w:tblHeader/>
        </w:trPr>
        <w:tc>
          <w:tcPr>
            <w:tcW w:type="dxa" w:w="1900"/>
            <w:shd w:fill="2F523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Pantalla</w:t>
            </w:r>
          </w:p>
        </w:tc>
        <w:tc>
          <w:tcPr>
            <w:tcW w:type="dxa" w:w="4200"/>
            <w:shd w:fill="2F523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500"/>
            <w:shd w:fill="2F523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Usuario</w:t>
            </w:r>
          </w:p>
        </w:tc>
        <w:tc>
          <w:tcPr>
            <w:tcW w:type="dxa" w:w="1500"/>
            <w:shd w:fill="2F523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Prioridad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Carrito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Revisar y editar cantidades antes de pagar.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MVP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Checkout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Dirección, método de pago y confirmación del pedido.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MVP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Mis pedidos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Historial de compras realizadas por el cliente.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MVP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Detalle de pedido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Estatus y detalle completo de un pedido específico.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MVP</w:t>
            </w:r>
          </w:p>
        </w:tc>
      </w:tr>
    </w:tbl>
    <w:p>
      <w:pPr>
        <w:pStyle w:val="Heading1"/>
        <w:spacing w:after="150" w:before="300"/>
      </w:pPr>
      <w:r>
        <w:t xml:space="preserve">4. Cuenta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200"/>
        <w:gridCol w:w="1500"/>
        <w:gridCol w:w="1500"/>
      </w:tblGrid>
      <w:tr>
        <w:trPr>
          <w:tblHeader/>
        </w:trPr>
        <w:tc>
          <w:tcPr>
            <w:tcW w:type="dxa" w:w="1900"/>
            <w:shd w:fill="2F523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Pantalla</w:t>
            </w:r>
          </w:p>
        </w:tc>
        <w:tc>
          <w:tcPr>
            <w:tcW w:type="dxa" w:w="4200"/>
            <w:shd w:fill="2F523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500"/>
            <w:shd w:fill="2F523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Usuario</w:t>
            </w:r>
          </w:p>
        </w:tc>
        <w:tc>
          <w:tcPr>
            <w:tcW w:type="dxa" w:w="1500"/>
            <w:shd w:fill="2F523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Prioridad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Mi cuenta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Datos del usuario y cierre de sesión.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MVP</w:t>
            </w:r>
          </w:p>
        </w:tc>
      </w:tr>
    </w:tbl>
    <w:p>
      <w:pPr>
        <w:pStyle w:val="Heading1"/>
        <w:spacing w:after="150" w:before="300"/>
      </w:pPr>
      <w:r>
        <w:t xml:space="preserve">5. Fase 2 (no indispensables para el MVP)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200"/>
        <w:gridCol w:w="1500"/>
        <w:gridCol w:w="1500"/>
      </w:tblGrid>
      <w:tr>
        <w:trPr>
          <w:tblHeader/>
        </w:trPr>
        <w:tc>
          <w:tcPr>
            <w:tcW w:type="dxa" w:w="1900"/>
            <w:shd w:fill="2F523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Pantalla</w:t>
            </w:r>
          </w:p>
        </w:tc>
        <w:tc>
          <w:tcPr>
            <w:tcW w:type="dxa" w:w="4200"/>
            <w:shd w:fill="2F523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500"/>
            <w:shd w:fill="2F523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Usuario</w:t>
            </w:r>
          </w:p>
        </w:tc>
        <w:tc>
          <w:tcPr>
            <w:tcW w:type="dxa" w:w="1500"/>
            <w:shd w:fill="2F523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Prioridad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Recuperar contraseña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Restablecer la contraseña vía correo cuando el cliente la olvida (antes de iniciar sesión).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2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Verificación de email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Confirmar el correo tras el registro.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2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Mis favoritos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Obras guardadas por el cliente para revisar después.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2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Artistas / Detalle de artista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Listado y perfil público de los artistas participantes.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2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Detalle de colección / acervo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Vista de colecciones temáticas de obras.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2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Blog / Detalle de blog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Contenido editorial del estudio, sin relación directa con la compra.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2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Vincular Alexa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Conectar la cuenta del cliente con la skill de Alexa del proyecto.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2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Acerca de / Contacto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Información institucional y medio de contacto, contenido estático.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2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2026-09-20T16:57:17.433Z</dcterms:created>
  <dcterms:modified xsi:type="dcterms:W3CDTF">2026-09-20T16:57:17.443Z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