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{{NUM}}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общество"АВТОМОБИЛЬНЫЙ ЗАВОД "УРАЛ"(АО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облnullг.undefinedпр-кт Автозаводцев, дом 1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тел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+7+(FTelC)+TelSpl(но там через запятую переселяется придется добавлять еще номера )</w:t>
      </w:r>
      <w:r>
        <w:rPr>
          <w:b w:val="false"/>
          <w:i w:val="false"/>
          <w:color w:val="FFFFFF"/>
          <w:sz w:val="2"/>
          <w:u w:val="none"/>
          <w:shd w:fill="auto" w:val="clear"/>
          <w:lang w:val="en-US"/>
        </w:rPr>
        <w:t xml:space="preserve"> 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sz w:val="22"/>
          <w:u w:val="none"/>
          <w:lang w:val="en-US"/>
        </w:rPr>
        <w:t>{{da}}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наименование_заявителя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 xml:space="preserve">}}FNS_NameOLFFN 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 xml:space="preserve">+FNS_NameF (FNS_NameOLF+ FNS_NameFAb без / и сокращение ) 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адрес_</w:t>
      </w:r>
      <w:r>
        <w:rPr>
          <w:b w:val="false"/>
          <w:i w:val="false"/>
          <w:color w:val="000000"/>
          <w:sz w:val="20"/>
          <w:u w:val="single"/>
          <w:shd w:fill="auto" w:val="clear"/>
          <w:lang w:val="ru-RU"/>
        </w:rPr>
        <w:t>местонахождения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}}FNS_MailInd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+FNS_FcntrFN+FNS_Freg+FNS_Farea+FNS_FoccS+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FNS_FAddr</w:t>
      </w:r>
      <w:r>
        <w:rPr>
          <w:b w:val="false"/>
          <w:i w:val="false"/>
          <w:color w:val="FFFFFF"/>
          <w:sz w:val="2"/>
          <w:u w:val="none"/>
          <w:shd w:fill="auto" w:val="clear"/>
          <w:lang w:val="en-US"/>
        </w:rPr>
        <w:t xml:space="preserve"> 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LibreOffice/7.6.2.1$Windows_X86_64 LibreOffice_project/56f7684011345957bbf33a7ee678afaf4d2ba333</Application>
  <AppVersion>15.0000</AppVersion>
  <Pages>1</Pages>
  <Words>302</Words>
  <Characters>2237</Characters>
  <CharactersWithSpaces>2609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2023-10-26T15:13:23Z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