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  <w:jc w:val="center"/>
      </w:pPr>
      <w:r>
        <w:rPr>
          <w:rFonts w:ascii="Calibri" w:hAnsi="Calibri" w:eastAsia="Calibri"/>
          <w:b/>
          <w:color w:val="147D82"/>
          <w:sz w:val="21"/>
        </w:rPr>
        <w:t>GUÍA DOCENTE Y PLANIFICACIÓN ACADÉMICA</w:t>
      </w:r>
    </w:p>
    <w:p>
      <w:pPr>
        <w:pStyle w:val="Title"/>
        <w:keepNext/>
        <w:jc w:val="center"/>
      </w:pPr>
      <w:r>
        <w:t>Programación Backend</w:t>
      </w:r>
    </w:p>
    <w:p>
      <w:pPr>
        <w:pStyle w:val="Subtitle"/>
        <w:jc w:val="center"/>
      </w:pPr>
      <w:r>
        <w:t>Secuencias didácticas, contenidos en español y evaluación por unidad</w:t>
      </w:r>
    </w:p>
    <w:p>
      <w:pPr>
        <w:spacing w:after="1120"/>
        <w:jc w:val="center"/>
      </w:pPr>
      <w:r>
        <w:rPr>
          <w:rFonts w:ascii="Calibri" w:hAnsi="Calibri" w:eastAsia="Calibri"/>
          <w:b/>
          <w:color w:val="173A5E"/>
          <w:sz w:val="24"/>
        </w:rPr>
        <w:t>Tecnicatura Universitaria en Desarrollo Full Stack</w:t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173A5E"/>
          <w:sz w:val="21"/>
        </w:rPr>
        <w:t xml:space="preserve">Ubicación curricular: </w:t>
      </w:r>
      <w:r>
        <w:rPr>
          <w:rFonts w:ascii="Calibri" w:hAnsi="Calibri" w:eastAsia="Calibri"/>
          <w:color w:val="202A33"/>
          <w:sz w:val="21"/>
        </w:rPr>
        <w:t>Segundo cuatrimestre</w:t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173A5E"/>
          <w:sz w:val="21"/>
        </w:rPr>
        <w:t xml:space="preserve">Duración: </w:t>
      </w:r>
      <w:r>
        <w:rPr>
          <w:rFonts w:ascii="Calibri" w:hAnsi="Calibri" w:eastAsia="Calibri"/>
          <w:color w:val="202A33"/>
          <w:sz w:val="21"/>
        </w:rPr>
        <w:t>16 semanas - 64 horas</w:t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173A5E"/>
          <w:sz w:val="21"/>
        </w:rPr>
        <w:t xml:space="preserve">Modalidad: </w:t>
      </w:r>
      <w:r>
        <w:rPr>
          <w:rFonts w:ascii="Calibri" w:hAnsi="Calibri" w:eastAsia="Calibri"/>
          <w:color w:val="202A33"/>
          <w:sz w:val="21"/>
        </w:rPr>
        <w:t>Teórico-práctica con proyecto integrador incremental</w:t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173A5E"/>
          <w:sz w:val="21"/>
        </w:rPr>
        <w:t xml:space="preserve">Stack de referencia: </w:t>
      </w:r>
      <w:r>
        <w:rPr>
          <w:rFonts w:ascii="Calibri" w:hAnsi="Calibri" w:eastAsia="Calibri"/>
          <w:color w:val="202A33"/>
          <w:sz w:val="21"/>
        </w:rPr>
        <w:t>TypeScript + Node.js/Express + PostgreSQL</w:t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173A5E"/>
          <w:sz w:val="21"/>
        </w:rPr>
        <w:t xml:space="preserve">Actualización de fuentes: </w:t>
      </w:r>
      <w:r>
        <w:rPr>
          <w:rFonts w:ascii="Calibri" w:hAnsi="Calibri" w:eastAsia="Calibri"/>
          <w:color w:val="202A33"/>
          <w:sz w:val="21"/>
        </w:rPr>
        <w:t>11 de agosto de 2026</w:t>
      </w:r>
    </w:p>
    <w:p>
      <w:pPr>
        <w:spacing w:before="840"/>
        <w:jc w:val="center"/>
      </w:pPr>
      <w:r>
        <w:rPr>
          <w:rFonts w:ascii="Calibri" w:hAnsi="Calibri" w:eastAsia="Calibri"/>
          <w:i/>
          <w:color w:val="66717C"/>
          <w:sz w:val="18"/>
        </w:rPr>
        <w:t>Documento adaptable al régimen académico, calendario y correlatividades de la institución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keepLines/>
        <w:widowControl w:val="1"/>
      </w:pPr>
      <w:r>
        <w:t>1. Criterio de selección de contenidos</w:t>
      </w:r>
    </w:p>
    <w:p>
      <w:pPr>
        <w:widowControl w:val="1"/>
      </w:pPr>
      <w:r>
        <w:rPr>
          <w:rFonts w:ascii="Calibri" w:hAnsi="Calibri" w:eastAsia="Calibri"/>
          <w:i w:val="0"/>
          <w:color w:val="202A33"/>
        </w:rPr>
        <w:t>La curaduría prioriza documentación oficial, gratuita, accesible en español y directamente utilizable en prácticas. Se evita depender de un único curso extenso: cada unidad combina una lectura conceptual, una referencia técnica y una actividad de aplicación.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Autoridad: documentación del proyecto o de la organización responsable de la tecnología.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Aplicabilidad: ejemplos y conceptos que puedan trasladarse al stack de la materia.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Gradualidad: contenidos aptos para estudiantes que ya cursaron fundamentos de programación y frontend.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Actualización: revisión anual de enlaces, versiones y recomendaciones de seguridad.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Accesibilidad: materiales gratuitos y predominantemente en español; se identifica cuando una referencia primaria complementaria está en inglés.</w:t>
      </w:r>
    </w:p>
    <w:p>
      <w:pPr>
        <w:spacing w:before="60" w:after="180"/>
        <w:ind w:left="173" w:right="173"/>
        <w:shd w:val="clear" w:fill="F4F6F9"/>
      </w:pPr>
      <w:r>
        <w:rPr>
          <w:rFonts w:ascii="Calibri" w:hAnsi="Calibri" w:eastAsia="Calibri"/>
          <w:b/>
          <w:color w:val="1F4D78"/>
          <w:sz w:val="21"/>
        </w:rPr>
        <w:t xml:space="preserve">Decisión didáctica: </w:t>
      </w:r>
      <w:r>
        <w:rPr>
          <w:rFonts w:ascii="Calibri" w:hAnsi="Calibri" w:eastAsia="Calibri"/>
          <w:color w:val="202A33"/>
          <w:sz w:val="21"/>
        </w:rPr>
        <w:t>Express se utiliza como framework de referencia por la disponibilidad de documentación oficial en español y por permitir observar con claridad rutas, middleware y errores. La secuencia es transferible a NestJS, Spring Boot, FastAPI o ASP.NET Core.</w:t>
      </w:r>
    </w:p>
    <w:p>
      <w:pPr>
        <w:pStyle w:val="Heading1"/>
        <w:keepNext/>
        <w:keepLines/>
        <w:widowControl w:val="1"/>
      </w:pPr>
      <w:r>
        <w:t>2. Arquitectura pedagógica de la materia</w:t>
      </w:r>
    </w:p>
    <w:p>
      <w:pPr>
        <w:widowControl w:val="1"/>
      </w:pPr>
      <w:r>
        <w:rPr>
          <w:rFonts w:ascii="Calibri" w:hAnsi="Calibri" w:eastAsia="Calibri"/>
          <w:i w:val="0"/>
          <w:color w:val="202A33"/>
        </w:rPr>
        <w:t>Las siete unidades se articulan mediante un único proyecto -por ejemplo reservas, pedidos, turnos o tickets-. Cada entrega reemplaza o mejora una parte de la anterior. Así, los estudiantes practican evolución de software y no siete ejercicios desconectados.</w:t>
      </w:r>
    </w:p>
    <w:p>
      <w:pPr>
        <w:pStyle w:val="Heading2"/>
        <w:keepNext/>
        <w:keepLines/>
        <w:widowControl w:val="1"/>
      </w:pPr>
      <w:r>
        <w:t>Estructura base de cada encuentro de 4 horas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Inicio y recuperación: problema, predicción, diagnóstico o revisión de la clase anterior.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Exposición dialogada: conceptos nuevos vinculados con decisiones observables en código y protocolo.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Modelado del docente: programación en vivo, lectura de trazas o construcción de un artefacto.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Laboratorio: práctica guiada que evoluciona hacia trabajo autónomo en parejas o equipos.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Socialización: revisión cruzada, prueba adversarial o comparación de soluciones.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Cierre: ticket de salida, commit, autoevaluación y explicitación del próximo problema.</w:t>
      </w:r>
    </w:p>
    <w:p>
      <w:pPr>
        <w:pStyle w:val="Heading2"/>
        <w:keepNext/>
        <w:keepLines/>
        <w:widowControl w:val="1"/>
      </w:pPr>
      <w:r>
        <w:t>Retroalimentación</w:t>
      </w:r>
    </w:p>
    <w:p>
      <w:pPr>
        <w:widowControl w:val="1"/>
      </w:pPr>
      <w:r>
        <w:rPr>
          <w:rFonts w:ascii="Calibri" w:hAnsi="Calibri" w:eastAsia="Calibri"/>
          <w:i w:val="0"/>
          <w:color w:val="202A33"/>
        </w:rPr>
        <w:t>La devolución se realiza sobre evidencias ejecutables: solicitudes HTTP, tests, migraciones, registros, commits, diagramas y demos breves. Las listas de cotejo se entregan antes de la actividad. Los errores encontrados por pares no descuentan por sí mismos: se valora la capacidad de reproducirlos, explicarlos y corregirlos.</w:t>
      </w:r>
    </w:p>
    <w:p>
      <w:pPr>
        <w:pStyle w:val="Heading1"/>
        <w:keepNext/>
        <w:keepLines/>
        <w:widowControl w:val="1"/>
      </w:pPr>
      <w:r>
        <w:t>3. Evaluación y acreditación sugeridas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3000"/>
        <w:gridCol w:w="1100"/>
        <w:gridCol w:w="5260"/>
      </w:tblGrid>
      <w:tr>
        <w:trPr>
          <w:cantSplit/>
          <w:tblHeader w:val="true"/>
        </w:trPr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Componente</w:t>
            </w:r>
          </w:p>
        </w:tc>
        <w:tc>
          <w:tcPr>
            <w:tcW w:type="dxa" w:w="1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Peso</w:t>
            </w:r>
          </w:p>
        </w:tc>
        <w:tc>
          <w:tcPr>
            <w:tcW w:type="dxa" w:w="5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Portafolio de las siete unidades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35%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Entregas incrementales, correcciones y trazabilidad en Git.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Parcial práctico individual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20%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Unidades 1 a 3: HTTP, API, SQL y transacción.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Desafío de seguridad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15%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Unidades 4 y 5: autenticación, autorización, sesión y estados.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Proyecto integrador final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20%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Unidades 6 y 7: flujo full stack, servicio externo, calidad y rendimiento.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Defensa técnica individual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10%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8"/>
              </w:rPr>
              <w:t>Explicación de decisiones, evidencia, limitaciones y mejoras.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 w:val="1"/>
      </w:pPr>
      <w:r>
        <w:t>Escala común para las rúbricas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Nivel</w:t>
            </w:r>
          </w:p>
        </w:tc>
        <w:tc>
          <w:tcPr>
            <w:tcW w:type="dxa" w:w="7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Descriptor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4 - Logro autónomo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Resuelve el criterio, prueba casos relevantes y justifica decisiones con evidencia.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3 - Logro esperado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Resuelve lo esencial; presenta desvíos menores que no invalidan el flujo.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2 - En proceso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La solución es parcial o depende de ayuda frecuente; faltan pruebas o justificación.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1 - Inicial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La evidencia es insuficiente, no ejecuta o contradice los conceptos centrales.</w:t>
            </w:r>
          </w:p>
        </w:tc>
      </w:tr>
    </w:tbl>
    <w:p>
      <w:pPr>
        <w:spacing w:after="0"/>
      </w:pPr>
    </w:p>
    <w:p>
      <w:pPr>
        <w:spacing w:before="60" w:after="180"/>
        <w:ind w:left="173" w:right="173"/>
        <w:shd w:val="clear" w:fill="F4F6F9"/>
      </w:pPr>
      <w:r>
        <w:rPr>
          <w:rFonts w:ascii="Calibri" w:hAnsi="Calibri" w:eastAsia="Calibri"/>
          <w:b/>
          <w:color w:val="1F4D78"/>
          <w:sz w:val="21"/>
        </w:rPr>
        <w:t xml:space="preserve">Condición de validez: </w:t>
      </w:r>
      <w:r>
        <w:rPr>
          <w:rFonts w:ascii="Calibri" w:hAnsi="Calibri" w:eastAsia="Calibri"/>
          <w:color w:val="202A33"/>
          <w:sz w:val="21"/>
        </w:rPr>
        <w:t>en trabajos grupales, cada estudiante debe poder ejecutar y explicar una parte elegida al azar. Código que funciona sin comprensión demostrable no acredita por sí solo el resultado de aprendizaje.</w:t>
      </w:r>
    </w:p>
    <w:p>
      <w:pPr>
        <w:pStyle w:val="Heading1"/>
        <w:keepNext/>
        <w:keepLines/>
        <w:widowControl w:val="1"/>
      </w:pPr>
      <w:r>
        <w:t>4. Mapa de las 16 semanas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1200"/>
        <w:gridCol w:w="1700"/>
        <w:gridCol w:w="6460"/>
      </w:tblGrid>
      <w:tr>
        <w:trPr>
          <w:cantSplit/>
          <w:tblHeader w:val="true"/>
        </w:trPr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Semana</w:t>
            </w:r>
          </w:p>
        </w:tc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Unidad</w:t>
            </w:r>
          </w:p>
        </w:tc>
        <w:tc>
          <w:tcPr>
            <w:tcW w:type="dxa" w:w="6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Hito del proyecto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1-2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Unidad 1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Servidor HTTP, diagrama de petición y repositorio Git.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3-5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Unidad 2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Contrato y API CRUD modular documentada.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6-8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Unidad 3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PostgreSQL, migraciones, JOIN y transacción.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9-11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Unidad 4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Autenticación, autorización y endurecimiento.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Unidad 5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Sesión, máquina de estados e idempotencia.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13-14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Unidad 6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Flujo full stack, servicio externo y webhook.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15-16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Unidad 7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Optimización medida, pruebas, salud y defensa.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 w:val="1"/>
      </w:pPr>
      <w:r>
        <w:t>Unidad 1. Fundamentos del desarrollo backend</w:t>
      </w:r>
    </w:p>
    <w:p>
      <w:pPr>
        <w:spacing w:before="60" w:after="180"/>
        <w:ind w:left="173" w:right="173"/>
        <w:shd w:val="clear" w:fill="E8F3F3"/>
      </w:pPr>
      <w:r>
        <w:rPr>
          <w:rFonts w:ascii="Calibri" w:hAnsi="Calibri" w:eastAsia="Calibri"/>
          <w:b/>
          <w:color w:val="147D82"/>
          <w:sz w:val="21"/>
        </w:rPr>
        <w:t xml:space="preserve">Carga horaria: </w:t>
      </w:r>
      <w:r>
        <w:rPr>
          <w:rFonts w:ascii="Calibri" w:hAnsi="Calibri" w:eastAsia="Calibri"/>
          <w:color w:val="202A33"/>
          <w:sz w:val="21"/>
        </w:rPr>
        <w:t>Semanas 1 y 2 - 8 horas. Construir un modelo mental correcto del ciclo cliente-servidor y producir el primer servidor HTTP con TypeScript y Node.js.</w:t>
      </w:r>
    </w:p>
    <w:p>
      <w:pPr>
        <w:pStyle w:val="Heading2"/>
        <w:keepNext/>
        <w:keepLines/>
        <w:widowControl w:val="1"/>
      </w:pPr>
      <w:r>
        <w:t>Resultados de aprendizaje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Distinguir frontend, backend, cliente, servidor, API y base de datos en una solución full stack.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Describir una solicitud y una respuesta HTTP: método, URL, encabezados, cuerpo y código de estado.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Crear y probar un servidor que responda JSON y registrar el trabajo con Git.</w:t>
      </w:r>
    </w:p>
    <w:p>
      <w:pPr>
        <w:pStyle w:val="Heading2"/>
        <w:keepNext/>
        <w:keepLines/>
        <w:widowControl w:val="1"/>
      </w:pPr>
      <w:r>
        <w:t>Contenidos centrales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Responsabilidades del backend y arquitectura cliente-servidor.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HTTP/HTTPS, métodos, códigos de estado, encabezados, parámetros, cuerpo y JSON.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Panorama de lenguajes y frameworks; TypeScript, Node.js, dependencias y variables de entorno.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Estructura inicial de proyecto, terminal, depuración y control de versiones con Git.</w:t>
      </w:r>
    </w:p>
    <w:p>
      <w:pPr>
        <w:pStyle w:val="Heading2"/>
        <w:keepNext/>
        <w:keepLines/>
        <w:widowControl w:val="1"/>
      </w:pPr>
      <w:r>
        <w:t>Curaduría de contenidos en español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1">
        <w:r>
          <w:rPr>
            <w:rFonts w:ascii="Calibri" w:hAnsi="Calibri"/>
            <w:color w:val="0563C1"/>
            <w:u w:val="single"/>
          </w:rPr>
          <w:t>HTTP - MDN Web Docs</w:t>
        </w:r>
      </w:hyperlink>
      <w:r>
        <w:rPr>
          <w:rFonts w:ascii="Calibri" w:hAnsi="Calibri" w:eastAsia="Calibri"/>
          <w:color w:val="202A33"/>
        </w:rPr>
        <w:t>. Eje conceptual para cliente-servidor, mensajes, métodos, estados, cookies, CORS y caché.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2">
        <w:r>
          <w:rPr>
            <w:rFonts w:ascii="Calibri" w:hAnsi="Calibri"/>
            <w:color w:val="0563C1"/>
            <w:u w:val="single"/>
          </w:rPr>
          <w:t>Documentación de TypeScript en español</w:t>
        </w:r>
      </w:hyperlink>
      <w:r>
        <w:rPr>
          <w:rFonts w:ascii="Calibri" w:hAnsi="Calibri" w:eastAsia="Calibri"/>
          <w:color w:val="202A33"/>
        </w:rPr>
        <w:t>. Lectura guiada de conceptos básicos, tipos cotidianos, funciones, objetos, clases y módulos.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3">
        <w:r>
          <w:rPr>
            <w:rFonts w:ascii="Calibri" w:hAnsi="Calibri"/>
            <w:color w:val="0563C1"/>
            <w:u w:val="single"/>
          </w:rPr>
          <w:t>Node.js en español</w:t>
        </w:r>
      </w:hyperlink>
      <w:r>
        <w:rPr>
          <w:rFonts w:ascii="Calibri" w:hAnsi="Calibri" w:eastAsia="Calibri"/>
          <w:color w:val="202A33"/>
        </w:rPr>
        <w:t>. Punto de entrada oficial para presentar el entorno de ejecución y construir un servidor HTTP mínimo.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4">
        <w:r>
          <w:rPr>
            <w:rFonts w:ascii="Calibri" w:hAnsi="Calibri"/>
            <w:color w:val="0563C1"/>
            <w:u w:val="single"/>
          </w:rPr>
          <w:t>Pro Git, edición en español</w:t>
        </w:r>
      </w:hyperlink>
      <w:r>
        <w:rPr>
          <w:rFonts w:ascii="Calibri" w:hAnsi="Calibri" w:eastAsia="Calibri"/>
          <w:color w:val="202A33"/>
        </w:rPr>
        <w:t>. Consulta para repositorios, commits, ramas y trabajo con remotos.</w:t>
      </w:r>
    </w:p>
    <w:p>
      <w:pPr>
        <w:spacing w:before="60" w:after="180"/>
        <w:ind w:left="173" w:right="173"/>
        <w:shd w:val="clear" w:fill="F4F6F9"/>
      </w:pPr>
      <w:r>
        <w:rPr>
          <w:rFonts w:ascii="Calibri" w:hAnsi="Calibri" w:eastAsia="Calibri"/>
          <w:b/>
          <w:color w:val="1F4D78"/>
          <w:sz w:val="21"/>
        </w:rPr>
        <w:t xml:space="preserve">Uso recomendado: </w:t>
      </w:r>
      <w:r>
        <w:rPr>
          <w:rFonts w:ascii="Calibri" w:hAnsi="Calibri" w:eastAsia="Calibri"/>
          <w:color w:val="202A33"/>
          <w:sz w:val="21"/>
        </w:rPr>
        <w:t>asignar fragmentos concretos antes de la clase y reutilizarlos durante el laboratorio. La lectura completa queda como consulta, no como sustituto de la mediación docente.</w:t>
      </w:r>
    </w:p>
    <w:p>
      <w:pPr>
        <w:pStyle w:val="Heading2"/>
        <w:keepNext/>
        <w:keepLines/>
        <w:widowControl w:val="1"/>
      </w:pPr>
      <w:r>
        <w:t>Secuencia didáctica</w:t>
      </w:r>
    </w:p>
    <w:p>
      <w:pPr>
        <w:pStyle w:val="Heading3"/>
        <w:keepNext/>
        <w:keepLines/>
        <w:widowControl w:val="1"/>
      </w:pPr>
      <w:r>
        <w:t>Encuentro 1. Del clic a la respuesta HTTP</w:t>
      </w:r>
    </w:p>
    <w:p>
      <w:pPr>
        <w:numPr>
          <w:ilvl w:val="0"/>
          <w:numId w:val="1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Problematización: </w:t>
      </w:r>
      <w:r>
        <w:rPr>
          <w:rFonts w:ascii="Calibri" w:hAnsi="Calibri" w:eastAsia="Calibri"/>
          <w:color w:val="202A33"/>
        </w:rPr>
        <w:t>Responder individualmente: ¿qué sucede desde que una persona pulsa 'Iniciar sesión' hasta que ve la pantalla siguiente? Elaborar un mapa inicial.</w:t>
      </w:r>
    </w:p>
    <w:p>
      <w:pPr>
        <w:numPr>
          <w:ilvl w:val="0"/>
          <w:numId w:val="1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Exposición dialogada: </w:t>
      </w:r>
      <w:r>
        <w:rPr>
          <w:rFonts w:ascii="Calibri" w:hAnsi="Calibri" w:eastAsia="Calibri"/>
          <w:color w:val="202A33"/>
        </w:rPr>
        <w:t>Explicar backend, arquitectura cliente-servidor, protocolo sin estado, solicitud/respuesta y responsabilidades de cada capa.</w:t>
      </w:r>
    </w:p>
    <w:p>
      <w:pPr>
        <w:numPr>
          <w:ilvl w:val="0"/>
          <w:numId w:val="1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35 min - Demostración: </w:t>
      </w:r>
      <w:r>
        <w:rPr>
          <w:rFonts w:ascii="Calibri" w:hAnsi="Calibri" w:eastAsia="Calibri"/>
          <w:color w:val="202A33"/>
        </w:rPr>
        <w:t>Abrir la pestaña Network del navegador, recorrer URL, método, encabezados, cuerpo, tiempo y estado de tres solicitudes reales.</w:t>
      </w:r>
    </w:p>
    <w:p>
      <w:pPr>
        <w:numPr>
          <w:ilvl w:val="0"/>
          <w:numId w:val="1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80 min - Laboratorio guiado: </w:t>
      </w:r>
      <w:r>
        <w:rPr>
          <w:rFonts w:ascii="Calibri" w:hAnsi="Calibri" w:eastAsia="Calibri"/>
          <w:color w:val="202A33"/>
        </w:rPr>
        <w:t>En parejas, analizar seis solicitudes provistas por el docente y completar una ficha de trazabilidad cliente-servidor.</w:t>
      </w:r>
    </w:p>
    <w:p>
      <w:pPr>
        <w:numPr>
          <w:ilvl w:val="0"/>
          <w:numId w:val="1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40 min - Puesta en común: </w:t>
      </w:r>
      <w:r>
        <w:rPr>
          <w:rFonts w:ascii="Calibri" w:hAnsi="Calibri" w:eastAsia="Calibri"/>
          <w:color w:val="202A33"/>
        </w:rPr>
        <w:t>Comparar clasificaciones, corregir confusiones entre 401/403, parámetros de ruta/consulta y cuerpo.</w:t>
      </w:r>
    </w:p>
    <w:p>
      <w:pPr>
        <w:numPr>
          <w:ilvl w:val="0"/>
          <w:numId w:val="1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Cierre evaluativo: </w:t>
      </w:r>
      <w:r>
        <w:rPr>
          <w:rFonts w:ascii="Calibri" w:hAnsi="Calibri" w:eastAsia="Calibri"/>
          <w:color w:val="202A33"/>
        </w:rPr>
        <w:t>Ticket de salida: dibujar el ciclo de una petición y justificar método y código de estado de un caso.</w:t>
      </w:r>
    </w:p>
    <w:p>
      <w:pPr>
        <w:pStyle w:val="Heading3"/>
        <w:keepNext/>
        <w:keepLines/>
        <w:widowControl w:val="1"/>
      </w:pPr>
      <w:r>
        <w:t>Encuentro 2. Primer servidor con TypeScript y Node.js</w:t>
      </w:r>
    </w:p>
    <w:p>
      <w:pPr>
        <w:numPr>
          <w:ilvl w:val="0"/>
          <w:numId w:val="1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Recuperación: </w:t>
      </w:r>
      <w:r>
        <w:rPr>
          <w:rFonts w:ascii="Calibri" w:hAnsi="Calibri" w:eastAsia="Calibri"/>
          <w:color w:val="202A33"/>
        </w:rPr>
        <w:t>Resolver un cuestionario breve de HTTP y revisar en parejas las respuestas.</w:t>
      </w:r>
    </w:p>
    <w:p>
      <w:pPr>
        <w:numPr>
          <w:ilvl w:val="0"/>
          <w:numId w:val="1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40 min - Exposición: </w:t>
      </w:r>
      <w:r>
        <w:rPr>
          <w:rFonts w:ascii="Calibri" w:hAnsi="Calibri" w:eastAsia="Calibri"/>
          <w:color w:val="202A33"/>
        </w:rPr>
        <w:t>Presentar TypeScript, Node.js, npm, estructura del proyecto, compilación/ejecución y variables de entorno.</w:t>
      </w:r>
    </w:p>
    <w:p>
      <w:pPr>
        <w:numPr>
          <w:ilvl w:val="0"/>
          <w:numId w:val="1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Modelado en vivo: </w:t>
      </w:r>
      <w:r>
        <w:rPr>
          <w:rFonts w:ascii="Calibri" w:hAnsi="Calibri" w:eastAsia="Calibri"/>
          <w:color w:val="202A33"/>
        </w:rPr>
        <w:t>Crear un servidor mínimo, responder JSON y explicar cada decisión mientras se prueba desde un cliente HTTP.</w:t>
      </w:r>
    </w:p>
    <w:p>
      <w:pPr>
        <w:numPr>
          <w:ilvl w:val="0"/>
          <w:numId w:val="1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95 min - Práctica en parejas: </w:t>
      </w:r>
      <w:r>
        <w:rPr>
          <w:rFonts w:ascii="Calibri" w:hAnsi="Calibri" w:eastAsia="Calibri"/>
          <w:color w:val="202A33"/>
        </w:rPr>
        <w:t>Implementar /salud, /hora y /estudiantes/:id, validar entradas simples y devolver estados coherentes.</w:t>
      </w:r>
    </w:p>
    <w:p>
      <w:pPr>
        <w:numPr>
          <w:ilvl w:val="0"/>
          <w:numId w:val="1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25 min - Revisión cruzada: </w:t>
      </w:r>
      <w:r>
        <w:rPr>
          <w:rFonts w:ascii="Calibri" w:hAnsi="Calibri" w:eastAsia="Calibri"/>
          <w:color w:val="202A33"/>
        </w:rPr>
        <w:t>Intercambiar repositorios, ejecutar una lista de pruebas y registrar un hallazgo y una mejora.</w:t>
      </w:r>
    </w:p>
    <w:p>
      <w:pPr>
        <w:numPr>
          <w:ilvl w:val="0"/>
          <w:numId w:val="1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15 min - Cierre: </w:t>
      </w:r>
      <w:r>
        <w:rPr>
          <w:rFonts w:ascii="Calibri" w:hAnsi="Calibri" w:eastAsia="Calibri"/>
          <w:color w:val="202A33"/>
        </w:rPr>
        <w:t>Realizar commit con mensaje significativo y completar una autoevaluación semaforizada.</w:t>
      </w:r>
    </w:p>
    <w:p>
      <w:pPr>
        <w:pStyle w:val="Heading2"/>
        <w:keepNext/>
        <w:keepLines/>
        <w:widowControl w:val="1"/>
      </w:pPr>
      <w:r>
        <w:t>Evaluación de la unidad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Evidencia integradora: </w:t>
      </w:r>
      <w:r>
        <w:rPr>
          <w:rFonts w:ascii="Calibri" w:hAnsi="Calibri" w:eastAsia="Calibri"/>
          <w:i w:val="0"/>
          <w:color w:val="202A33"/>
        </w:rPr>
        <w:t>Mini servidor HTTP individual con tres rutas, respuestas JSON, README con instrucciones, diagrama del ciclo de petición y al menos tres commits.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Modalidad: </w:t>
      </w:r>
      <w:r>
        <w:rPr>
          <w:rFonts w:ascii="Calibri" w:hAnsi="Calibri" w:eastAsia="Calibri"/>
          <w:i w:val="0"/>
          <w:color w:val="202A33"/>
        </w:rPr>
        <w:t>Diagnóstica mediante mapa y cuestionario; formativa con observación del laboratorio y ticket de salida; sumativa mediante demostración individual de 5 minutos del mini servidor.</w:t>
      </w:r>
    </w:p>
    <w:p>
      <w:pPr>
        <w:pStyle w:val="Heading3"/>
        <w:keepNext/>
        <w:keepLines/>
        <w:widowControl w:val="1"/>
      </w:pPr>
      <w:r>
        <w:t>Criterios de evaluación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7000"/>
        <w:gridCol w:w="2360"/>
      </w:tblGrid>
      <w:tr>
        <w:trPr>
          <w:cantSplit/>
          <w:tblHeader w:val="true"/>
        </w:trPr>
        <w:tc>
          <w:tcPr>
            <w:tcW w:type="dxa" w:w="7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Criterio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Ponderación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Comprensión de cliente-servidor y HTTP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Funcionamiento y estados HTTP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Estructura, TypeScript y legibilidad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README, Git y explicación oral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20%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 w:val="1"/>
      </w:pPr>
      <w:r>
        <w:t>Unidad 2. Diseño e implementación de APIs</w:t>
      </w:r>
    </w:p>
    <w:p>
      <w:pPr>
        <w:spacing w:before="60" w:after="180"/>
        <w:ind w:left="173" w:right="173"/>
        <w:shd w:val="clear" w:fill="E8F3F3"/>
      </w:pPr>
      <w:r>
        <w:rPr>
          <w:rFonts w:ascii="Calibri" w:hAnsi="Calibri" w:eastAsia="Calibri"/>
          <w:b/>
          <w:color w:val="147D82"/>
          <w:sz w:val="21"/>
        </w:rPr>
        <w:t xml:space="preserve">Carga horaria: </w:t>
      </w:r>
      <w:r>
        <w:rPr>
          <w:rFonts w:ascii="Calibri" w:hAnsi="Calibri" w:eastAsia="Calibri"/>
          <w:color w:val="202A33"/>
          <w:sz w:val="21"/>
        </w:rPr>
        <w:t>Semanas 3 a 5 - 12 horas. Transformar un problema de negocio en un contrato de API coherente e implementarlo con Express, validaciones y manejo uniforme de errores.</w:t>
      </w:r>
    </w:p>
    <w:p>
      <w:pPr>
        <w:pStyle w:val="Heading2"/>
        <w:keepNext/>
        <w:keepLines/>
        <w:widowControl w:val="1"/>
      </w:pPr>
      <w:r>
        <w:t>Resultados de aprendizaje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Modelar recursos, rutas, operaciones, representaciones y respuestas de una API REST.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Separar responsabilidades entre rutas, controladores, servicios y repositorios.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Implementar CRUD, filtros, paginación, validación, errores y documentación del contrato.</w:t>
      </w:r>
    </w:p>
    <w:p>
      <w:pPr>
        <w:pStyle w:val="Heading2"/>
        <w:keepNext/>
        <w:keepLines/>
        <w:widowControl w:val="1"/>
      </w:pPr>
      <w:r>
        <w:t>Contenidos centrales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API, recursos, convenciones REST, URI, métodos y códigos de estado.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Rutas, parámetros, query strings, DTO, validación y serialización.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Middleware, controladores, servicios, repositorios e inyección de dependencias.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Errores centralizados, versionado, filtros, ordenamiento, paginación y OpenAPI.</w:t>
      </w:r>
    </w:p>
    <w:p>
      <w:pPr>
        <w:pStyle w:val="Heading2"/>
        <w:keepNext/>
        <w:keepLines/>
        <w:widowControl w:val="1"/>
      </w:pPr>
      <w:r>
        <w:t>Curaduría de contenidos en español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5">
        <w:r>
          <w:rPr>
            <w:rFonts w:ascii="Calibri" w:hAnsi="Calibri"/>
            <w:color w:val="0563C1"/>
            <w:u w:val="single"/>
          </w:rPr>
          <w:t>Enrutamiento en Express</w:t>
        </w:r>
      </w:hyperlink>
      <w:r>
        <w:rPr>
          <w:rFonts w:ascii="Calibri" w:hAnsi="Calibri" w:eastAsia="Calibri"/>
          <w:color w:val="202A33"/>
        </w:rPr>
        <w:t>. Base oficial para métodos, rutas, parámetros y routers modulares.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6">
        <w:r>
          <w:rPr>
            <w:rFonts w:ascii="Calibri" w:hAnsi="Calibri"/>
            <w:color w:val="0563C1"/>
            <w:u w:val="single"/>
          </w:rPr>
          <w:t>Uso de middleware en Express 5</w:t>
        </w:r>
      </w:hyperlink>
      <w:r>
        <w:rPr>
          <w:rFonts w:ascii="Calibri" w:hAnsi="Calibri" w:eastAsia="Calibri"/>
          <w:color w:val="202A33"/>
        </w:rPr>
        <w:t>. Material para cadena de procesamiento, middleware de aplicación y router.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7">
        <w:r>
          <w:rPr>
            <w:rFonts w:ascii="Calibri" w:hAnsi="Calibri"/>
            <w:color w:val="0563C1"/>
            <w:u w:val="single"/>
          </w:rPr>
          <w:t>Manejo de errores en Express</w:t>
        </w:r>
      </w:hyperlink>
      <w:r>
        <w:rPr>
          <w:rFonts w:ascii="Calibri" w:hAnsi="Calibri" w:eastAsia="Calibri"/>
          <w:color w:val="202A33"/>
        </w:rPr>
        <w:t>. Referencia para propagación de errores y middleware centralizado.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8">
        <w:r>
          <w:rPr>
            <w:rFonts w:ascii="Calibri" w:hAnsi="Calibri"/>
            <w:color w:val="0563C1"/>
            <w:u w:val="single"/>
          </w:rPr>
          <w:t>Métodos de petición HTTP - MDN</w:t>
        </w:r>
      </w:hyperlink>
      <w:r>
        <w:rPr>
          <w:rFonts w:ascii="Calibri" w:hAnsi="Calibri" w:eastAsia="Calibri"/>
          <w:color w:val="202A33"/>
        </w:rPr>
        <w:t>. Consulta para semántica, seguridad, idempotencia y elección de métodos.</w:t>
      </w:r>
    </w:p>
    <w:p>
      <w:pPr>
        <w:spacing w:before="60" w:after="180"/>
        <w:ind w:left="173" w:right="173"/>
        <w:shd w:val="clear" w:fill="F4F6F9"/>
      </w:pPr>
      <w:r>
        <w:rPr>
          <w:rFonts w:ascii="Calibri" w:hAnsi="Calibri" w:eastAsia="Calibri"/>
          <w:b/>
          <w:color w:val="1F4D78"/>
          <w:sz w:val="21"/>
        </w:rPr>
        <w:t xml:space="preserve">Uso recomendado: </w:t>
      </w:r>
      <w:r>
        <w:rPr>
          <w:rFonts w:ascii="Calibri" w:hAnsi="Calibri" w:eastAsia="Calibri"/>
          <w:color w:val="202A33"/>
          <w:sz w:val="21"/>
        </w:rPr>
        <w:t>asignar fragmentos concretos antes de la clase y reutilizarlos durante el laboratorio. La lectura completa queda como consulta, no como sustituto de la mediación docente.</w:t>
      </w:r>
    </w:p>
    <w:p>
      <w:pPr>
        <w:pStyle w:val="Heading2"/>
        <w:keepNext/>
        <w:keepLines/>
        <w:widowControl w:val="1"/>
      </w:pPr>
      <w:r>
        <w:t>Secuencia didáctica</w:t>
      </w:r>
    </w:p>
    <w:p>
      <w:pPr>
        <w:pStyle w:val="Heading3"/>
        <w:keepNext/>
        <w:keepLines/>
        <w:widowControl w:val="1"/>
      </w:pPr>
      <w:r>
        <w:t>Encuentro 3. Del caso de uso al contrato</w:t>
      </w:r>
    </w:p>
    <w:p>
      <w:pPr>
        <w:numPr>
          <w:ilvl w:val="0"/>
          <w:numId w:val="1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Situación problema: </w:t>
      </w:r>
      <w:r>
        <w:rPr>
          <w:rFonts w:ascii="Calibri" w:hAnsi="Calibri" w:eastAsia="Calibri"/>
          <w:color w:val="202A33"/>
        </w:rPr>
        <w:t>Recibir un relato ambiguo de un sistema de reservas e identificar actores, recursos y reglas.</w:t>
      </w:r>
    </w:p>
    <w:p>
      <w:pPr>
        <w:numPr>
          <w:ilvl w:val="0"/>
          <w:numId w:val="1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Exposición dialogada: </w:t>
      </w:r>
      <w:r>
        <w:rPr>
          <w:rFonts w:ascii="Calibri" w:hAnsi="Calibri" w:eastAsia="Calibri"/>
          <w:color w:val="202A33"/>
        </w:rPr>
        <w:t>Desarrollar API, recursos, REST, URI, métodos, estados y diferencia entre acción de negocio y recurso.</w:t>
      </w:r>
    </w:p>
    <w:p>
      <w:pPr>
        <w:numPr>
          <w:ilvl w:val="0"/>
          <w:numId w:val="1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Modelado en vivo: </w:t>
      </w:r>
      <w:r>
        <w:rPr>
          <w:rFonts w:ascii="Calibri" w:hAnsi="Calibri" w:eastAsia="Calibri"/>
          <w:color w:val="202A33"/>
        </w:rPr>
        <w:t>Construir una matriz endpoint-método-entrada-salida-error y discutir alternativas de diseño.</w:t>
      </w:r>
    </w:p>
    <w:p>
      <w:pPr>
        <w:numPr>
          <w:ilvl w:val="0"/>
          <w:numId w:val="1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90 min - Taller: </w:t>
      </w:r>
      <w:r>
        <w:rPr>
          <w:rFonts w:ascii="Calibri" w:hAnsi="Calibri" w:eastAsia="Calibri"/>
          <w:color w:val="202A33"/>
        </w:rPr>
        <w:t>Cada equipo diseña el contrato de su proyecto y agrega ejemplos JSON de éxito y error.</w:t>
      </w:r>
    </w:p>
    <w:p>
      <w:pPr>
        <w:numPr>
          <w:ilvl w:val="0"/>
          <w:numId w:val="1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25 min - Crítica entre pares: </w:t>
      </w:r>
      <w:r>
        <w:rPr>
          <w:rFonts w:ascii="Calibri" w:hAnsi="Calibri" w:eastAsia="Calibri"/>
          <w:color w:val="202A33"/>
        </w:rPr>
        <w:t>Revisar consistencia de nombres, estados, idempotencia y granularidad con una lista de cotejo.</w:t>
      </w:r>
    </w:p>
    <w:p>
      <w:pPr>
        <w:numPr>
          <w:ilvl w:val="0"/>
          <w:numId w:val="1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15 min - Cierre: </w:t>
      </w:r>
      <w:r>
        <w:rPr>
          <w:rFonts w:ascii="Calibri" w:hAnsi="Calibri" w:eastAsia="Calibri"/>
          <w:color w:val="202A33"/>
        </w:rPr>
        <w:t>Entregar una decisión de diseño controvertida y su justificación.</w:t>
      </w:r>
    </w:p>
    <w:p>
      <w:pPr>
        <w:pStyle w:val="Heading3"/>
        <w:keepNext/>
        <w:keepLines/>
        <w:widowControl w:val="1"/>
      </w:pPr>
      <w:r>
        <w:t>Encuentro 4. CRUD y arquitectura por capas</w:t>
      </w:r>
    </w:p>
    <w:p>
      <w:pPr>
        <w:numPr>
          <w:ilvl w:val="0"/>
          <w:numId w:val="1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15 min - Recuperación: </w:t>
      </w:r>
      <w:r>
        <w:rPr>
          <w:rFonts w:ascii="Calibri" w:hAnsi="Calibri" w:eastAsia="Calibri"/>
          <w:color w:val="202A33"/>
        </w:rPr>
        <w:t>Corregir tres endpoints deliberadamente mal diseñados.</w:t>
      </w:r>
    </w:p>
    <w:p>
      <w:pPr>
        <w:numPr>
          <w:ilvl w:val="0"/>
          <w:numId w:val="1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35 min - Exposición: </w:t>
      </w:r>
      <w:r>
        <w:rPr>
          <w:rFonts w:ascii="Calibri" w:hAnsi="Calibri" w:eastAsia="Calibri"/>
          <w:color w:val="202A33"/>
        </w:rPr>
        <w:t>Explicar routers, middleware, controlador, servicio, repositorio, DTO y flujo de dependencias.</w:t>
      </w:r>
    </w:p>
    <w:p>
      <w:pPr>
        <w:numPr>
          <w:ilvl w:val="0"/>
          <w:numId w:val="1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50 min - Programación en vivo: </w:t>
      </w:r>
      <w:r>
        <w:rPr>
          <w:rFonts w:ascii="Calibri" w:hAnsi="Calibri" w:eastAsia="Calibri"/>
          <w:color w:val="202A33"/>
        </w:rPr>
        <w:t>Implementar una operación completa desde la ruta hasta un repositorio en memoria.</w:t>
      </w:r>
    </w:p>
    <w:p>
      <w:pPr>
        <w:numPr>
          <w:ilvl w:val="0"/>
          <w:numId w:val="1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110 min - Laboratorio: </w:t>
      </w:r>
      <w:r>
        <w:rPr>
          <w:rFonts w:ascii="Calibri" w:hAnsi="Calibri" w:eastAsia="Calibri"/>
          <w:color w:val="202A33"/>
        </w:rPr>
        <w:t>Completar CRUD del recurso principal, validar tipos y reglas básicas, y mantener controladores delgados.</w:t>
      </w:r>
    </w:p>
    <w:p>
      <w:pPr>
        <w:numPr>
          <w:ilvl w:val="0"/>
          <w:numId w:val="1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Pruebas rápidas: </w:t>
      </w:r>
      <w:r>
        <w:rPr>
          <w:rFonts w:ascii="Calibri" w:hAnsi="Calibri" w:eastAsia="Calibri"/>
          <w:color w:val="202A33"/>
        </w:rPr>
        <w:t>Ejecutar casos felices, identificadores inexistentes y datos inválidos.</w:t>
      </w:r>
    </w:p>
    <w:p>
      <w:pPr>
        <w:numPr>
          <w:ilvl w:val="0"/>
          <w:numId w:val="1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Registrar deuda técnica y próximo compromiso en el repositorio.</w:t>
      </w:r>
    </w:p>
    <w:p>
      <w:pPr>
        <w:pStyle w:val="Heading3"/>
        <w:keepNext/>
        <w:keepLines/>
        <w:widowControl w:val="1"/>
      </w:pPr>
      <w:r>
        <w:t>Encuentro 5. API robusta y documentada</w:t>
      </w:r>
    </w:p>
    <w:p>
      <w:pPr>
        <w:numPr>
          <w:ilvl w:val="0"/>
          <w:numId w:val="1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15 min - Caza de errores: </w:t>
      </w:r>
      <w:r>
        <w:rPr>
          <w:rFonts w:ascii="Calibri" w:hAnsi="Calibri" w:eastAsia="Calibri"/>
          <w:color w:val="202A33"/>
        </w:rPr>
        <w:t>Diagnosticar respuestas inconsistentes y filtrado defectuoso en una API de muestra.</w:t>
      </w:r>
    </w:p>
    <w:p>
      <w:pPr>
        <w:numPr>
          <w:ilvl w:val="0"/>
          <w:numId w:val="1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40 min - Exposición: </w:t>
      </w:r>
      <w:r>
        <w:rPr>
          <w:rFonts w:ascii="Calibri" w:hAnsi="Calibri" w:eastAsia="Calibri"/>
          <w:color w:val="202A33"/>
        </w:rPr>
        <w:t>Desarrollar validación de entrada, errores de dominio, middleware global, paginación, filtros y versionado.</w:t>
      </w:r>
    </w:p>
    <w:p>
      <w:pPr>
        <w:numPr>
          <w:ilvl w:val="0"/>
          <w:numId w:val="1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Demostración: </w:t>
      </w:r>
      <w:r>
        <w:rPr>
          <w:rFonts w:ascii="Calibri" w:hAnsi="Calibri" w:eastAsia="Calibri"/>
          <w:color w:val="202A33"/>
        </w:rPr>
        <w:t>Agregar un formato uniforme de error y documentar un endpoint con un contrato OpenAPI.</w:t>
      </w:r>
    </w:p>
    <w:p>
      <w:pPr>
        <w:numPr>
          <w:ilvl w:val="0"/>
          <w:numId w:val="1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95 min - Laboratorio: </w:t>
      </w:r>
      <w:r>
        <w:rPr>
          <w:rFonts w:ascii="Calibri" w:hAnsi="Calibri" w:eastAsia="Calibri"/>
          <w:color w:val="202A33"/>
        </w:rPr>
        <w:t>Incorporar validaciones, filtros, paginación, manejo de errores y documentación al proyecto.</w:t>
      </w:r>
    </w:p>
    <w:p>
      <w:pPr>
        <w:numPr>
          <w:ilvl w:val="0"/>
          <w:numId w:val="1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35 min - Revisión de contrato: </w:t>
      </w:r>
      <w:r>
        <w:rPr>
          <w:rFonts w:ascii="Calibri" w:hAnsi="Calibri" w:eastAsia="Calibri"/>
          <w:color w:val="202A33"/>
        </w:rPr>
        <w:t>Otro equipo ejecuta pruebas basadas solamente en la documentación y reporta desvíos.</w:t>
      </w:r>
    </w:p>
    <w:p>
      <w:pPr>
        <w:numPr>
          <w:ilvl w:val="0"/>
          <w:numId w:val="1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Ticket: diferencia entre error técnico, error de validación y conflicto de negocio.</w:t>
      </w:r>
    </w:p>
    <w:p>
      <w:pPr>
        <w:pStyle w:val="Heading2"/>
        <w:keepNext/>
        <w:keepLines/>
        <w:widowControl w:val="1"/>
      </w:pPr>
      <w:r>
        <w:t>Evaluación de la unidad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Evidencia integradora: </w:t>
      </w:r>
      <w:r>
        <w:rPr>
          <w:rFonts w:ascii="Calibri" w:hAnsi="Calibri" w:eastAsia="Calibri"/>
          <w:i w:val="0"/>
          <w:color w:val="202A33"/>
        </w:rPr>
        <w:t>API CRUD modular en memoria, con contrato documentado, validaciones, filtros, paginación, formato uniforme de error y colección de pruebas manuales.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Modalidad: </w:t>
      </w:r>
      <w:r>
        <w:rPr>
          <w:rFonts w:ascii="Calibri" w:hAnsi="Calibri" w:eastAsia="Calibri"/>
          <w:i w:val="0"/>
          <w:color w:val="202A33"/>
        </w:rPr>
        <w:t>Formativa con revisión de la matriz de endpoints y code review; sumativa con prueba práctica individual: agregar un endpoint nuevo respetando el contrato y la arquitectura existente.</w:t>
      </w:r>
    </w:p>
    <w:p>
      <w:pPr>
        <w:pStyle w:val="Heading3"/>
        <w:keepNext/>
        <w:keepLines/>
        <w:widowControl w:val="1"/>
      </w:pPr>
      <w:r>
        <w:t>Criterios de evaluación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7000"/>
        <w:gridCol w:w="2360"/>
      </w:tblGrid>
      <w:tr>
        <w:trPr>
          <w:cantSplit/>
          <w:tblHeader w:val="true"/>
        </w:trPr>
        <w:tc>
          <w:tcPr>
            <w:tcW w:type="dxa" w:w="7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Criterio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Ponderación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Diseño del contrato y uso de HTTP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CRUD y separación de responsabilidades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Validación y manejo de errores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Documentación, pruebas y calidad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 w:val="1"/>
      </w:pPr>
      <w:r>
        <w:t>Unidad 3. Persistencia y bases de datos</w:t>
      </w:r>
    </w:p>
    <w:p>
      <w:pPr>
        <w:spacing w:before="60" w:after="180"/>
        <w:ind w:left="173" w:right="173"/>
        <w:shd w:val="clear" w:fill="E8F3F3"/>
      </w:pPr>
      <w:r>
        <w:rPr>
          <w:rFonts w:ascii="Calibri" w:hAnsi="Calibri" w:eastAsia="Calibri"/>
          <w:b/>
          <w:color w:val="147D82"/>
          <w:sz w:val="21"/>
        </w:rPr>
        <w:t xml:space="preserve">Carga horaria: </w:t>
      </w:r>
      <w:r>
        <w:rPr>
          <w:rFonts w:ascii="Calibri" w:hAnsi="Calibri" w:eastAsia="Calibri"/>
          <w:color w:val="202A33"/>
          <w:sz w:val="21"/>
        </w:rPr>
        <w:t>Semanas 6 a 8 - 12 horas. Persistir el dominio en PostgreSQL y proteger su integridad mediante restricciones, consultas, migraciones y transacciones.</w:t>
      </w:r>
    </w:p>
    <w:p>
      <w:pPr>
        <w:pStyle w:val="Heading2"/>
        <w:keepNext/>
        <w:keepLines/>
        <w:widowControl w:val="1"/>
      </w:pPr>
      <w:r>
        <w:t>Resultados de aprendizaje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Modelar entidades, claves, relaciones, restricciones e índices a partir del dominio.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Construir consultas SQL y conectar el backend mediante una capa de repositorios.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Aplicar transacciones y analizar situaciones básicas de concurrencia e integridad.</w:t>
      </w:r>
    </w:p>
    <w:p>
      <w:pPr>
        <w:pStyle w:val="Heading2"/>
        <w:keepNext/>
        <w:keepLines/>
        <w:widowControl w:val="1"/>
      </w:pPr>
      <w:r>
        <w:t>Contenidos centrales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Modelo relacional, normalización básica, PK, FK, restricciones y relaciones.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DDL y DML; SELECT, INSERT, UPDATE, DELETE, JOIN, agregaciones e índices.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Conexión, pool, repositorios, ORM/query builder, migraciones y datos iniciales.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Transacciones, atomicidad, aislamiento introductorio, rollback e inyección SQL.</w:t>
      </w:r>
    </w:p>
    <w:p>
      <w:pPr>
        <w:pStyle w:val="Heading2"/>
        <w:keepNext/>
        <w:keepLines/>
        <w:widowControl w:val="1"/>
      </w:pPr>
      <w:r>
        <w:t>Curaduría de contenidos en español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9">
        <w:r>
          <w:rPr>
            <w:rFonts w:ascii="Calibri" w:hAnsi="Calibri"/>
            <w:color w:val="0563C1"/>
            <w:u w:val="single"/>
          </w:rPr>
          <w:t>Compilación y consulta con PostgreSQL - Microsoft Learn</w:t>
        </w:r>
      </w:hyperlink>
      <w:r>
        <w:rPr>
          <w:rFonts w:ascii="Calibri" w:hAnsi="Calibri" w:eastAsia="Calibri"/>
          <w:color w:val="202A33"/>
        </w:rPr>
        <w:t>. Seleccionar los tramos de esquemas, tablas, índices, restricciones, consultas y conexión; omitir la infraestructura Azure si se trabaja localmente.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0">
        <w:r>
          <w:rPr>
            <w:rFonts w:ascii="Calibri" w:hAnsi="Calibri"/>
            <w:color w:val="0563C1"/>
            <w:u w:val="single"/>
          </w:rPr>
          <w:t>Combinación de datos de varias tablas</w:t>
        </w:r>
      </w:hyperlink>
      <w:r>
        <w:rPr>
          <w:rFonts w:ascii="Calibri" w:hAnsi="Calibri" w:eastAsia="Calibri"/>
          <w:color w:val="202A33"/>
        </w:rPr>
        <w:t>. Módulo oficial en español sobre INNER, LEFT, RIGHT y FULL JOIN.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1">
        <w:r>
          <w:rPr>
            <w:rFonts w:ascii="Calibri" w:hAnsi="Calibri"/>
            <w:color w:val="0563C1"/>
            <w:u w:val="single"/>
          </w:rPr>
          <w:t>Descripción de la simultaneidad en PostgreSQL</w:t>
        </w:r>
      </w:hyperlink>
      <w:r>
        <w:rPr>
          <w:rFonts w:ascii="Calibri" w:hAnsi="Calibri" w:eastAsia="Calibri"/>
          <w:color w:val="202A33"/>
        </w:rPr>
        <w:t>. Ampliación para MVCC, aislamiento y bloqueos; usar extractos adecuados al nivel de la tecnicatura.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2">
        <w:r>
          <w:rPr>
            <w:rFonts w:ascii="Calibri" w:hAnsi="Calibri"/>
            <w:color w:val="0563C1"/>
            <w:u w:val="single"/>
          </w:rPr>
          <w:t>Documentación vigente de PostgreSQL</w:t>
        </w:r>
      </w:hyperlink>
      <w:r>
        <w:rPr>
          <w:rFonts w:ascii="Calibri" w:hAnsi="Calibri" w:eastAsia="Calibri"/>
          <w:color w:val="202A33"/>
        </w:rPr>
        <w:t>. Referencia primaria del docente para verificar sintaxis y cambios de versión; está principalmente en inglés.</w:t>
      </w:r>
    </w:p>
    <w:p>
      <w:pPr>
        <w:spacing w:before="60" w:after="180"/>
        <w:ind w:left="173" w:right="173"/>
        <w:shd w:val="clear" w:fill="F4F6F9"/>
      </w:pPr>
      <w:r>
        <w:rPr>
          <w:rFonts w:ascii="Calibri" w:hAnsi="Calibri" w:eastAsia="Calibri"/>
          <w:b/>
          <w:color w:val="1F4D78"/>
          <w:sz w:val="21"/>
        </w:rPr>
        <w:t xml:space="preserve">Uso recomendado: </w:t>
      </w:r>
      <w:r>
        <w:rPr>
          <w:rFonts w:ascii="Calibri" w:hAnsi="Calibri" w:eastAsia="Calibri"/>
          <w:color w:val="202A33"/>
          <w:sz w:val="21"/>
        </w:rPr>
        <w:t>asignar fragmentos concretos antes de la clase y reutilizarlos durante el laboratorio. La lectura completa queda como consulta, no como sustituto de la mediación docente.</w:t>
      </w:r>
    </w:p>
    <w:p>
      <w:pPr>
        <w:pStyle w:val="Heading2"/>
        <w:keepNext/>
        <w:keepLines/>
        <w:widowControl w:val="1"/>
      </w:pPr>
      <w:r>
        <w:t>Secuencia didáctica</w:t>
      </w:r>
    </w:p>
    <w:p>
      <w:pPr>
        <w:pStyle w:val="Heading3"/>
        <w:keepNext/>
        <w:keepLines/>
        <w:widowControl w:val="1"/>
      </w:pPr>
      <w:r>
        <w:t>Encuentro 6. Del dominio al modelo relacional</w:t>
      </w:r>
    </w:p>
    <w:p>
      <w:pPr>
        <w:numPr>
          <w:ilvl w:val="0"/>
          <w:numId w:val="1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Problema inicial: </w:t>
      </w:r>
      <w:r>
        <w:rPr>
          <w:rFonts w:ascii="Calibri" w:hAnsi="Calibri" w:eastAsia="Calibri"/>
          <w:color w:val="202A33"/>
        </w:rPr>
        <w:t>Detectar anomalías en una tabla única que mezcla usuarios, reservas y pagos.</w:t>
      </w:r>
    </w:p>
    <w:p>
      <w:pPr>
        <w:numPr>
          <w:ilvl w:val="0"/>
          <w:numId w:val="1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50 min - Exposición: </w:t>
      </w:r>
      <w:r>
        <w:rPr>
          <w:rFonts w:ascii="Calibri" w:hAnsi="Calibri" w:eastAsia="Calibri"/>
          <w:color w:val="202A33"/>
        </w:rPr>
        <w:t>Explicar entidades, PK, FK, cardinalidad, normalización, restricciones y diferencias entre validar en aplicación y base.</w:t>
      </w:r>
    </w:p>
    <w:p>
      <w:pPr>
        <w:numPr>
          <w:ilvl w:val="0"/>
          <w:numId w:val="1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40 min - Modelado en vivo: </w:t>
      </w:r>
      <w:r>
        <w:rPr>
          <w:rFonts w:ascii="Calibri" w:hAnsi="Calibri" w:eastAsia="Calibri"/>
          <w:color w:val="202A33"/>
        </w:rPr>
        <w:t>Derivar un diagrama entidad-relación y su DDL a partir de reglas de negocio.</w:t>
      </w:r>
    </w:p>
    <w:p>
      <w:pPr>
        <w:numPr>
          <w:ilvl w:val="0"/>
          <w:numId w:val="1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100 min - Taller: </w:t>
      </w:r>
      <w:r>
        <w:rPr>
          <w:rFonts w:ascii="Calibri" w:hAnsi="Calibri" w:eastAsia="Calibri"/>
          <w:color w:val="202A33"/>
        </w:rPr>
        <w:t>Diseñar el modelo del proyecto, crear tablas y restricciones en PostgreSQL y cargar datos de prueba.</w:t>
      </w:r>
    </w:p>
    <w:p>
      <w:pPr>
        <w:numPr>
          <w:ilvl w:val="0"/>
          <w:numId w:val="1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Revisión cruzada: </w:t>
      </w:r>
      <w:r>
        <w:rPr>
          <w:rFonts w:ascii="Calibri" w:hAnsi="Calibri" w:eastAsia="Calibri"/>
          <w:color w:val="202A33"/>
        </w:rPr>
        <w:t>Buscar datos imposibles que todavía admite el modelo y proponer una restricción.</w:t>
      </w:r>
    </w:p>
    <w:p>
      <w:pPr>
        <w:numPr>
          <w:ilvl w:val="0"/>
          <w:numId w:val="1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Ticket: justificar una clave foránea y una restricción UNIQUE.</w:t>
      </w:r>
    </w:p>
    <w:p>
      <w:pPr>
        <w:pStyle w:val="Heading3"/>
        <w:keepNext/>
        <w:keepLines/>
        <w:widowControl w:val="1"/>
      </w:pPr>
      <w:r>
        <w:t>Encuentro 7. Consultas e integración con el backend</w:t>
      </w:r>
    </w:p>
    <w:p>
      <w:pPr>
        <w:numPr>
          <w:ilvl w:val="0"/>
          <w:numId w:val="17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15 min - Recuperación: </w:t>
      </w:r>
      <w:r>
        <w:rPr>
          <w:rFonts w:ascii="Calibri" w:hAnsi="Calibri" w:eastAsia="Calibri"/>
          <w:color w:val="202A33"/>
        </w:rPr>
        <w:t>Predecir el resultado de consultas SELECT y JOIN breves.</w:t>
      </w:r>
    </w:p>
    <w:p>
      <w:pPr>
        <w:numPr>
          <w:ilvl w:val="0"/>
          <w:numId w:val="17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Exposición: </w:t>
      </w:r>
      <w:r>
        <w:rPr>
          <w:rFonts w:ascii="Calibri" w:hAnsi="Calibri" w:eastAsia="Calibri"/>
          <w:color w:val="202A33"/>
        </w:rPr>
        <w:t>Desarrollar CRUD SQL, JOIN, agregación, parametrización, pool de conexiones y patrón repositorio.</w:t>
      </w:r>
    </w:p>
    <w:p>
      <w:pPr>
        <w:numPr>
          <w:ilvl w:val="0"/>
          <w:numId w:val="17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Demostración: </w:t>
      </w:r>
      <w:r>
        <w:rPr>
          <w:rFonts w:ascii="Calibri" w:hAnsi="Calibri" w:eastAsia="Calibri"/>
          <w:color w:val="202A33"/>
        </w:rPr>
        <w:t>Reemplazar el repositorio en memoria por PostgreSQL y observar errores de conexión y restricciones.</w:t>
      </w:r>
    </w:p>
    <w:p>
      <w:pPr>
        <w:numPr>
          <w:ilvl w:val="0"/>
          <w:numId w:val="17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105 min - Laboratorio: </w:t>
      </w:r>
      <w:r>
        <w:rPr>
          <w:rFonts w:ascii="Calibri" w:hAnsi="Calibri" w:eastAsia="Calibri"/>
          <w:color w:val="202A33"/>
        </w:rPr>
        <w:t>Persistir dos recursos relacionados, crear migración y seed, y resolver una consulta con JOIN.</w:t>
      </w:r>
    </w:p>
    <w:p>
      <w:pPr>
        <w:numPr>
          <w:ilvl w:val="0"/>
          <w:numId w:val="17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Control formativo: </w:t>
      </w:r>
      <w:r>
        <w:rPr>
          <w:rFonts w:ascii="Calibri" w:hAnsi="Calibri" w:eastAsia="Calibri"/>
          <w:color w:val="202A33"/>
        </w:rPr>
        <w:t>Ejecutar datos inválidos e intento de inyección; registrar qué capa detuvo cada caso.</w:t>
      </w:r>
    </w:p>
    <w:p>
      <w:pPr>
        <w:numPr>
          <w:ilvl w:val="0"/>
          <w:numId w:val="17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Commit etiquetado como checkpoint de persistencia.</w:t>
      </w:r>
    </w:p>
    <w:p>
      <w:pPr>
        <w:pStyle w:val="Heading3"/>
        <w:keepNext/>
        <w:keepLines/>
        <w:widowControl w:val="1"/>
      </w:pPr>
      <w:r>
        <w:t>Encuentro 8. Transacciones, concurrencia e índices</w:t>
      </w:r>
    </w:p>
    <w:p>
      <w:pPr>
        <w:numPr>
          <w:ilvl w:val="0"/>
          <w:numId w:val="18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Caso disparador: </w:t>
      </w:r>
      <w:r>
        <w:rPr>
          <w:rFonts w:ascii="Calibri" w:hAnsi="Calibri" w:eastAsia="Calibri"/>
          <w:color w:val="202A33"/>
        </w:rPr>
        <w:t>Analizar una compra que descuenta stock pero falla al registrar el pago.</w:t>
      </w:r>
    </w:p>
    <w:p>
      <w:pPr>
        <w:numPr>
          <w:ilvl w:val="0"/>
          <w:numId w:val="18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Exposición: </w:t>
      </w:r>
      <w:r>
        <w:rPr>
          <w:rFonts w:ascii="Calibri" w:hAnsi="Calibri" w:eastAsia="Calibri"/>
          <w:color w:val="202A33"/>
        </w:rPr>
        <w:t>Presentar transacción, commit, rollback, atomicidad, aislamiento, condiciones de carrera e índice.</w:t>
      </w:r>
    </w:p>
    <w:p>
      <w:pPr>
        <w:numPr>
          <w:ilvl w:val="0"/>
          <w:numId w:val="18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Demostración: </w:t>
      </w:r>
      <w:r>
        <w:rPr>
          <w:rFonts w:ascii="Calibri" w:hAnsi="Calibri" w:eastAsia="Calibri"/>
          <w:color w:val="202A33"/>
        </w:rPr>
        <w:t>Implementar pedido + detalle + stock en una transacción y provocar un rollback controlado.</w:t>
      </w:r>
    </w:p>
    <w:p>
      <w:pPr>
        <w:numPr>
          <w:ilvl w:val="0"/>
          <w:numId w:val="18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100 min - Laboratorio: </w:t>
      </w:r>
      <w:r>
        <w:rPr>
          <w:rFonts w:ascii="Calibri" w:hAnsi="Calibri" w:eastAsia="Calibri"/>
          <w:color w:val="202A33"/>
        </w:rPr>
        <w:t>Agregar una operación transaccional al proyecto, probar fallas intermedias y medir una consulta antes/después de un índice.</w:t>
      </w:r>
    </w:p>
    <w:p>
      <w:pPr>
        <w:numPr>
          <w:ilvl w:val="0"/>
          <w:numId w:val="18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Desafío: </w:t>
      </w:r>
      <w:r>
        <w:rPr>
          <w:rFonts w:ascii="Calibri" w:hAnsi="Calibri" w:eastAsia="Calibri"/>
          <w:color w:val="202A33"/>
        </w:rPr>
        <w:t>Simular dos solicitudes concurrentes y explicar el riesgo observado aunque no se implemente todo el control avanzado.</w:t>
      </w:r>
    </w:p>
    <w:p>
      <w:pPr>
        <w:numPr>
          <w:ilvl w:val="0"/>
          <w:numId w:val="18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Microinforme de integridad: invariantes protegidas por aplicación y por base.</w:t>
      </w:r>
    </w:p>
    <w:p>
      <w:pPr>
        <w:pStyle w:val="Heading2"/>
        <w:keepNext/>
        <w:keepLines/>
        <w:widowControl w:val="1"/>
      </w:pPr>
      <w:r>
        <w:t>Evaluación de la unidad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Evidencia integradora: </w:t>
      </w:r>
      <w:r>
        <w:rPr>
          <w:rFonts w:ascii="Calibri" w:hAnsi="Calibri" w:eastAsia="Calibri"/>
          <w:i w:val="0"/>
          <w:color w:val="202A33"/>
        </w:rPr>
        <w:t>Modelo relacional, migraciones y seed; API conectada a PostgreSQL; consulta con JOIN; operación transaccional con prueba de rollback y breve informe de integridad.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Modalidad: </w:t>
      </w:r>
      <w:r>
        <w:rPr>
          <w:rFonts w:ascii="Calibri" w:hAnsi="Calibri" w:eastAsia="Calibri"/>
          <w:i w:val="0"/>
          <w:color w:val="202A33"/>
        </w:rPr>
        <w:t>Evaluación práctica individual sobre un repositorio dado: completar una consulta parametrizada y una transacción; evaluación grupal del modelo y de la integración acumulativa.</w:t>
      </w:r>
    </w:p>
    <w:p>
      <w:pPr>
        <w:pStyle w:val="Heading3"/>
        <w:keepNext/>
        <w:keepLines/>
        <w:widowControl w:val="1"/>
      </w:pPr>
      <w:r>
        <w:t>Criterios de evaluación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7000"/>
        <w:gridCol w:w="2360"/>
      </w:tblGrid>
      <w:tr>
        <w:trPr>
          <w:cantSplit/>
          <w:tblHeader w:val="true"/>
        </w:trPr>
        <w:tc>
          <w:tcPr>
            <w:tcW w:type="dxa" w:w="7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Criterio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Ponderación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Modelo, relaciones y restricciones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Consultas y repositorios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Transacción e integridad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Migraciones, pruebas y explicación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20%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 w:val="1"/>
      </w:pPr>
      <w:r>
        <w:t>Unidad 4. Seguridad, autenticación y autorización</w:t>
      </w:r>
    </w:p>
    <w:p>
      <w:pPr>
        <w:spacing w:before="60" w:after="180"/>
        <w:ind w:left="173" w:right="173"/>
        <w:shd w:val="clear" w:fill="E8F3F3"/>
      </w:pPr>
      <w:r>
        <w:rPr>
          <w:rFonts w:ascii="Calibri" w:hAnsi="Calibri" w:eastAsia="Calibri"/>
          <w:b/>
          <w:color w:val="147D82"/>
          <w:sz w:val="21"/>
        </w:rPr>
        <w:t xml:space="preserve">Carga horaria: </w:t>
      </w:r>
      <w:r>
        <w:rPr>
          <w:rFonts w:ascii="Calibri" w:hAnsi="Calibri" w:eastAsia="Calibri"/>
          <w:color w:val="202A33"/>
          <w:sz w:val="21"/>
        </w:rPr>
        <w:t>Semanas 9 a 11 - 12 horas. Diseñar e implementar controles de identidad y acceso, y desarrollar hábitos de codificación segura frente a riesgos web frecuentes.</w:t>
      </w:r>
    </w:p>
    <w:p>
      <w:pPr>
        <w:pStyle w:val="Heading2"/>
        <w:keepNext/>
        <w:keepLines/>
        <w:widowControl w:val="1"/>
      </w:pPr>
      <w:r>
        <w:t>Resultados de aprendizaje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Diferenciar autenticación, autorización, rol, permiso y propiedad del recurso.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Implementar registro e inicio de sesión sin almacenar contraseñas en texto plano.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Proteger endpoints, secretos y datos sensibles; probar fallas de acceso de forma controlada.</w:t>
      </w:r>
    </w:p>
    <w:p>
      <w:pPr>
        <w:pStyle w:val="Heading2"/>
        <w:keepNext/>
        <w:keepLines/>
        <w:widowControl w:val="1"/>
      </w:pPr>
      <w:r>
        <w:t>Contenidos centrales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Amenazas, superficie de ataque, mínimo privilegio y defensa en profundidad.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Hash de contraseñas, credenciales, tokens o sesiones y ciclo de autenticación.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Autorización por roles/permisos y propiedad del recurso; 401 frente a 403.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Inyección, control de acceso roto, CORS, cookies seguras, encabezados, rate limiting, secretos y dependencias.</w:t>
      </w:r>
    </w:p>
    <w:p>
      <w:pPr>
        <w:pStyle w:val="Heading2"/>
        <w:keepNext/>
        <w:keepLines/>
        <w:widowControl w:val="1"/>
      </w:pPr>
      <w:r>
        <w:t>Curaduría de contenidos en español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3">
        <w:r>
          <w:rPr>
            <w:rFonts w:ascii="Calibri" w:hAnsi="Calibri"/>
            <w:color w:val="0563C1"/>
            <w:u w:val="single"/>
          </w:rPr>
          <w:t>OWASP Top 10:2021 en español</w:t>
        </w:r>
      </w:hyperlink>
      <w:r>
        <w:rPr>
          <w:rFonts w:ascii="Calibri" w:hAnsi="Calibri" w:eastAsia="Calibri"/>
          <w:color w:val="202A33"/>
        </w:rPr>
        <w:t>. Traducción oficial completa para trabajar riesgos, escenarios y prevención. Contrastar con la lista vigente 2025.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4">
        <w:r>
          <w:rPr>
            <w:rFonts w:ascii="Calibri" w:hAnsi="Calibri"/>
            <w:color w:val="0563C1"/>
            <w:u w:val="single"/>
          </w:rPr>
          <w:t>OWASP Top 10 vigente</w:t>
        </w:r>
      </w:hyperlink>
      <w:r>
        <w:rPr>
          <w:rFonts w:ascii="Calibri" w:hAnsi="Calibri" w:eastAsia="Calibri"/>
          <w:color w:val="202A33"/>
        </w:rPr>
        <w:t>. Referencia del docente para actualizar categorías y vocabulario; la traducción completa al español puede no estar disponible.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5">
        <w:r>
          <w:rPr>
            <w:rFonts w:ascii="Calibri" w:hAnsi="Calibri"/>
            <w:color w:val="0563C1"/>
            <w:u w:val="single"/>
          </w:rPr>
          <w:t>Seguridad en producción con Express</w:t>
        </w:r>
      </w:hyperlink>
      <w:r>
        <w:rPr>
          <w:rFonts w:ascii="Calibri" w:hAnsi="Calibri" w:eastAsia="Calibri"/>
          <w:color w:val="202A33"/>
        </w:rPr>
        <w:t>. Guía oficial sobre TLS, entrada del usuario, cookies, encabezados, dependencias y fuerza bruta.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6">
        <w:r>
          <w:rPr>
            <w:rFonts w:ascii="Calibri" w:hAnsi="Calibri"/>
            <w:color w:val="0563C1"/>
            <w:u w:val="single"/>
          </w:rPr>
          <w:t>CORS - MDN</w:t>
        </w:r>
      </w:hyperlink>
      <w:r>
        <w:rPr>
          <w:rFonts w:ascii="Calibri" w:hAnsi="Calibri" w:eastAsia="Calibri"/>
          <w:color w:val="202A33"/>
        </w:rPr>
        <w:t>. Base para origen, preflight, encabezados y credenciales.</w:t>
      </w:r>
    </w:p>
    <w:p>
      <w:pPr>
        <w:spacing w:before="60" w:after="180"/>
        <w:ind w:left="173" w:right="173"/>
        <w:shd w:val="clear" w:fill="F4F6F9"/>
      </w:pPr>
      <w:r>
        <w:rPr>
          <w:rFonts w:ascii="Calibri" w:hAnsi="Calibri" w:eastAsia="Calibri"/>
          <w:b/>
          <w:color w:val="1F4D78"/>
          <w:sz w:val="21"/>
        </w:rPr>
        <w:t xml:space="preserve">Uso recomendado: </w:t>
      </w:r>
      <w:r>
        <w:rPr>
          <w:rFonts w:ascii="Calibri" w:hAnsi="Calibri" w:eastAsia="Calibri"/>
          <w:color w:val="202A33"/>
          <w:sz w:val="21"/>
        </w:rPr>
        <w:t>asignar fragmentos concretos antes de la clase y reutilizarlos durante el laboratorio. La lectura completa queda como consulta, no como sustituto de la mediación docente.</w:t>
      </w:r>
    </w:p>
    <w:p>
      <w:pPr>
        <w:pStyle w:val="Heading2"/>
        <w:keepNext/>
        <w:keepLines/>
        <w:widowControl w:val="1"/>
      </w:pPr>
      <w:r>
        <w:t>Secuencia didáctica</w:t>
      </w:r>
    </w:p>
    <w:p>
      <w:pPr>
        <w:pStyle w:val="Heading3"/>
        <w:keepNext/>
        <w:keepLines/>
        <w:widowControl w:val="1"/>
      </w:pPr>
      <w:r>
        <w:t>Encuentro 9. Amenazas y autenticación</w:t>
      </w:r>
    </w:p>
    <w:p>
      <w:pPr>
        <w:numPr>
          <w:ilvl w:val="0"/>
          <w:numId w:val="19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Activación: </w:t>
      </w:r>
      <w:r>
        <w:rPr>
          <w:rFonts w:ascii="Calibri" w:hAnsi="Calibri" w:eastAsia="Calibri"/>
          <w:color w:val="202A33"/>
        </w:rPr>
        <w:t>Construir un inventario de activos y posibles abusos del sistema del proyecto.</w:t>
      </w:r>
    </w:p>
    <w:p>
      <w:pPr>
        <w:numPr>
          <w:ilvl w:val="0"/>
          <w:numId w:val="19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Exposición: </w:t>
      </w:r>
      <w:r>
        <w:rPr>
          <w:rFonts w:ascii="Calibri" w:hAnsi="Calibri" w:eastAsia="Calibri"/>
          <w:color w:val="202A33"/>
        </w:rPr>
        <w:t>Introducir amenaza, riesgo, ataque, control, OWASP, contraseñas, hash con salt y flujo de registro/login.</w:t>
      </w:r>
    </w:p>
    <w:p>
      <w:pPr>
        <w:numPr>
          <w:ilvl w:val="0"/>
          <w:numId w:val="19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Demostración: </w:t>
      </w:r>
      <w:r>
        <w:rPr>
          <w:rFonts w:ascii="Calibri" w:hAnsi="Calibri" w:eastAsia="Calibri"/>
          <w:color w:val="202A33"/>
        </w:rPr>
        <w:t>Implementar registro e inicio de sesión y mostrar por qué no se compara ni registra una contraseña en claro.</w:t>
      </w:r>
    </w:p>
    <w:p>
      <w:pPr>
        <w:numPr>
          <w:ilvl w:val="0"/>
          <w:numId w:val="19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100 min - Laboratorio: </w:t>
      </w:r>
      <w:r>
        <w:rPr>
          <w:rFonts w:ascii="Calibri" w:hAnsi="Calibri" w:eastAsia="Calibri"/>
          <w:color w:val="202A33"/>
        </w:rPr>
        <w:t>Agregar usuarios, hash seguro, login, expiración y variables de entorno al proyecto.</w:t>
      </w:r>
    </w:p>
    <w:p>
      <w:pPr>
        <w:numPr>
          <w:ilvl w:val="0"/>
          <w:numId w:val="19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Revisión: </w:t>
      </w:r>
      <w:r>
        <w:rPr>
          <w:rFonts w:ascii="Calibri" w:hAnsi="Calibri" w:eastAsia="Calibri"/>
          <w:color w:val="202A33"/>
        </w:rPr>
        <w:t>Auditar logs, repositorio y respuestas para detectar exposición de credenciales o datos sensibles.</w:t>
      </w:r>
    </w:p>
    <w:p>
      <w:pPr>
        <w:numPr>
          <w:ilvl w:val="0"/>
          <w:numId w:val="19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Ticket: tres diferencias entre cifrado, hash y codificación.</w:t>
      </w:r>
    </w:p>
    <w:p>
      <w:pPr>
        <w:pStyle w:val="Heading3"/>
        <w:keepNext/>
        <w:keepLines/>
        <w:widowControl w:val="1"/>
      </w:pPr>
      <w:r>
        <w:t>Encuentro 10. Autorización y propiedad del recurso</w:t>
      </w:r>
    </w:p>
    <w:p>
      <w:pPr>
        <w:numPr>
          <w:ilvl w:val="0"/>
          <w:numId w:val="20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15 min - Caso inicial: </w:t>
      </w:r>
      <w:r>
        <w:rPr>
          <w:rFonts w:ascii="Calibri" w:hAnsi="Calibri" w:eastAsia="Calibri"/>
          <w:color w:val="202A33"/>
        </w:rPr>
        <w:t>Resolver quién puede ver, editar y cancelar una reserva bajo cuatro roles y estados.</w:t>
      </w:r>
    </w:p>
    <w:p>
      <w:pPr>
        <w:numPr>
          <w:ilvl w:val="0"/>
          <w:numId w:val="20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40 min - Exposición: </w:t>
      </w:r>
      <w:r>
        <w:rPr>
          <w:rFonts w:ascii="Calibri" w:hAnsi="Calibri" w:eastAsia="Calibri"/>
          <w:color w:val="202A33"/>
        </w:rPr>
        <w:t>Diferenciar autenticación/autorización; desarrollar roles, permisos, propiedad, mínimo privilegio y 401/403.</w:t>
      </w:r>
    </w:p>
    <w:p>
      <w:pPr>
        <w:numPr>
          <w:ilvl w:val="0"/>
          <w:numId w:val="20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Modelado: </w:t>
      </w:r>
      <w:r>
        <w:rPr>
          <w:rFonts w:ascii="Calibri" w:hAnsi="Calibri" w:eastAsia="Calibri"/>
          <w:color w:val="202A33"/>
        </w:rPr>
        <w:t>Construir middleware de autenticación y una política de autorización que consulta el recurso.</w:t>
      </w:r>
    </w:p>
    <w:p>
      <w:pPr>
        <w:numPr>
          <w:ilvl w:val="0"/>
          <w:numId w:val="20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110 min - Laboratorio: </w:t>
      </w:r>
      <w:r>
        <w:rPr>
          <w:rFonts w:ascii="Calibri" w:hAnsi="Calibri" w:eastAsia="Calibri"/>
          <w:color w:val="202A33"/>
        </w:rPr>
        <w:t>Proteger rutas públicas, autenticadas, administrativas y de propietario; crear una matriz de permisos.</w:t>
      </w:r>
    </w:p>
    <w:p>
      <w:pPr>
        <w:numPr>
          <w:ilvl w:val="0"/>
          <w:numId w:val="20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Prueba adversarial: </w:t>
      </w:r>
      <w:r>
        <w:rPr>
          <w:rFonts w:ascii="Calibri" w:hAnsi="Calibri" w:eastAsia="Calibri"/>
          <w:color w:val="202A33"/>
        </w:rPr>
        <w:t>Cada pareja intenta acceder o modificar recursos de otra cuenta y documenta el resultado.</w:t>
      </w:r>
    </w:p>
    <w:p>
      <w:pPr>
        <w:numPr>
          <w:ilvl w:val="0"/>
          <w:numId w:val="20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Registrar una regla de acceso que deba quedar en el dominio y no sólo en la interfaz.</w:t>
      </w:r>
    </w:p>
    <w:p>
      <w:pPr>
        <w:pStyle w:val="Heading3"/>
        <w:keepNext/>
        <w:keepLines/>
        <w:widowControl w:val="1"/>
      </w:pPr>
      <w:r>
        <w:t>Encuentro 11. Laboratorio de endurecimiento</w:t>
      </w:r>
    </w:p>
    <w:p>
      <w:pPr>
        <w:numPr>
          <w:ilvl w:val="0"/>
          <w:numId w:val="2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Estaciones de ataque: </w:t>
      </w:r>
      <w:r>
        <w:rPr>
          <w:rFonts w:ascii="Calibri" w:hAnsi="Calibri" w:eastAsia="Calibri"/>
          <w:color w:val="202A33"/>
        </w:rPr>
        <w:t>Observar ejemplos controlados de inyección, referencia directa insegura, CORS abierto y secreto expuesto.</w:t>
      </w:r>
    </w:p>
    <w:p>
      <w:pPr>
        <w:numPr>
          <w:ilvl w:val="0"/>
          <w:numId w:val="2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Exposición: </w:t>
      </w:r>
      <w:r>
        <w:rPr>
          <w:rFonts w:ascii="Calibri" w:hAnsi="Calibri" w:eastAsia="Calibri"/>
          <w:color w:val="202A33"/>
        </w:rPr>
        <w:t>Relacionar los casos con OWASP y desarrollar parametrización, validación, rate limit, cookies, CORS y encabezados.</w:t>
      </w:r>
    </w:p>
    <w:p>
      <w:pPr>
        <w:numPr>
          <w:ilvl w:val="0"/>
          <w:numId w:val="2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35 min - Demostración: </w:t>
      </w:r>
      <w:r>
        <w:rPr>
          <w:rFonts w:ascii="Calibri" w:hAnsi="Calibri" w:eastAsia="Calibri"/>
          <w:color w:val="202A33"/>
        </w:rPr>
        <w:t>Endurecer una aplicación vulnerable y verificar el cambio con solicitudes repetibles.</w:t>
      </w:r>
    </w:p>
    <w:p>
      <w:pPr>
        <w:numPr>
          <w:ilvl w:val="0"/>
          <w:numId w:val="2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110 min - Laboratorio rojo/azul: </w:t>
      </w:r>
      <w:r>
        <w:rPr>
          <w:rFonts w:ascii="Calibri" w:hAnsi="Calibri" w:eastAsia="Calibri"/>
          <w:color w:val="202A33"/>
        </w:rPr>
        <w:t>Un equipo detecta dos fallas en un entorno preparado; el otro aplica controles y agrega pruebas de regresión.</w:t>
      </w:r>
    </w:p>
    <w:p>
      <w:pPr>
        <w:numPr>
          <w:ilvl w:val="0"/>
          <w:numId w:val="2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Informe: </w:t>
      </w:r>
      <w:r>
        <w:rPr>
          <w:rFonts w:ascii="Calibri" w:hAnsi="Calibri" w:eastAsia="Calibri"/>
          <w:color w:val="202A33"/>
        </w:rPr>
        <w:t>Redactar riesgo, evidencia, impacto, corrección y prueba, sin exponer secretos reales.</w:t>
      </w:r>
    </w:p>
    <w:p>
      <w:pPr>
        <w:numPr>
          <w:ilvl w:val="0"/>
          <w:numId w:val="21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Priorizar los hallazgos por impacto y probabilidad.</w:t>
      </w:r>
    </w:p>
    <w:p>
      <w:pPr>
        <w:pStyle w:val="Heading2"/>
        <w:keepNext/>
        <w:keepLines/>
        <w:widowControl w:val="1"/>
      </w:pPr>
      <w:r>
        <w:t>Evaluación de la unidad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Evidencia integradora: </w:t>
      </w:r>
      <w:r>
        <w:rPr>
          <w:rFonts w:ascii="Calibri" w:hAnsi="Calibri" w:eastAsia="Calibri"/>
          <w:i w:val="0"/>
          <w:color w:val="202A33"/>
        </w:rPr>
        <w:t>Módulo de autenticación y autorización integrado, matriz de permisos, configuración segura y reporte de dos vulnerabilidades con pruebas antes/después.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Modalidad: </w:t>
      </w:r>
      <w:r>
        <w:rPr>
          <w:rFonts w:ascii="Calibri" w:hAnsi="Calibri" w:eastAsia="Calibri"/>
          <w:i w:val="0"/>
          <w:color w:val="202A33"/>
        </w:rPr>
        <w:t>Desafío práctico individual con una API vulnerable preparada por el docente y evaluación grupal del módulo integrado. No se califican ataques fuera del entorno autorizado.</w:t>
      </w:r>
    </w:p>
    <w:p>
      <w:pPr>
        <w:pStyle w:val="Heading3"/>
        <w:keepNext/>
        <w:keepLines/>
        <w:widowControl w:val="1"/>
      </w:pPr>
      <w:r>
        <w:t>Criterios de evaluación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7000"/>
        <w:gridCol w:w="2360"/>
      </w:tblGrid>
      <w:tr>
        <w:trPr>
          <w:cantSplit/>
          <w:tblHeader w:val="true"/>
        </w:trPr>
        <w:tc>
          <w:tcPr>
            <w:tcW w:type="dxa" w:w="7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Criterio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Ponderación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Contraseñas, credenciales y secretos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Autenticación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Autorización y propiedad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Detección, corrección y pruebas de seguridad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 w:val="1"/>
      </w:pPr>
      <w:r>
        <w:t>Unidad 5. Gestión de sesiones, estados y reglas de negocio</w:t>
      </w:r>
    </w:p>
    <w:p>
      <w:pPr>
        <w:spacing w:before="60" w:after="180"/>
        <w:ind w:left="173" w:right="173"/>
        <w:shd w:val="clear" w:fill="E8F3F3"/>
      </w:pPr>
      <w:r>
        <w:rPr>
          <w:rFonts w:ascii="Calibri" w:hAnsi="Calibri" w:eastAsia="Calibri"/>
          <w:b/>
          <w:color w:val="147D82"/>
          <w:sz w:val="21"/>
        </w:rPr>
        <w:t xml:space="preserve">Carga horaria: </w:t>
      </w:r>
      <w:r>
        <w:rPr>
          <w:rFonts w:ascii="Calibri" w:hAnsi="Calibri" w:eastAsia="Calibri"/>
          <w:color w:val="202A33"/>
          <w:sz w:val="21"/>
        </w:rPr>
        <w:t>Semana 12 - 4 horas. Representar estados de usuario y de negocio de forma explícita, controlando transiciones, expiración y solicitudes duplicadas.</w:t>
      </w:r>
    </w:p>
    <w:p>
      <w:pPr>
        <w:pStyle w:val="Heading2"/>
        <w:keepNext/>
        <w:keepLines/>
        <w:widowControl w:val="1"/>
      </w:pPr>
      <w:r>
        <w:t>Resultados de aprendizaje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Comparar sesiones con estado y mecanismos sin estado según el contexto.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Modelar y validar una máquina de estados para una entidad del dominio.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Prevenir transiciones inválidas y efectos duplicados en una operación crítica.</w:t>
      </w:r>
    </w:p>
    <w:p>
      <w:pPr>
        <w:pStyle w:val="Heading2"/>
        <w:keepNext/>
        <w:keepLines/>
        <w:widowControl w:val="1"/>
      </w:pPr>
      <w:r>
        <w:t>Contenidos centrales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HTTP sin estado, cookies, sesión de servidor, token y expiración.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Almacenamiento de sesiones, cierre, regeneración, invalidación y atributos de cookie.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Estados de dominio, invariantes, transiciones válidas y auditoría.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Idempotencia, reintentos y duplicación de operaciones; introducción a concurrencia.</w:t>
      </w:r>
    </w:p>
    <w:p>
      <w:pPr>
        <w:pStyle w:val="Heading2"/>
        <w:keepNext/>
        <w:keepLines/>
        <w:widowControl w:val="1"/>
      </w:pPr>
      <w:r>
        <w:t>Curaduría de contenidos en español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7">
        <w:r>
          <w:rPr>
            <w:rFonts w:ascii="Calibri" w:hAnsi="Calibri"/>
            <w:color w:val="0563C1"/>
            <w:u w:val="single"/>
          </w:rPr>
          <w:t>Cookies HTTP - MDN</w:t>
        </w:r>
      </w:hyperlink>
      <w:r>
        <w:rPr>
          <w:rFonts w:ascii="Calibri" w:hAnsi="Calibri" w:eastAsia="Calibri"/>
          <w:color w:val="202A33"/>
        </w:rPr>
        <w:t>. Explica cómo las cookies permiten mantener estado y cómo configurarlas con criterios de seguridad.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8">
        <w:r>
          <w:rPr>
            <w:rFonts w:ascii="Calibri" w:hAnsi="Calibri"/>
            <w:color w:val="0563C1"/>
            <w:u w:val="single"/>
          </w:rPr>
          <w:t>express-session</w:t>
        </w:r>
      </w:hyperlink>
      <w:r>
        <w:rPr>
          <w:rFonts w:ascii="Calibri" w:hAnsi="Calibri" w:eastAsia="Calibri"/>
          <w:color w:val="202A33"/>
        </w:rPr>
        <w:t>. Referencia oficial para sesión de servidor, opciones de cookie, almacenamiento e invalidación; advertir que MemoryStore no es de producción.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9">
        <w:r>
          <w:rPr>
            <w:rFonts w:ascii="Calibri" w:hAnsi="Calibri"/>
            <w:color w:val="0563C1"/>
            <w:u w:val="single"/>
          </w:rPr>
          <w:t>cookie-session</w:t>
        </w:r>
      </w:hyperlink>
      <w:r>
        <w:rPr>
          <w:rFonts w:ascii="Calibri" w:hAnsi="Calibri" w:eastAsia="Calibri"/>
          <w:color w:val="202A33"/>
        </w:rPr>
        <w:t>. Comparación oficial entre datos de sesión en cliente y sesión almacenada en servidor.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18">
        <w:r>
          <w:rPr>
            <w:rFonts w:ascii="Calibri" w:hAnsi="Calibri"/>
            <w:color w:val="0563C1"/>
            <w:u w:val="single"/>
          </w:rPr>
          <w:t>Métodos HTTP - MDN</w:t>
        </w:r>
      </w:hyperlink>
      <w:r>
        <w:rPr>
          <w:rFonts w:ascii="Calibri" w:hAnsi="Calibri" w:eastAsia="Calibri"/>
          <w:color w:val="202A33"/>
        </w:rPr>
        <w:t>. Punto de partida para discutir métodos seguros, idempotentes y reintentos.</w:t>
      </w:r>
    </w:p>
    <w:p>
      <w:pPr>
        <w:spacing w:before="60" w:after="180"/>
        <w:ind w:left="173" w:right="173"/>
        <w:shd w:val="clear" w:fill="F4F6F9"/>
      </w:pPr>
      <w:r>
        <w:rPr>
          <w:rFonts w:ascii="Calibri" w:hAnsi="Calibri" w:eastAsia="Calibri"/>
          <w:b/>
          <w:color w:val="1F4D78"/>
          <w:sz w:val="21"/>
        </w:rPr>
        <w:t xml:space="preserve">Uso recomendado: </w:t>
      </w:r>
      <w:r>
        <w:rPr>
          <w:rFonts w:ascii="Calibri" w:hAnsi="Calibri" w:eastAsia="Calibri"/>
          <w:color w:val="202A33"/>
          <w:sz w:val="21"/>
        </w:rPr>
        <w:t>asignar fragmentos concretos antes de la clase y reutilizarlos durante el laboratorio. La lectura completa queda como consulta, no como sustituto de la mediación docente.</w:t>
      </w:r>
    </w:p>
    <w:p>
      <w:pPr>
        <w:pStyle w:val="Heading2"/>
        <w:keepNext/>
        <w:keepLines/>
        <w:widowControl w:val="1"/>
      </w:pPr>
      <w:r>
        <w:t>Secuencia didáctica</w:t>
      </w:r>
    </w:p>
    <w:p>
      <w:pPr>
        <w:pStyle w:val="Heading3"/>
        <w:keepNext/>
        <w:keepLines/>
        <w:widowControl w:val="1"/>
      </w:pPr>
      <w:r>
        <w:t>Encuentro 12. Estado de usuario y estado de negocio</w:t>
      </w:r>
    </w:p>
    <w:p>
      <w:pPr>
        <w:numPr>
          <w:ilvl w:val="0"/>
          <w:numId w:val="2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Problema inicial: </w:t>
      </w:r>
      <w:r>
        <w:rPr>
          <w:rFonts w:ascii="Calibri" w:hAnsi="Calibri" w:eastAsia="Calibri"/>
          <w:color w:val="202A33"/>
        </w:rPr>
        <w:t>Analizar un doble clic que genera dos pagos y una reserva que salta de 'pendiente' a 'finalizada'.</w:t>
      </w:r>
    </w:p>
    <w:p>
      <w:pPr>
        <w:numPr>
          <w:ilvl w:val="0"/>
          <w:numId w:val="2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40 min - Exposición: </w:t>
      </w:r>
      <w:r>
        <w:rPr>
          <w:rFonts w:ascii="Calibri" w:hAnsi="Calibri" w:eastAsia="Calibri"/>
          <w:color w:val="202A33"/>
        </w:rPr>
        <w:t>Comparar HTTP sin estado, cookie, sesión de servidor, token, expiración, invalidación e idempotencia.</w:t>
      </w:r>
    </w:p>
    <w:p>
      <w:pPr>
        <w:numPr>
          <w:ilvl w:val="0"/>
          <w:numId w:val="2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40 min - Modelado: </w:t>
      </w:r>
      <w:r>
        <w:rPr>
          <w:rFonts w:ascii="Calibri" w:hAnsi="Calibri" w:eastAsia="Calibri"/>
          <w:color w:val="202A33"/>
        </w:rPr>
        <w:t>Dibujar la máquina de estados de una reserva y convertir cada transición en una regla del servicio.</w:t>
      </w:r>
    </w:p>
    <w:p>
      <w:pPr>
        <w:numPr>
          <w:ilvl w:val="0"/>
          <w:numId w:val="2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110 min - Laboratorio: </w:t>
      </w:r>
      <w:r>
        <w:rPr>
          <w:rFonts w:ascii="Calibri" w:hAnsi="Calibri" w:eastAsia="Calibri"/>
          <w:color w:val="202A33"/>
        </w:rPr>
        <w:t>Implementar sesión o mecanismo equivalente, transiciones válidas y una estrategia simple contra solicitudes duplicadas.</w:t>
      </w:r>
    </w:p>
    <w:p>
      <w:pPr>
        <w:numPr>
          <w:ilvl w:val="0"/>
          <w:numId w:val="2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Pruebas: </w:t>
      </w:r>
      <w:r>
        <w:rPr>
          <w:rFonts w:ascii="Calibri" w:hAnsi="Calibri" w:eastAsia="Calibri"/>
          <w:color w:val="202A33"/>
        </w:rPr>
        <w:t>Ejecutar cierre de sesión, expiración simulada, transición inválida y repetición de una operación crítica.</w:t>
      </w:r>
    </w:p>
    <w:p>
      <w:pPr>
        <w:numPr>
          <w:ilvl w:val="0"/>
          <w:numId w:val="22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Explicar qué estado pertenece al usuario, cuál al dominio y dónde se persiste cada uno.</w:t>
      </w:r>
    </w:p>
    <w:p>
      <w:pPr>
        <w:pStyle w:val="Heading2"/>
        <w:keepNext/>
        <w:keepLines/>
        <w:widowControl w:val="1"/>
      </w:pPr>
      <w:r>
        <w:t>Evaluación de la unidad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Evidencia integradora: </w:t>
      </w:r>
      <w:r>
        <w:rPr>
          <w:rFonts w:ascii="Calibri" w:hAnsi="Calibri" w:eastAsia="Calibri"/>
          <w:i w:val="0"/>
          <w:color w:val="202A33"/>
        </w:rPr>
        <w:t>Diagrama de estados, implementación de transiciones, prueba de estados inválidos y demostración de sesión/expiración e idempotencia básica.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Modalidad: </w:t>
      </w:r>
      <w:r>
        <w:rPr>
          <w:rFonts w:ascii="Calibri" w:hAnsi="Calibri" w:eastAsia="Calibri"/>
          <w:i w:val="0"/>
          <w:color w:val="202A33"/>
        </w:rPr>
        <w:t>Prueba práctica corta sobre una regla nueva y defensa individual del diagrama. La evidencia debe incluir al menos un test que falle antes de implementar el control.</w:t>
      </w:r>
    </w:p>
    <w:p>
      <w:pPr>
        <w:pStyle w:val="Heading3"/>
        <w:keepNext/>
        <w:keepLines/>
        <w:widowControl w:val="1"/>
      </w:pPr>
      <w:r>
        <w:t>Criterios de evaluación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7000"/>
        <w:gridCol w:w="2360"/>
      </w:tblGrid>
      <w:tr>
        <w:trPr>
          <w:cantSplit/>
          <w:tblHeader w:val="true"/>
        </w:trPr>
        <w:tc>
          <w:tcPr>
            <w:tcW w:type="dxa" w:w="7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Criterio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Ponderación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Modelo de estados e invariantes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35%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Implementación de transiciones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Sesión, expiración e invalidación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Idempotencia, pruebas y explicación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15%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 w:val="1"/>
      </w:pPr>
      <w:r>
        <w:t>Unidad 6. Integración con frontend y servicios externos</w:t>
      </w:r>
    </w:p>
    <w:p>
      <w:pPr>
        <w:spacing w:before="60" w:after="180"/>
        <w:ind w:left="173" w:right="173"/>
        <w:shd w:val="clear" w:fill="E8F3F3"/>
      </w:pPr>
      <w:r>
        <w:rPr>
          <w:rFonts w:ascii="Calibri" w:hAnsi="Calibri" w:eastAsia="Calibri"/>
          <w:b/>
          <w:color w:val="147D82"/>
          <w:sz w:val="21"/>
        </w:rPr>
        <w:t xml:space="preserve">Carga horaria: </w:t>
      </w:r>
      <w:r>
        <w:rPr>
          <w:rFonts w:ascii="Calibri" w:hAnsi="Calibri" w:eastAsia="Calibri"/>
          <w:color w:val="202A33"/>
          <w:sz w:val="21"/>
        </w:rPr>
        <w:t>Semanas 13 y 14 - 8 horas. Completar un flujo vertical frontend-backend y diseñar integraciones externas tolerantes a errores y verificables.</w:t>
      </w:r>
    </w:p>
    <w:p>
      <w:pPr>
        <w:pStyle w:val="Heading2"/>
        <w:keepNext/>
        <w:keepLines/>
        <w:widowControl w:val="1"/>
      </w:pPr>
      <w:r>
        <w:t>Resultados de aprendizaje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Consumir la API desde un frontend y resolver autenticación, CORS y estados de interfaz.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Integrar un servicio externo con timeout, tratamiento de errores y configuración segura.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Recibir un webhook verificando origen, duplicados y contrato del evento.</w:t>
      </w:r>
    </w:p>
    <w:p>
      <w:pPr>
        <w:pStyle w:val="Heading2"/>
        <w:keepNext/>
        <w:keepLines/>
        <w:widowControl w:val="1"/>
      </w:pPr>
      <w:r>
        <w:t>Contenidos centrales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Fetch, promesas, JSON, estados HTTP, carga, éxito y error en la interfaz.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CORS, credenciales, cookies/tokens y contratos entre equipos.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APIs externas, timeouts, reintentos limitados, mapeo de errores y mocks.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Webhooks, firma o secreto, eventos, duplicados, archivos y almacenamiento opcional.</w:t>
      </w:r>
    </w:p>
    <w:p>
      <w:pPr>
        <w:pStyle w:val="Heading2"/>
        <w:keepNext/>
        <w:keepLines/>
        <w:widowControl w:val="1"/>
      </w:pPr>
      <w:r>
        <w:t>Curaduría de contenidos en español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30">
        <w:r>
          <w:rPr>
            <w:rFonts w:ascii="Calibri" w:hAnsi="Calibri"/>
            <w:color w:val="0563C1"/>
            <w:u w:val="single"/>
          </w:rPr>
          <w:t>Uso de Fetch - MDN</w:t>
        </w:r>
      </w:hyperlink>
      <w:r>
        <w:rPr>
          <w:rFonts w:ascii="Calibri" w:hAnsi="Calibri" w:eastAsia="Calibri"/>
          <w:color w:val="202A33"/>
        </w:rPr>
        <w:t>. Guía oficial para solicitudes, JSON, encabezados, credenciales, archivos y manejo de respuestas.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26">
        <w:r>
          <w:rPr>
            <w:rFonts w:ascii="Calibri" w:hAnsi="Calibri"/>
            <w:color w:val="0563C1"/>
            <w:u w:val="single"/>
          </w:rPr>
          <w:t>CORS - MDN</w:t>
        </w:r>
      </w:hyperlink>
      <w:r>
        <w:rPr>
          <w:rFonts w:ascii="Calibri" w:hAnsi="Calibri" w:eastAsia="Calibri"/>
          <w:color w:val="202A33"/>
        </w:rPr>
        <w:t>. Referencia para preflight, orígenes permitidos y solicitudes con credenciales.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31">
        <w:r>
          <w:rPr>
            <w:rFonts w:ascii="Calibri" w:hAnsi="Calibri"/>
            <w:color w:val="0563C1"/>
            <w:u w:val="single"/>
          </w:rPr>
          <w:t>Crear webhooks - GitHub Docs</w:t>
        </w:r>
      </w:hyperlink>
      <w:r>
        <w:rPr>
          <w:rFonts w:ascii="Calibri" w:hAnsi="Calibri" w:eastAsia="Calibri"/>
          <w:color w:val="202A33"/>
        </w:rPr>
        <w:t>. Ejemplo oficial de eventos, URL de carga útil, JSON, secreto y evento ping.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32">
        <w:r>
          <w:rPr>
            <w:rFonts w:ascii="Calibri" w:hAnsi="Calibri"/>
            <w:color w:val="0563C1"/>
            <w:u w:val="single"/>
          </w:rPr>
          <w:t>API REST de webhooks de repositorio</w:t>
        </w:r>
      </w:hyperlink>
      <w:r>
        <w:rPr>
          <w:rFonts w:ascii="Calibri" w:hAnsi="Calibri" w:eastAsia="Calibri"/>
          <w:color w:val="202A33"/>
        </w:rPr>
        <w:t>. Material de ampliación para administrar webhooks mediante una API.</w:t>
      </w:r>
    </w:p>
    <w:p>
      <w:pPr>
        <w:spacing w:before="60" w:after="180"/>
        <w:ind w:left="173" w:right="173"/>
        <w:shd w:val="clear" w:fill="F4F6F9"/>
      </w:pPr>
      <w:r>
        <w:rPr>
          <w:rFonts w:ascii="Calibri" w:hAnsi="Calibri" w:eastAsia="Calibri"/>
          <w:b/>
          <w:color w:val="1F4D78"/>
          <w:sz w:val="21"/>
        </w:rPr>
        <w:t xml:space="preserve">Uso recomendado: </w:t>
      </w:r>
      <w:r>
        <w:rPr>
          <w:rFonts w:ascii="Calibri" w:hAnsi="Calibri" w:eastAsia="Calibri"/>
          <w:color w:val="202A33"/>
          <w:sz w:val="21"/>
        </w:rPr>
        <w:t>asignar fragmentos concretos antes de la clase y reutilizarlos durante el laboratorio. La lectura completa queda como consulta, no como sustituto de la mediación docente.</w:t>
      </w:r>
    </w:p>
    <w:p>
      <w:pPr>
        <w:pStyle w:val="Heading2"/>
        <w:keepNext/>
        <w:keepLines/>
        <w:widowControl w:val="1"/>
      </w:pPr>
      <w:r>
        <w:t>Secuencia didáctica</w:t>
      </w:r>
    </w:p>
    <w:p>
      <w:pPr>
        <w:pStyle w:val="Heading3"/>
        <w:keepNext/>
        <w:keepLines/>
        <w:widowControl w:val="1"/>
      </w:pPr>
      <w:r>
        <w:t>Encuentro 13. Flujo vertical frontend-backend</w:t>
      </w:r>
    </w:p>
    <w:p>
      <w:pPr>
        <w:numPr>
          <w:ilvl w:val="0"/>
          <w:numId w:val="2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Diagnóstico: </w:t>
      </w:r>
      <w:r>
        <w:rPr>
          <w:rFonts w:ascii="Calibri" w:hAnsi="Calibri" w:eastAsia="Calibri"/>
          <w:color w:val="202A33"/>
        </w:rPr>
        <w:t>Observar una pantalla que queda cargando ante 401, 404 y 500 e identificar responsabilidades.</w:t>
      </w:r>
    </w:p>
    <w:p>
      <w:pPr>
        <w:numPr>
          <w:ilvl w:val="0"/>
          <w:numId w:val="2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40 min - Exposición: </w:t>
      </w:r>
      <w:r>
        <w:rPr>
          <w:rFonts w:ascii="Calibri" w:hAnsi="Calibri" w:eastAsia="Calibri"/>
          <w:color w:val="202A33"/>
        </w:rPr>
        <w:t>Desarrollar Fetch, respuesta HTTP, response.ok, JSON, credenciales, CORS y estados de interfaz.</w:t>
      </w:r>
    </w:p>
    <w:p>
      <w:pPr>
        <w:numPr>
          <w:ilvl w:val="0"/>
          <w:numId w:val="2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Demostración: </w:t>
      </w:r>
      <w:r>
        <w:rPr>
          <w:rFonts w:ascii="Calibri" w:hAnsi="Calibri" w:eastAsia="Calibri"/>
          <w:color w:val="202A33"/>
        </w:rPr>
        <w:t>Conectar login, listado y creación desde un frontend mínimo y recorrer la solicitud completa.</w:t>
      </w:r>
    </w:p>
    <w:p>
      <w:pPr>
        <w:numPr>
          <w:ilvl w:val="0"/>
          <w:numId w:val="2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110 min - Laboratorio: </w:t>
      </w:r>
      <w:r>
        <w:rPr>
          <w:rFonts w:ascii="Calibri" w:hAnsi="Calibri" w:eastAsia="Calibri"/>
          <w:color w:val="202A33"/>
        </w:rPr>
        <w:t>Implementar un flujo autenticado de extremo a extremo con carga, éxito, validación y error recuperable.</w:t>
      </w:r>
    </w:p>
    <w:p>
      <w:pPr>
        <w:numPr>
          <w:ilvl w:val="0"/>
          <w:numId w:val="2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15 min - Revisión: </w:t>
      </w:r>
      <w:r>
        <w:rPr>
          <w:rFonts w:ascii="Calibri" w:hAnsi="Calibri" w:eastAsia="Calibri"/>
          <w:color w:val="202A33"/>
        </w:rPr>
        <w:t>Probar el frontend de otro equipo con usuario válido, inválido y backend detenido.</w:t>
      </w:r>
    </w:p>
    <w:p>
      <w:pPr>
        <w:numPr>
          <w:ilvl w:val="0"/>
          <w:numId w:val="23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Registrar qué errores deben traducirse en la interfaz y cuáles sólo deben quedar en logs.</w:t>
      </w:r>
    </w:p>
    <w:p>
      <w:pPr>
        <w:pStyle w:val="Heading3"/>
        <w:keepNext/>
        <w:keepLines/>
        <w:widowControl w:val="1"/>
      </w:pPr>
      <w:r>
        <w:t>Encuentro 14. Servicio externo y webhook</w:t>
      </w:r>
    </w:p>
    <w:p>
      <w:pPr>
        <w:numPr>
          <w:ilvl w:val="0"/>
          <w:numId w:val="2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15 min - Caso inicial: </w:t>
      </w:r>
      <w:r>
        <w:rPr>
          <w:rFonts w:ascii="Calibri" w:hAnsi="Calibri" w:eastAsia="Calibri"/>
          <w:color w:val="202A33"/>
        </w:rPr>
        <w:t>Analizar qué ocurre cuando el proveedor de correo o pagos demora, duplica o rechaza una solicitud.</w:t>
      </w:r>
    </w:p>
    <w:p>
      <w:pPr>
        <w:numPr>
          <w:ilvl w:val="0"/>
          <w:numId w:val="2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Exposición: </w:t>
      </w:r>
      <w:r>
        <w:rPr>
          <w:rFonts w:ascii="Calibri" w:hAnsi="Calibri" w:eastAsia="Calibri"/>
          <w:color w:val="202A33"/>
        </w:rPr>
        <w:t>Explicar contrato externo, timeout, reintento limitado, mock, secreto, firma, evento e idempotencia.</w:t>
      </w:r>
    </w:p>
    <w:p>
      <w:pPr>
        <w:numPr>
          <w:ilvl w:val="0"/>
          <w:numId w:val="2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Demostración: </w:t>
      </w:r>
      <w:r>
        <w:rPr>
          <w:rFonts w:ascii="Calibri" w:hAnsi="Calibri" w:eastAsia="Calibri"/>
          <w:color w:val="202A33"/>
        </w:rPr>
        <w:t>Consumir un servicio simulado y recibir un webhook validando secreto y evento.</w:t>
      </w:r>
    </w:p>
    <w:p>
      <w:pPr>
        <w:numPr>
          <w:ilvl w:val="0"/>
          <w:numId w:val="2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105 min - Laboratorio: </w:t>
      </w:r>
      <w:r>
        <w:rPr>
          <w:rFonts w:ascii="Calibri" w:hAnsi="Calibri" w:eastAsia="Calibri"/>
          <w:color w:val="202A33"/>
        </w:rPr>
        <w:t>Integrar una API externa y un webhook simulado, mapear errores y evitar procesar dos veces el mismo evento.</w:t>
      </w:r>
    </w:p>
    <w:p>
      <w:pPr>
        <w:numPr>
          <w:ilvl w:val="0"/>
          <w:numId w:val="2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Simulacro de falla: </w:t>
      </w:r>
      <w:r>
        <w:rPr>
          <w:rFonts w:ascii="Calibri" w:hAnsi="Calibri" w:eastAsia="Calibri"/>
          <w:color w:val="202A33"/>
        </w:rPr>
        <w:t>El docente introduce latencia, 500 y evento duplicado; el equipo registra el comportamiento.</w:t>
      </w:r>
    </w:p>
    <w:p>
      <w:pPr>
        <w:numPr>
          <w:ilvl w:val="0"/>
          <w:numId w:val="24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Demo de 90 segundos y entrega de evidencia de fallo controlado.</w:t>
      </w:r>
    </w:p>
    <w:p>
      <w:pPr>
        <w:pStyle w:val="Heading2"/>
        <w:keepNext/>
        <w:keepLines/>
        <w:widowControl w:val="1"/>
      </w:pPr>
      <w:r>
        <w:t>Evaluación de la unidad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Evidencia integradora: </w:t>
      </w:r>
      <w:r>
        <w:rPr>
          <w:rFonts w:ascii="Calibri" w:hAnsi="Calibri" w:eastAsia="Calibri"/>
          <w:i w:val="0"/>
          <w:color w:val="202A33"/>
        </w:rPr>
        <w:t>Flujo full stack autenticado y una integración externa con timeout, error controlado, configuración segura, mock y webhook idempotente.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Modalidad: </w:t>
      </w:r>
      <w:r>
        <w:rPr>
          <w:rFonts w:ascii="Calibri" w:hAnsi="Calibri" w:eastAsia="Calibri"/>
          <w:i w:val="0"/>
          <w:color w:val="202A33"/>
        </w:rPr>
        <w:t>Demostración funcional grupal con guion de fallas y pregunta individual al azar sobre contrato, CORS, credenciales o resiliencia.</w:t>
      </w:r>
    </w:p>
    <w:p>
      <w:pPr>
        <w:pStyle w:val="Heading3"/>
        <w:keepNext/>
        <w:keepLines/>
        <w:widowControl w:val="1"/>
      </w:pPr>
      <w:r>
        <w:t>Criterios de evaluación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7000"/>
        <w:gridCol w:w="2360"/>
      </w:tblGrid>
      <w:tr>
        <w:trPr>
          <w:cantSplit/>
          <w:tblHeader w:val="true"/>
        </w:trPr>
        <w:tc>
          <w:tcPr>
            <w:tcW w:type="dxa" w:w="7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Criterio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Ponderación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Contrato y flujo frontend-backend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Manejo de estados y errores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Seguridad de credenciales y webhook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Integración externa y resiliencia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Pruebas y demostración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10%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widowControl w:val="1"/>
      </w:pPr>
      <w:r>
        <w:t>Unidad 7. Rendimiento, escalabilidad y calidad</w:t>
      </w:r>
    </w:p>
    <w:p>
      <w:pPr>
        <w:spacing w:before="60" w:after="180"/>
        <w:ind w:left="173" w:right="173"/>
        <w:shd w:val="clear" w:fill="E8F3F3"/>
      </w:pPr>
      <w:r>
        <w:rPr>
          <w:rFonts w:ascii="Calibri" w:hAnsi="Calibri" w:eastAsia="Calibri"/>
          <w:b/>
          <w:color w:val="147D82"/>
          <w:sz w:val="21"/>
        </w:rPr>
        <w:t xml:space="preserve">Carga horaria: </w:t>
      </w:r>
      <w:r>
        <w:rPr>
          <w:rFonts w:ascii="Calibri" w:hAnsi="Calibri" w:eastAsia="Calibri"/>
          <w:color w:val="202A33"/>
          <w:sz w:val="21"/>
        </w:rPr>
        <w:t>Semanas 15 y 16 - 8 horas. Medir antes de optimizar y preparar una aplicación verificable y operable mediante índices, caché, pruebas, salud y cierre controlado.</w:t>
      </w:r>
    </w:p>
    <w:p>
      <w:pPr>
        <w:pStyle w:val="Heading2"/>
        <w:keepNext/>
        <w:keepLines/>
        <w:widowControl w:val="1"/>
      </w:pPr>
      <w:r>
        <w:t>Resultados de aprendizaje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Establecer una línea base y localizar cuellos de botella con evidencia.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Aplicar una mejora pertinente en consulta, paginación, índice, caché o código asíncrono.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Incorporar pruebas, logs, health check y apagado controlado, y explicar opciones básicas de escala.</w:t>
      </w:r>
    </w:p>
    <w:p>
      <w:pPr>
        <w:pStyle w:val="Heading2"/>
        <w:keepNext/>
        <w:keepLines/>
        <w:widowControl w:val="1"/>
      </w:pPr>
      <w:r>
        <w:t>Contenidos centrales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Latencia, throughput, consumo, cuellos de botella y medición.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Paginación, índices, EXPLAIN introductorio, N+1, caché HTTP y compresión.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Pruebas unitarias e integración, logs, health/readiness y cierre controlado.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Escala vertical/horizontal, procesos, balanceo, reverse proxy y límites del estado en memoria.</w:t>
      </w:r>
    </w:p>
    <w:p>
      <w:pPr>
        <w:pStyle w:val="Heading2"/>
        <w:keepNext/>
        <w:keepLines/>
        <w:widowControl w:val="1"/>
      </w:pPr>
      <w:r>
        <w:t>Curaduría de contenidos en español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33">
        <w:r>
          <w:rPr>
            <w:rFonts w:ascii="Calibri" w:hAnsi="Calibri"/>
            <w:color w:val="0563C1"/>
            <w:u w:val="single"/>
          </w:rPr>
          <w:t>Rendimiento y fiabilidad en Express</w:t>
        </w:r>
      </w:hyperlink>
      <w:r>
        <w:rPr>
          <w:rFonts w:ascii="Calibri" w:hAnsi="Calibri" w:eastAsia="Calibri"/>
          <w:color w:val="202A33"/>
        </w:rPr>
        <w:t>. Guía oficial para compresión, funciones asíncronas, logging, entorno, procesos, caché y balanceo.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34">
        <w:r>
          <w:rPr>
            <w:rFonts w:ascii="Calibri" w:hAnsi="Calibri"/>
            <w:color w:val="0563C1"/>
            <w:u w:val="single"/>
          </w:rPr>
          <w:t>Health checks y cierre controlado</w:t>
        </w:r>
      </w:hyperlink>
      <w:r>
        <w:rPr>
          <w:rFonts w:ascii="Calibri" w:hAnsi="Calibri" w:eastAsia="Calibri"/>
          <w:color w:val="202A33"/>
        </w:rPr>
        <w:t>. Referencia para salud del proceso, señales y finalización segura.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35">
        <w:r>
          <w:rPr>
            <w:rFonts w:ascii="Calibri" w:hAnsi="Calibri"/>
            <w:color w:val="0563C1"/>
            <w:u w:val="single"/>
          </w:rPr>
          <w:t>Caché HTTP - MDN</w:t>
        </w:r>
      </w:hyperlink>
      <w:r>
        <w:rPr>
          <w:rFonts w:ascii="Calibri" w:hAnsi="Calibri" w:eastAsia="Calibri"/>
          <w:color w:val="202A33"/>
        </w:rPr>
        <w:t>. Material oficial para frescura, validación y encabezados de caché.</w:t>
      </w:r>
    </w:p>
    <w:p>
      <w:pPr>
        <w:spacing w:after="80"/>
        <w:ind w:left="173" w:hanging="173"/>
      </w:pPr>
      <w:r>
        <w:rPr>
          <w:rFonts w:ascii="Calibri" w:hAnsi="Calibri" w:eastAsia="Calibri"/>
          <w:b/>
          <w:color w:val="1F4D78"/>
        </w:rPr>
        <w:t xml:space="preserve">Recurso: </w:t>
      </w:r>
      <w:hyperlink r:id="rId36">
        <w:r>
          <w:rPr>
            <w:rFonts w:ascii="Calibri" w:hAnsi="Calibri"/>
            <w:color w:val="0563C1"/>
            <w:u w:val="single"/>
          </w:rPr>
          <w:t>Introducción a Jest</w:t>
        </w:r>
      </w:hyperlink>
      <w:r>
        <w:rPr>
          <w:rFonts w:ascii="Calibri" w:hAnsi="Calibri" w:eastAsia="Calibri"/>
          <w:color w:val="202A33"/>
        </w:rPr>
        <w:t>. Referencia oficial localizada para configuración, pruebas, aserciones y ejecución.</w:t>
      </w:r>
    </w:p>
    <w:p>
      <w:pPr>
        <w:spacing w:before="60" w:after="180"/>
        <w:ind w:left="173" w:right="173"/>
        <w:shd w:val="clear" w:fill="F4F6F9"/>
      </w:pPr>
      <w:r>
        <w:rPr>
          <w:rFonts w:ascii="Calibri" w:hAnsi="Calibri" w:eastAsia="Calibri"/>
          <w:b/>
          <w:color w:val="1F4D78"/>
          <w:sz w:val="21"/>
        </w:rPr>
        <w:t xml:space="preserve">Uso recomendado: </w:t>
      </w:r>
      <w:r>
        <w:rPr>
          <w:rFonts w:ascii="Calibri" w:hAnsi="Calibri" w:eastAsia="Calibri"/>
          <w:color w:val="202A33"/>
          <w:sz w:val="21"/>
        </w:rPr>
        <w:t>asignar fragmentos concretos antes de la clase y reutilizarlos durante el laboratorio. La lectura completa queda como consulta, no como sustituto de la mediación docente.</w:t>
      </w:r>
    </w:p>
    <w:p>
      <w:pPr>
        <w:pStyle w:val="Heading2"/>
        <w:keepNext/>
        <w:keepLines/>
        <w:widowControl w:val="1"/>
      </w:pPr>
      <w:r>
        <w:t>Secuencia didáctica</w:t>
      </w:r>
    </w:p>
    <w:p>
      <w:pPr>
        <w:pStyle w:val="Heading3"/>
        <w:keepNext/>
        <w:keepLines/>
        <w:widowControl w:val="1"/>
      </w:pPr>
      <w:r>
        <w:t>Encuentro 15. Medir, explicar y optimizar</w:t>
      </w:r>
    </w:p>
    <w:p>
      <w:pPr>
        <w:numPr>
          <w:ilvl w:val="0"/>
          <w:numId w:val="2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Línea base: </w:t>
      </w:r>
      <w:r>
        <w:rPr>
          <w:rFonts w:ascii="Calibri" w:hAnsi="Calibri" w:eastAsia="Calibri"/>
          <w:color w:val="202A33"/>
        </w:rPr>
        <w:t>Ejecutar un guion común y registrar latencia, cantidad de consultas y tamaño de respuesta.</w:t>
      </w:r>
    </w:p>
    <w:p>
      <w:pPr>
        <w:numPr>
          <w:ilvl w:val="0"/>
          <w:numId w:val="2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Exposición: </w:t>
      </w:r>
      <w:r>
        <w:rPr>
          <w:rFonts w:ascii="Calibri" w:hAnsi="Calibri" w:eastAsia="Calibri"/>
          <w:color w:val="202A33"/>
        </w:rPr>
        <w:t>Desarrollar cuellos de botella, paginación, N+1, índices, EXPLAIN introductorio, caché y compresión.</w:t>
      </w:r>
    </w:p>
    <w:p>
      <w:pPr>
        <w:numPr>
          <w:ilvl w:val="0"/>
          <w:numId w:val="2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Demostración: </w:t>
      </w:r>
      <w:r>
        <w:rPr>
          <w:rFonts w:ascii="Calibri" w:hAnsi="Calibri" w:eastAsia="Calibri"/>
          <w:color w:val="202A33"/>
        </w:rPr>
        <w:t>Medir una consulta, agregar índice o corregir N+1 y comparar resultados con el mismo escenario.</w:t>
      </w:r>
    </w:p>
    <w:p>
      <w:pPr>
        <w:numPr>
          <w:ilvl w:val="0"/>
          <w:numId w:val="2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100 min - Laboratorio: </w:t>
      </w:r>
      <w:r>
        <w:rPr>
          <w:rFonts w:ascii="Calibri" w:hAnsi="Calibri" w:eastAsia="Calibri"/>
          <w:color w:val="202A33"/>
        </w:rPr>
        <w:t>Elegir un cuello de botella real del proyecto, formular hipótesis, aplicar una mejora y repetir la medición.</w:t>
      </w:r>
    </w:p>
    <w:p>
      <w:pPr>
        <w:numPr>
          <w:ilvl w:val="0"/>
          <w:numId w:val="2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Revisión: </w:t>
      </w:r>
      <w:r>
        <w:rPr>
          <w:rFonts w:ascii="Calibri" w:hAnsi="Calibri" w:eastAsia="Calibri"/>
          <w:color w:val="202A33"/>
        </w:rPr>
        <w:t>Intercambiar informes antes/después y verificar que la evidencia sea comparable.</w:t>
      </w:r>
    </w:p>
    <w:p>
      <w:pPr>
        <w:numPr>
          <w:ilvl w:val="0"/>
          <w:numId w:val="25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Cierre: </w:t>
      </w:r>
      <w:r>
        <w:rPr>
          <w:rFonts w:ascii="Calibri" w:hAnsi="Calibri" w:eastAsia="Calibri"/>
          <w:color w:val="202A33"/>
        </w:rPr>
        <w:t>Declarar qué no se optimizó y por qué.</w:t>
      </w:r>
    </w:p>
    <w:p>
      <w:pPr>
        <w:pStyle w:val="Heading3"/>
        <w:keepNext/>
        <w:keepLines/>
        <w:widowControl w:val="1"/>
      </w:pPr>
      <w:r>
        <w:t>Encuentro 16. Calidad operativa y defensa</w:t>
      </w:r>
    </w:p>
    <w:p>
      <w:pPr>
        <w:numPr>
          <w:ilvl w:val="0"/>
          <w:numId w:val="2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Incidente inicial: </w:t>
      </w:r>
      <w:r>
        <w:rPr>
          <w:rFonts w:ascii="Calibri" w:hAnsi="Calibri" w:eastAsia="Calibri"/>
          <w:color w:val="202A33"/>
        </w:rPr>
        <w:t>Analizar una aplicación que responde pero no está lista para recibir tráfico y pierde solicitudes al apagarse.</w:t>
      </w:r>
    </w:p>
    <w:p>
      <w:pPr>
        <w:numPr>
          <w:ilvl w:val="0"/>
          <w:numId w:val="2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40 min - Exposición: </w:t>
      </w:r>
      <w:r>
        <w:rPr>
          <w:rFonts w:ascii="Calibri" w:hAnsi="Calibri" w:eastAsia="Calibri"/>
          <w:color w:val="202A33"/>
        </w:rPr>
        <w:t>Presentar pruebas, logs útiles, health/readiness, cierre controlado, procesos, balanceo y estado compartido.</w:t>
      </w:r>
    </w:p>
    <w:p>
      <w:pPr>
        <w:numPr>
          <w:ilvl w:val="0"/>
          <w:numId w:val="2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45 min - Demostración: </w:t>
      </w:r>
      <w:r>
        <w:rPr>
          <w:rFonts w:ascii="Calibri" w:hAnsi="Calibri" w:eastAsia="Calibri"/>
          <w:color w:val="202A33"/>
        </w:rPr>
        <w:t>Agregar pruebas de servicio y endpoint, health check y manejo de señal de terminación.</w:t>
      </w:r>
    </w:p>
    <w:p>
      <w:pPr>
        <w:numPr>
          <w:ilvl w:val="0"/>
          <w:numId w:val="2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105 min - Laboratorio final: </w:t>
      </w:r>
      <w:r>
        <w:rPr>
          <w:rFonts w:ascii="Calibri" w:hAnsi="Calibri" w:eastAsia="Calibri"/>
          <w:color w:val="202A33"/>
        </w:rPr>
        <w:t>Completar pruebas críticas, logs, salud y cierre; ejecutar la lista de aceptación integral.</w:t>
      </w:r>
    </w:p>
    <w:p>
      <w:pPr>
        <w:numPr>
          <w:ilvl w:val="0"/>
          <w:numId w:val="2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20 min - Ensayo de defensa: </w:t>
      </w:r>
      <w:r>
        <w:rPr>
          <w:rFonts w:ascii="Calibri" w:hAnsi="Calibri" w:eastAsia="Calibri"/>
          <w:color w:val="202A33"/>
        </w:rPr>
        <w:t>Cada integrante explica una decisión, una medición, una amenaza y una deuda técnica.</w:t>
      </w:r>
    </w:p>
    <w:p>
      <w:pPr>
        <w:numPr>
          <w:ilvl w:val="0"/>
          <w:numId w:val="26"/>
        </w:numPr>
        <w:spacing w:after="80" w:line="300" w:lineRule="auto"/>
        <w:widowControl w:val="1"/>
      </w:pPr>
      <w:r>
        <w:rPr>
          <w:rFonts w:ascii="Calibri" w:hAnsi="Calibri" w:eastAsia="Calibri"/>
          <w:b/>
          <w:color w:val="202A33"/>
        </w:rPr>
        <w:t xml:space="preserve">10 min - Metacognición: </w:t>
      </w:r>
      <w:r>
        <w:rPr>
          <w:rFonts w:ascii="Calibri" w:hAnsi="Calibri" w:eastAsia="Calibri"/>
          <w:color w:val="202A33"/>
        </w:rPr>
        <w:t>Comparar el primer servidor de la Unidad 1 con la solución final y registrar aprendizajes transferibles.</w:t>
      </w:r>
    </w:p>
    <w:p>
      <w:pPr>
        <w:pStyle w:val="Heading2"/>
        <w:keepNext/>
        <w:keepLines/>
        <w:widowControl w:val="1"/>
      </w:pPr>
      <w:r>
        <w:t>Evaluación de la unidad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Evidencia integradora: </w:t>
      </w:r>
      <w:r>
        <w:rPr>
          <w:rFonts w:ascii="Calibri" w:hAnsi="Calibri" w:eastAsia="Calibri"/>
          <w:i w:val="0"/>
          <w:color w:val="202A33"/>
        </w:rPr>
        <w:t>Informe antes/después de una optimización, pruebas automatizadas de flujos críticos, health check, cierre controlado, logs y defensa del proyecto integrado.</w:t>
      </w:r>
    </w:p>
    <w:p>
      <w:pPr>
        <w:widowControl w:val="1"/>
      </w:pPr>
      <w:r>
        <w:rPr>
          <w:rFonts w:ascii="Calibri" w:hAnsi="Calibri" w:eastAsia="Calibri"/>
          <w:b/>
          <w:color w:val="202A33"/>
        </w:rPr>
        <w:t xml:space="preserve">Modalidad: </w:t>
      </w:r>
      <w:r>
        <w:rPr>
          <w:rFonts w:ascii="Calibri" w:hAnsi="Calibri" w:eastAsia="Calibri"/>
          <w:i w:val="0"/>
          <w:color w:val="202A33"/>
        </w:rPr>
        <w:t>Evaluación final mediante ejecución de la lista de aceptación, revisión del informe técnico y defensa individual. Una mejora sin línea base comparable no se considera evidencia de optimización.</w:t>
      </w:r>
    </w:p>
    <w:p>
      <w:pPr>
        <w:pStyle w:val="Heading3"/>
        <w:keepNext/>
        <w:keepLines/>
        <w:widowControl w:val="1"/>
      </w:pPr>
      <w:r>
        <w:t>Criterios de evaluación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7000"/>
        <w:gridCol w:w="2360"/>
      </w:tblGrid>
      <w:tr>
        <w:trPr>
          <w:cantSplit/>
          <w:tblHeader w:val="true"/>
        </w:trPr>
        <w:tc>
          <w:tcPr>
            <w:tcW w:type="dxa" w:w="7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Criterio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73A5E"/>
                <w:sz w:val="19"/>
              </w:rPr>
              <w:t>Ponderación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Medición y línea base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Diagnóstico del cuello de botella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Mejora y comparación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Pruebas y calidad operativa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Defensa técnica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02A33"/>
                <w:sz w:val="19"/>
              </w:rPr>
              <w:t>10%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  <w:widowControl w:val="1"/>
      </w:pPr>
      <w:r>
        <w:t>5. Lista de aceptación del proyecto integrador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La API ofrece recursos y rutas coherentes, validación y errores uniformes.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PostgreSQL mantiene relaciones y restricciones; existe al menos una transacción comprobada.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Contraseñas y secretos no se almacenan ni publican en claro.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Los controles distinguen autenticación, rol/permiso y propiedad del recurso.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Las transiciones de estado inválidas y la repetición de una operación crítica están controladas.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El frontend resuelve carga, éxito, validación, autenticación y fallas del servidor.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La integración externa tiene timeout, manejo de error, mock y protección del webhook.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Existe medición antes/después de una mejora y pruebas automatizadas de flujos críticos.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La aplicación expone salud, registra información útil sin datos sensibles y cierra de forma controlada.</w:t>
      </w:r>
    </w:p>
    <w:p>
      <w:pPr>
        <w:numPr>
          <w:ilvl w:val="0"/>
          <w:numId w:val="10"/>
        </w:numPr>
        <w:spacing w:after="80" w:line="300" w:lineRule="auto"/>
        <w:widowControl w:val="1"/>
      </w:pPr>
      <w:r>
        <w:rPr>
          <w:rFonts w:ascii="Calibri" w:hAnsi="Calibri" w:eastAsia="Calibri"/>
          <w:color w:val="202A33"/>
        </w:rPr>
        <w:t>El README permite instalar, configurar, migrar, ejecutar y probar el proyecto desde cero.</w:t>
      </w:r>
    </w:p>
    <w:p>
      <w:pPr>
        <w:pStyle w:val="Heading2"/>
        <w:keepNext/>
        <w:keepLines/>
        <w:widowControl w:val="1"/>
      </w:pPr>
      <w:r>
        <w:t>Cierre docente</w:t>
      </w:r>
    </w:p>
    <w:p>
      <w:pPr>
        <w:widowControl w:val="1"/>
      </w:pPr>
      <w:r>
        <w:rPr>
          <w:rFonts w:ascii="Calibri" w:hAnsi="Calibri" w:eastAsia="Calibri"/>
          <w:i w:val="0"/>
          <w:color w:val="202A33"/>
        </w:rPr>
        <w:t>Antes de cada ciclo lectivo, verificar los enlaces, fijar versiones del stack, revisar la edición vigente de OWASP y actualizar los casos de práctica. Conviene conservar los resultados de aprendizaje y variar herramientas solamente cuando la institución o las correlatividades lo requieran.</w:t>
      </w:r>
    </w:p>
    <w:p>
      <w:pPr>
        <w:spacing w:before="60" w:after="180"/>
        <w:ind w:left="173" w:right="173"/>
        <w:shd w:val="clear" w:fill="E8F3F3"/>
      </w:pPr>
      <w:r>
        <w:rPr>
          <w:rFonts w:ascii="Calibri" w:hAnsi="Calibri" w:eastAsia="Calibri"/>
          <w:b/>
          <w:color w:val="147D82"/>
          <w:sz w:val="21"/>
        </w:rPr>
        <w:t xml:space="preserve">Resultado esperado del cuatrimestre: </w:t>
      </w:r>
      <w:r>
        <w:rPr>
          <w:rFonts w:ascii="Calibri" w:hAnsi="Calibri" w:eastAsia="Calibri"/>
          <w:color w:val="202A33"/>
          <w:sz w:val="21"/>
        </w:rPr>
        <w:t>una solución backend integrada que funcione, preserve datos, controle accesos, maneje fallas y pueda ser explicada y mejorada por sus autores.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66717C"/>
        <w:sz w:val="17"/>
      </w:rPr>
      <w:t xml:space="preserve">Página </w:t>
    </w:r>
    <w:r>
      <w:rPr>
        <w:rFonts w:ascii="Calibri" w:hAnsi="Calibri" w:eastAsia="Calibri"/>
        <w:color w:val="66717C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717C"/>
        <w:sz w:val="17"/>
      </w:rPr>
      <w:t xml:space="preserve"> de </w:t>
    </w:r>
    <w:r>
      <w:rPr>
        <w:rFonts w:ascii="Calibri" w:hAnsi="Calibri" w:eastAsia="Calibri"/>
        <w:color w:val="66717C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66717C"/>
        <w:sz w:val="17"/>
      </w:rPr>
      <w:t>GUÍA DOCENTE</w:t>
    </w:r>
    <w:r>
      <w:rPr>
        <w:rFonts w:ascii="Calibri" w:hAnsi="Calibri" w:eastAsia="Calibri"/>
        <w:b/>
        <w:color w:val="147D82"/>
        <w:sz w:val="17"/>
      </w:rPr>
      <w:tab/>
      <w:t>PROGRAMACIÓN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73A5E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40"/>
      <w:jc w:val="center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s/docs/Web/HTTP" TargetMode="External"/><Relationship Id="rId12" Type="http://schemas.openxmlformats.org/officeDocument/2006/relationships/hyperlink" Target="https://www.typescriptlang.org/es/docs/" TargetMode="External"/><Relationship Id="rId13" Type="http://schemas.openxmlformats.org/officeDocument/2006/relationships/hyperlink" Target="https://nodejs.org/es/" TargetMode="External"/><Relationship Id="rId14" Type="http://schemas.openxmlformats.org/officeDocument/2006/relationships/hyperlink" Target="https://git-scm.com/book/es/v2.html" TargetMode="External"/><Relationship Id="rId15" Type="http://schemas.openxmlformats.org/officeDocument/2006/relationships/hyperlink" Target="https://expressjs.com/es/guide/routing/" TargetMode="External"/><Relationship Id="rId16" Type="http://schemas.openxmlformats.org/officeDocument/2006/relationships/hyperlink" Target="https://expressjs.com/es/5x/guide/using-middleware/" TargetMode="External"/><Relationship Id="rId17" Type="http://schemas.openxmlformats.org/officeDocument/2006/relationships/hyperlink" Target="https://expressjs.com/es/guide/error-handling/" TargetMode="External"/><Relationship Id="rId18" Type="http://schemas.openxmlformats.org/officeDocument/2006/relationships/hyperlink" Target="https://developer.mozilla.org/es/docs/Web/HTTP/Reference/Methods" TargetMode="External"/><Relationship Id="rId19" Type="http://schemas.openxmlformats.org/officeDocument/2006/relationships/hyperlink" Target="https://learn.microsoft.com/es-es/training/modules/build-query-azure-database-postgresql/" TargetMode="External"/><Relationship Id="rId20" Type="http://schemas.openxmlformats.org/officeDocument/2006/relationships/hyperlink" Target="https://learn.microsoft.com/es-es/training/azure-databases/postgresql/basic-sql-join-tables/" TargetMode="External"/><Relationship Id="rId21" Type="http://schemas.openxmlformats.org/officeDocument/2006/relationships/hyperlink" Target="https://learn.microsoft.com/es-es/training/modules/understand-concurrency-postgresql/" TargetMode="External"/><Relationship Id="rId22" Type="http://schemas.openxmlformats.org/officeDocument/2006/relationships/hyperlink" Target="https://www.postgresql.org/docs/" TargetMode="External"/><Relationship Id="rId23" Type="http://schemas.openxmlformats.org/officeDocument/2006/relationships/hyperlink" Target="https://owasp.org/Top10/2021/es/" TargetMode="External"/><Relationship Id="rId24" Type="http://schemas.openxmlformats.org/officeDocument/2006/relationships/hyperlink" Target="https://owasp.org/Top10/" TargetMode="External"/><Relationship Id="rId25" Type="http://schemas.openxmlformats.org/officeDocument/2006/relationships/hyperlink" Target="https://expressjs.com/es/advanced/best-practice-security/" TargetMode="External"/><Relationship Id="rId26" Type="http://schemas.openxmlformats.org/officeDocument/2006/relationships/hyperlink" Target="https://developer.mozilla.org/es/docs/Web/HTTP/Guides/CORS" TargetMode="External"/><Relationship Id="rId27" Type="http://schemas.openxmlformats.org/officeDocument/2006/relationships/hyperlink" Target="https://developer.mozilla.org/es/docs/Web/HTTP/Guides/Cookies" TargetMode="External"/><Relationship Id="rId28" Type="http://schemas.openxmlformats.org/officeDocument/2006/relationships/hyperlink" Target="https://expressjs.com/es/resources/middleware/session/" TargetMode="External"/><Relationship Id="rId29" Type="http://schemas.openxmlformats.org/officeDocument/2006/relationships/hyperlink" Target="https://expressjs.com/es/resources/middleware/cookie-session/" TargetMode="External"/><Relationship Id="rId30" Type="http://schemas.openxmlformats.org/officeDocument/2006/relationships/hyperlink" Target="https://developer.mozilla.org/es/docs/Web/API/Fetch_API/Using_Fetch" TargetMode="External"/><Relationship Id="rId31" Type="http://schemas.openxmlformats.org/officeDocument/2006/relationships/hyperlink" Target="https://docs.github.com/es/webhooks/using-webhooks/creating-webhooks" TargetMode="External"/><Relationship Id="rId32" Type="http://schemas.openxmlformats.org/officeDocument/2006/relationships/hyperlink" Target="https://docs.github.com/es/rest/repos/webhooks" TargetMode="External"/><Relationship Id="rId33" Type="http://schemas.openxmlformats.org/officeDocument/2006/relationships/hyperlink" Target="https://expressjs.com/es/advanced/best-practice-performance/" TargetMode="External"/><Relationship Id="rId34" Type="http://schemas.openxmlformats.org/officeDocument/2006/relationships/hyperlink" Target="https://expressjs.com/es/advanced/healthcheck-graceful-shutdown/" TargetMode="External"/><Relationship Id="rId35" Type="http://schemas.openxmlformats.org/officeDocument/2006/relationships/hyperlink" Target="https://developer.mozilla.org/es/docs/Web/HTTP/Guides/Caching" TargetMode="External"/><Relationship Id="rId36" Type="http://schemas.openxmlformats.org/officeDocument/2006/relationships/hyperlink" Target="https://jestjs.io/es-ES/docs/getting-star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Backend - contenidos y secuencias didácticas</dc:title>
  <dc:subject>Tecnicatura Universitaria en Desarrollo Full Stack</dc:subject>
  <dc:creator/>
  <cp:keywords>backend, planificación, secuencia didáctica, evaluación, universidad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