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66b00"/>
          <w:sz w:val="22"/>
          <w:szCs w:val="22"/>
          <w:rtl w:val="0"/>
        </w:rPr>
        <w:t xml:space="preserve">PLANIFICACIÓN DE CÁTEDRA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58"/>
          <w:szCs w:val="58"/>
          <w:rtl w:val="0"/>
        </w:rPr>
        <w:t xml:space="preserve">Programación Extrema y</w:t>
        <w:br w:type="textWrapping"/>
        <w:t xml:space="preserve">Desarrollo Guiado por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f4d78"/>
          <w:sz w:val="28"/>
          <w:szCs w:val="28"/>
          <w:rtl w:val="0"/>
        </w:rPr>
        <w:t xml:space="preserve">Tecnicatura Universitaria en Desarrollo Full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f6368"/>
          <w:sz w:val="22"/>
          <w:szCs w:val="22"/>
          <w:rtl w:val="0"/>
        </w:rPr>
        <w:t xml:space="preserve">Segundo cuatrimestre  ·  16 semanas  ·  64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6368"/>
          <w:sz w:val="21"/>
          <w:szCs w:val="21"/>
          <w:rtl w:val="0"/>
        </w:rPr>
        <w:t xml:space="preserve">Modalidad teórico-práctica con laboratorio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5.0" w:type="dxa"/>
        <w:tblBorders>
          <w:top w:color="c9d2dc" w:space="0" w:sz="6" w:val="single"/>
          <w:left w:color="c9d2dc" w:space="0" w:sz="6" w:val="single"/>
          <w:bottom w:color="c9d2dc" w:space="0" w:sz="6" w:val="single"/>
          <w:right w:color="c9d2dc" w:space="0" w:sz="6" w:val="single"/>
          <w:insideH w:color="c9d2dc" w:space="0" w:sz="6" w:val="single"/>
          <w:insideV w:color="c9d2dc" w:space="0" w:sz="6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20"/>
                <w:szCs w:val="20"/>
                <w:rtl w:val="0"/>
              </w:rPr>
              <w:t xml:space="preserve">Aprender haciendo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RITMO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20"/>
                <w:szCs w:val="20"/>
                <w:rtl w:val="0"/>
              </w:rPr>
              <w:t xml:space="preserve">Iteraciones semanales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20"/>
                <w:szCs w:val="20"/>
                <w:rtl w:val="0"/>
              </w:rPr>
              <w:t xml:space="preserve">Software probado y mantenible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Identificación y encuadre</w:t>
      </w:r>
    </w:p>
    <w:tbl>
      <w:tblPr>
        <w:tblStyle w:val="Table2"/>
        <w:tblW w:w="9360.0" w:type="dxa"/>
        <w:jc w:val="left"/>
        <w:tblInd w:w="5.0" w:type="dxa"/>
        <w:tblBorders>
          <w:top w:color="c9d2dc" w:space="0" w:sz="6" w:val="single"/>
          <w:left w:color="c9d2dc" w:space="0" w:sz="6" w:val="single"/>
          <w:bottom w:color="c9d2dc" w:space="0" w:sz="6" w:val="single"/>
          <w:right w:color="c9d2dc" w:space="0" w:sz="6" w:val="single"/>
          <w:insideH w:color="c9d2dc" w:space="0" w:sz="6" w:val="single"/>
          <w:insideV w:color="c9d2dc" w:space="0" w:sz="6" w:val="single"/>
        </w:tblBorders>
        <w:tblLayout w:type="fixed"/>
        <w:tblLook w:val="04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Carrera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Tecnicatura Universitaria en Desarrollo Full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Programación Extrema y Desarrollo Guiado por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Ubicación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Segundo cuatrimestre; tramo intermedio/avanzado de la carrera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Duración propuesta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16 semanas; 4 horas semanales; carga total estimada: 64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Teórico-práctica con laboratorio, trabajo individual y desarrollo colaborativo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Lenguaje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TypeScript; contenidos transferibles a Java, Python, C# u otro lenguaje del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Entorno sugerido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Node.js, Git/GitHub o GitLab, Vitest, Testing Library, Playwright y CI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Fundamentación</w:t>
      </w:r>
    </w:p>
    <w:p w:rsidR="00000000" w:rsidDel="00000000" w:rsidP="00000000" w:rsidRDefault="00000000" w:rsidRPr="00000000" w14:paraId="00000023">
      <w:pPr>
        <w:spacing w:after="12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02124"/>
          <w:rtl w:val="0"/>
        </w:rPr>
        <w:t xml:space="preserve">En el desarrollo full stack, la calidad no se incorpora al final: se construye durante cada decisión de diseño. Programación Extrema (XP) aporta un marco de trabajo centrado en comunicación, simplicidad, feedback, coraje y respeto; TDD (Test Driven Development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02124"/>
          <w:rtl w:val="0"/>
        </w:rPr>
        <w:t xml:space="preserve">convierte esos valores en un ciclo técnico observable que permite avanzar mediante ejemplos ejecutables, diseño incremental y refactorización segura.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02124"/>
          <w:rtl w:val="0"/>
        </w:rPr>
        <w:t xml:space="preserve">La asignatura propone que el estudiantado experimente estas prácticas en condiciones cercanas al trabajo profesional: historias pequeñas, iteraciones cortas, programación en pareja, propiedad colectiva, integración continua y entrega frecuente. El foco no estará en memorizar definiciones, sino en desarrollar criterio para elegir pruebas valiosas, interpretar cobertura, detectar fragilidad y sostener cambios sin degradar el código.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5.0" w:type="dxa"/>
        <w:tblBorders>
          <w:top w:color="c9d2dc" w:space="0" w:sz="6" w:val="single"/>
          <w:left w:color="c9d2dc" w:space="0" w:sz="6" w:val="single"/>
          <w:bottom w:color="c9d2dc" w:space="0" w:sz="6" w:val="single"/>
          <w:right w:color="c9d2dc" w:space="0" w:sz="6" w:val="single"/>
          <w:insideH w:color="c9d2dc" w:space="0" w:sz="6" w:val="single"/>
          <w:insideV w:color="c9d2dc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21"/>
                <w:szCs w:val="21"/>
                <w:rtl w:val="0"/>
              </w:rPr>
              <w:t xml:space="preserve">Decisión didáctica: </w:t>
            </w:r>
            <w:r w:rsidDel="00000000" w:rsidR="00000000" w:rsidRPr="00000000">
              <w:rPr>
                <w:rFonts w:ascii="Calibri" w:cs="Calibri" w:eastAsia="Calibri" w:hAnsi="Calibri"/>
                <w:color w:val="202124"/>
                <w:sz w:val="21"/>
                <w:szCs w:val="21"/>
                <w:rtl w:val="0"/>
              </w:rPr>
              <w:t xml:space="preserve">Se trabajará con TypeScript por su presencia en front-end y back-end. La evaluación considerará principios y decisiones transferibles, no la memorización de una herramienta particular.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Articulación curricular y saberes previos</w:t>
      </w:r>
    </w:p>
    <w:p w:rsidR="00000000" w:rsidDel="00000000" w:rsidP="00000000" w:rsidRDefault="00000000" w:rsidRPr="00000000" w14:paraId="00000028">
      <w:pPr>
        <w:spacing w:after="12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02124"/>
          <w:rtl w:val="0"/>
        </w:rPr>
        <w:t xml:space="preserve">La materia se articula con Programación, Desarrollo Web, Bases de Datos, Ingeniería de Software y DevOps. Se espera que los estudiantes puedan construir funciones, componentes y servicios sencillos; utilizar Git en operaciones básicas; interpretar errores de ejecución; y comprender nociones elementales de API, persistencia y asincronía.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02124"/>
          <w:rtl w:val="0"/>
        </w:rPr>
        <w:t xml:space="preserve">Durante la primera semana se realizará un diagnóstico sin calificación para detectar diferencias de base y organizar apoyos, parejas rotativas y materiales de nivelación.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Propósitos formativos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Comprender XP como un sistema coherente de valores, principios y prácticas, y no como una lista aislada de técnicas.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Incorporar TDD como disciplina de diseño y feedback, distinguiéndolo de escribir pruebas después del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Desarrollar habilidades de colaboración técnica mediante programación en pareja, propiedad colectiva y revisión continua.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Diseñar pruebas efectivas, mantenibles y orientadas al comportamiento, utilizando la cobertura como información y no como meta aislada.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Integrar pruebas automatizadas y refactorización en un flujo ágil de entrega frecuente e integración continua.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Resolver problemas full stack justificando decisiones de diseño, alcance de pruebas y compromisos técnicos.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Resultados de aprendizaje</w:t>
      </w:r>
    </w:p>
    <w:p w:rsidR="00000000" w:rsidDel="00000000" w:rsidP="00000000" w:rsidRDefault="00000000" w:rsidRPr="00000000" w14:paraId="00000032">
      <w:pPr>
        <w:spacing w:after="12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02124"/>
          <w:rtl w:val="0"/>
        </w:rPr>
        <w:t xml:space="preserve">Al finalizar el cuatrimestre, el estudiante será capaz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Explicar los valores, principios y prácticas de XP y relacionarlos con situaciones reales de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Planificar una iteración breve a partir de historias de usuario, criterios de aceptación y una definición de terminado verificable.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Trabajar en pareja alternando los roles de conductor y navegador, comunicando decisiones y realizando cambios pequeños.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Aplicar de manera disciplinada el ciclo rojo-verde-refactor y conservar evidencia del proceso en el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Diseñar casos de prueba con particiones de equivalencia, valores límite, casos de error y escenarios significativos.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Seleccionar el nivel adecuado de prueba —unidad, integración, componente o end-to-end— según riesgo, costo y confianza buscada.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Utilizar dobles de prueba con criterio, evitando acoplar las pruebas a detalles internos de implementación.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Interpretar cobertura de líneas, funciones y ramas, detectar vacíos relevantes y proponer mejoras basadas en riesgo.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Refactorizar código con una red de pruebas confiable, reconociendo olores de código y de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Integrar pruebas automáticas en un pipeline de CI y analizar fallos reproducibles, intermitentes o dependientes del entorno.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6. Organización de contenidos</w:t>
      </w:r>
    </w:p>
    <w:tbl>
      <w:tblPr>
        <w:tblStyle w:val="Table4"/>
        <w:tblW w:w="9360.0" w:type="dxa"/>
        <w:jc w:val="left"/>
        <w:tblInd w:w="5.0" w:type="dxa"/>
        <w:tblBorders>
          <w:top w:color="c9d2dc" w:space="0" w:sz="6" w:val="single"/>
          <w:left w:color="c9d2dc" w:space="0" w:sz="6" w:val="single"/>
          <w:bottom w:color="c9d2dc" w:space="0" w:sz="6" w:val="single"/>
          <w:right w:color="c9d2dc" w:space="0" w:sz="6" w:val="single"/>
          <w:insideH w:color="c9d2dc" w:space="0" w:sz="6" w:val="single"/>
          <w:insideV w:color="c9d2dc" w:space="0" w:sz="6" w:val="single"/>
        </w:tblBorders>
        <w:tblLayout w:type="fixed"/>
        <w:tblLook w:val="0400"/>
      </w:tblPr>
      <w:tblGrid>
        <w:gridCol w:w="900"/>
        <w:gridCol w:w="2100"/>
        <w:gridCol w:w="4860"/>
        <w:gridCol w:w="1500"/>
        <w:tblGridChange w:id="0">
          <w:tblGrid>
            <w:gridCol w:w="900"/>
            <w:gridCol w:w="2100"/>
            <w:gridCol w:w="4860"/>
            <w:gridCol w:w="150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Eje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Contenidos centrales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Fundamentos de XP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Definición, contexto, valores, principios, roles, equipo completo y relación con el Manifiesto Ágil.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Semanas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Prácticas de XP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Historias, juego de planificación, iteraciones, entregas pequeñas, feedback, diseño simple, pareja, propiedad colectiva, estándares, CI y ritmo sostenible.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Semanas 3-5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Fundamentos y ciclo TDD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Pruebas automatizadas, test first, rojo-verde-refactor, triangulación, diseño emergente, beneficios, límites y errores frecuentes.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Semanas 6-9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Diseño, cobertura y refactorización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Casos efectivos, límites, dobles, aislamiento, determinismo, olores, cobertura, riesgo y refactorización segura.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Semanas 10-12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TDD en productos full stack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API, componentes UI, E2E, integración continua, trabajo iterativo, proyecto y retrospectiva.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Semanas 13-16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Unidad 1. Fundamentos de Programación Extrema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Origen y propósito de XP. Problemas que intenta resolver en contextos de incertidumbre y cambio.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Valores: comunicación, simplicidad, feedback, coraje y respeto. Relación entre valores, principios y prácticas.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Roles y responsabilidades: cliente, equipo de desarrollo, facilitación y comunidad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Relación entre XP y agilidad: entrega frecuente de valor, respuesta al cambio y aprendizaje continuo.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Unidad 2. Prácticas de XP y trabajo colaborativo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Historias de usuario, criterios de aceptación, estimación relativa y juego de planificación.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Iteraciones cortas, entregas pequeñas, diseño simple, metáfora del sistema y feedback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Programación en pareja: conductor/navegador, rotación, comunicación, desacuerdo técnico y revisión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Propiedad colectiva, estándares de código, refactorización permanente e integración continua.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Ritmo sostenible, retrospectiva y mejora del proceso. Riesgos de aplicar prácticas aisladas o de forma ritual.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Unidad 3. Desarrollo Guiado por Pruebas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Diferencias entre prueba manual, prueba automatizada, test after y test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Ciclo TDD: escribir una prueba pequeña que falle, implementar lo mínimo para pasarla y refactorizar.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Pruebas como ejemplos ejecutables y herramienta de diseño. Simplicidad, pequeños pasos y feedback rápido.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Estructuras Arrange-Act-Assert y Given-When-Then. Nombres que expresan comportamiento.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Triangulación, generalización progresiva y registro del ciclo mediante commits pequeños.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Unidad 4. Casos de prueba, dobles, cobertura y refactorización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Particiones de equivalencia, análisis de valores límite, caminos alternativos, errores y estados inválidos.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Propiedades de una prueba valiosa: legible, determinista, aislada, rápida, relevante y mantenible.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Dobles de prueba: stub, spy, fake y mock. Criterios de uso y riesgos del exceso de simulación.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Olores de pruebas y de código. Refactorizaciones frecuentes bajo protección de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Cobertura de líneas, funciones y ramas; falsos positivos; código no ejercitado; análisis basado en riesgo.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Unidad 5. Integración de TDD en el desarrollo full stack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Pruebas unitarias y de integración en servicios y API; validación, dominio, persistencia y manejo de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Pruebas de componentes orientadas a interacciones observables y accesibles, evitando detalles internos.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Pruebas end-to-end de recorridos críticos. Pirámide de pruebas y equilibrio entre costo, velocidad y confianza.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Ejecución automática en CI, reportes, cobertura, fallos intermitentes y criterios para bloquear una integración.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Proyecto iterativo: planificación, desarrollo en pareja, demostración, retrospectiva y defensa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7. Estrategia metodológica</w:t>
      </w:r>
    </w:p>
    <w:p w:rsidR="00000000" w:rsidDel="00000000" w:rsidP="00000000" w:rsidRDefault="00000000" w:rsidRPr="00000000" w14:paraId="00000077">
      <w:pPr>
        <w:spacing w:after="12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02124"/>
          <w:rtl w:val="0"/>
        </w:rPr>
        <w:t xml:space="preserve">La asignatura adoptará un formato de taller de ingeniería de software. Cada encuentro combinará una explicación conceptual breve, una demostración del docente, práctica guiada y una instancia de reflexión sobre el proceso. Se recomienda una proporción aproximada de 30 % de conceptualización y 70 % de laboratorio.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Secuencia habitual de una clase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Activación (10-15 min): problema, pregunta o prueba fallida que recupere saberes previos.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Modelado (25-35 min): explicación y demostración en vivo de una práctica o decisión de diseño.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Laboratorio (90-120 min): resolución individual o en pareja con rotación de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Integración (25-35 min): comparación de soluciones, análisis de pruebas, cobertura y refactorizaciones.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Cierre (10-15 min): retrospectiva breve, registro de evidencia y próximo objetivo.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Dispositivos didácticos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Katas progresivas para practicar ciclos breves sin la complejidad accidental de un producto grande.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Mob programming en momentos seleccionados para hacer visibles decisiones, atajos y estrategias de depuración.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Programación en pareja con rotación planificada para distribuir conocimiento y evitar dependencias individuales.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Repositorios plantilla con CI, convenciones y tareas mínimas para reducir barreras de configuración.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Revisión de pull requests centrada en comportamiento, legibilidad de pruebas y diseño, no solo en estilo.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Retrospectivas de proceso con acciones concretas para la siguiente iteración.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5.0" w:type="dxa"/>
        <w:tblBorders>
          <w:top w:color="c9d2dc" w:space="0" w:sz="6" w:val="single"/>
          <w:left w:color="c9d2dc" w:space="0" w:sz="6" w:val="single"/>
          <w:bottom w:color="c9d2dc" w:space="0" w:sz="6" w:val="single"/>
          <w:right w:color="c9d2dc" w:space="0" w:sz="6" w:val="single"/>
          <w:insideH w:color="c9d2dc" w:space="0" w:sz="6" w:val="single"/>
          <w:insideV w:color="c9d2dc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21"/>
                <w:szCs w:val="21"/>
                <w:rtl w:val="0"/>
              </w:rPr>
              <w:t xml:space="preserve">Uso de IA generativa: </w:t>
            </w:r>
            <w:r w:rsidDel="00000000" w:rsidR="00000000" w:rsidRPr="00000000">
              <w:rPr>
                <w:rFonts w:ascii="Calibri" w:cs="Calibri" w:eastAsia="Calibri" w:hAnsi="Calibri"/>
                <w:color w:val="202124"/>
                <w:sz w:val="21"/>
                <w:szCs w:val="21"/>
                <w:rtl w:val="0"/>
              </w:rPr>
              <w:t xml:space="preserve">Puede emplearse como apoyo para explorar alternativas o explicar errores, pero todo aporte debe ser verificado con pruebas, identificado en la entrega y defendido por el equipo. No reemplaza la evidencia del ciclo TDD ni la comprensión individual.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8. Cronograma tentativo de 16 semanas</w:t>
      </w:r>
    </w:p>
    <w:tbl>
      <w:tblPr>
        <w:tblStyle w:val="Table6"/>
        <w:tblW w:w="9360.0" w:type="dxa"/>
        <w:jc w:val="left"/>
        <w:tblInd w:w="5.0" w:type="dxa"/>
        <w:tblBorders>
          <w:top w:color="c9d2dc" w:space="0" w:sz="6" w:val="single"/>
          <w:left w:color="c9d2dc" w:space="0" w:sz="6" w:val="single"/>
          <w:bottom w:color="c9d2dc" w:space="0" w:sz="6" w:val="single"/>
          <w:right w:color="c9d2dc" w:space="0" w:sz="6" w:val="single"/>
          <w:insideH w:color="c9d2dc" w:space="0" w:sz="6" w:val="single"/>
          <w:insideV w:color="c9d2dc" w:space="0" w:sz="6" w:val="single"/>
        </w:tblBorders>
        <w:tblLayout w:type="fixed"/>
        <w:tblLook w:val="0400"/>
      </w:tblPr>
      <w:tblGrid>
        <w:gridCol w:w="720"/>
        <w:gridCol w:w="2300"/>
        <w:gridCol w:w="3860"/>
        <w:gridCol w:w="2480"/>
        <w:tblGridChange w:id="0">
          <w:tblGrid>
            <w:gridCol w:w="720"/>
            <w:gridCol w:w="2300"/>
            <w:gridCol w:w="3860"/>
            <w:gridCol w:w="248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Sem.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Actividad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Diagnóstico y problema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Refactorizar una función sin red de seguridad; comparar resultados y riesgos.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Diagnóstico individual y línea de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XP: valores y principios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Analizar un caso de proyecto con cambios frecuentes; mapear problemas con prácticas XP.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Mapa de decisiones XP.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Historias, planificación e iteraciones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Redactar historias y criterios; estimar y planificar una iteración pequeña.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Backlog priorizado y objetivo de iteración.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Pareja y propiedad colectiva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Laboratorio con rotación conductor/navegador y cambios sobre código ajeno.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Registro de pareja y reflexión.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Diseño simple, CI y feedback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Completar una mini-iteración con integración frecuente y demostración.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Entrega XP 1 + retrospectiva.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Pruebas automatizadas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Distinguir unidad, integración y E2E; configurar Vitest y ejecutar primeras aserciones.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Suite inicial reproducible.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Ciclo rojo-verde-refactor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Kata guiada con pasos mínimos y commits por fase.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Historial TDD comentado.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Casos efectivos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Aplicar equivalencias, límites, errores y tablas de decisión.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Matriz de casos +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TDD incremental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Resolver una kata individual y justificar la secuencia de pruebas.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Evaluación práctica individual.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Dobles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Aislar reloj, red o persistencia; comparar fake, stub, spy y mock.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Decisión de aislamiento documentada.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Refactorización segura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Detectar olores y mejorar diseño sin alterar comportamiento observable.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Antes/después + suite en verde.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Cobertura y calidad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Interpretar líneas, funciones y ramas; localizar cobertura superficial o faltante.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Informe breve basado en riesgo.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TDD en API/backend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Implementar una historia vertical con dominio, validación y persistencia de prueba.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Incremento 1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Componentes y recorridos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Probar UI por comportamiento y agregar un E2E del flujo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Incremento 2 + pipeline 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Iteración 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Cambiar un requisito, mantener pruebas, refactorizar y preparar demostración.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Release candidate + retrospectiva.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Demo y defensa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Demostración, revisión de evidencias, defensa técnica y retrospectiva final.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7"/>
                <w:szCs w:val="17"/>
                <w:rtl w:val="0"/>
              </w:rPr>
              <w:t xml:space="preserve">Proyecto integrador y portfolio.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9. Trabajos prácticos</w:t>
      </w:r>
    </w:p>
    <w:tbl>
      <w:tblPr>
        <w:tblStyle w:val="Table7"/>
        <w:tblW w:w="9360.0" w:type="dxa"/>
        <w:jc w:val="left"/>
        <w:tblInd w:w="5.0" w:type="dxa"/>
        <w:tblBorders>
          <w:top w:color="c9d2dc" w:space="0" w:sz="6" w:val="single"/>
          <w:left w:color="c9d2dc" w:space="0" w:sz="6" w:val="single"/>
          <w:bottom w:color="c9d2dc" w:space="0" w:sz="6" w:val="single"/>
          <w:right w:color="c9d2dc" w:space="0" w:sz="6" w:val="single"/>
          <w:insideH w:color="c9d2dc" w:space="0" w:sz="6" w:val="single"/>
          <w:insideV w:color="c9d2dc" w:space="0" w:sz="6" w:val="single"/>
        </w:tblBorders>
        <w:tblLayout w:type="fixed"/>
        <w:tblLook w:val="0400"/>
      </w:tblPr>
      <w:tblGrid>
        <w:gridCol w:w="2100"/>
        <w:gridCol w:w="1800"/>
        <w:gridCol w:w="5460"/>
        <w:tblGridChange w:id="0">
          <w:tblGrid>
            <w:gridCol w:w="2100"/>
            <w:gridCol w:w="1800"/>
            <w:gridCol w:w="54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Instancia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Producto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TP 0 ·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Individual, sin nota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Modificar código existente, proponer pruebas y explicar riesgos.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TP 1 · Mini-iteración XP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Backlog, planificación, pareja, integración frecuente, demo y retrospectiva.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TP 2 · Kata TDD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Pareja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Evidencia completa del ciclo rojo-verde-refactor y decisiones de diseño.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TP 3 · Diseño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Equivalencias, límites, errores, cobertura y mejora de una suite deficiente.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TP 4 · Historia vertical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Pareja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Funcionalidad API/UI probada en los niveles adecuados e integrada mediante 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TP 5 · Proyecto integrador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Equipo de 3-4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Producto pequeño, cambio de requisito, release, defensa y retrospectiva.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10. Proyecto integrador</w:t>
      </w:r>
    </w:p>
    <w:p w:rsidR="00000000" w:rsidDel="00000000" w:rsidP="00000000" w:rsidRDefault="00000000" w:rsidRPr="00000000" w14:paraId="000000E6">
      <w:pPr>
        <w:spacing w:after="12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02124"/>
          <w:rtl w:val="0"/>
        </w:rPr>
        <w:t xml:space="preserve">Los equipos desarrollarán una funcionalidad full stack acotada —por ejemplo, reservas, pedidos, turnos, inventario o seguimiento de tareas— a partir de historias de usuario priorizadas. El dominio puede variar; la complejidad debe permitir demostrar disciplina técnica en lugar de acumular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Entregables mínimos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Backlog priorizado con historias pequeñas, criterios de aceptación y objetivo de cada iteración.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Repositorio compartido con convenciones, commits pequeños y evidencia del ciclo rojo-verde-refactor.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Funcionalidad vertical que incluya reglas de dominio o validación, un servicio/API y una interacción de interfaz.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Pruebas unitarias y de integración relevantes, pruebas de componente y al menos un recorrido E2E crítico.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Pipeline de CI que ejecute pruebas y produzca un reporte de cobertura reproducible.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Análisis de cobertura que identifique riesgos y vacíos; no se exigirá un porcentaje uniforme sin justificación.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Registro de rotación de parejas, demostraciones, retrospectivas y acciones de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README con instrucciones de ejecución, decisiones técnicas, limitaciones conocidas y uso declarado de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Cambio controlado de requisito</w:t>
      </w:r>
    </w:p>
    <w:p w:rsidR="00000000" w:rsidDel="00000000" w:rsidP="00000000" w:rsidRDefault="00000000" w:rsidRPr="00000000" w14:paraId="000000F1">
      <w:pPr>
        <w:spacing w:after="12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02124"/>
          <w:rtl w:val="0"/>
        </w:rPr>
        <w:t xml:space="preserve">En la semana 15 el docente introducirá un cambio acotado. El propósito es evaluar si el equipo puede responder con pruebas, diseño simple y refactorización, sin convertir la actividad en una carrera por sumar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11. Evaluación</w:t>
      </w:r>
    </w:p>
    <w:p w:rsidR="00000000" w:rsidDel="00000000" w:rsidP="00000000" w:rsidRDefault="00000000" w:rsidRPr="00000000" w14:paraId="000000F3">
      <w:pPr>
        <w:spacing w:after="12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02124"/>
          <w:rtl w:val="0"/>
        </w:rPr>
        <w:t xml:space="preserve">La evaluación será continua, formativa y basada en evidencias. Se observarán tanto el producto como el proceso de construcción. La aprobación de pruebas no será suficiente si las pruebas son frágiles, irrelevantes o no sustentan las decisiones de diseño.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5.0" w:type="dxa"/>
        <w:tblBorders>
          <w:top w:color="c9d2dc" w:space="0" w:sz="6" w:val="single"/>
          <w:left w:color="c9d2dc" w:space="0" w:sz="6" w:val="single"/>
          <w:bottom w:color="c9d2dc" w:space="0" w:sz="6" w:val="single"/>
          <w:right w:color="c9d2dc" w:space="0" w:sz="6" w:val="single"/>
          <w:insideH w:color="c9d2dc" w:space="0" w:sz="6" w:val="single"/>
          <w:insideV w:color="c9d2dc" w:space="0" w:sz="6" w:val="single"/>
        </w:tblBorders>
        <w:tblLayout w:type="fixed"/>
        <w:tblLook w:val="0400"/>
      </w:tblPr>
      <w:tblGrid>
        <w:gridCol w:w="2400"/>
        <w:gridCol w:w="1800"/>
        <w:gridCol w:w="900"/>
        <w:gridCol w:w="4260"/>
        <w:tblGridChange w:id="0">
          <w:tblGrid>
            <w:gridCol w:w="2400"/>
            <w:gridCol w:w="1800"/>
            <w:gridCol w:w="900"/>
            <w:gridCol w:w="42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Evidencia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Portfolio de katas y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Ciclos TDD, correcciones, cobertura y reflexión.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Evaluación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Diseño de casos, implementación mínima y refactorización.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Entregas iterativas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35 %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XP, pruebas, CI, diseño, feedback y mejora entre iteraciones.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Demo y defensa técnica 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Equipo +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Producto, decisiones, comprensión y respuesta al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Autoevaluación y coevaluación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5 %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Colaboración, responsabilidad y aprendizaje.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Criterios de acreditación sugeridos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Regularidad: asistencia y entregas según normativa institucional, con al menos 60 % en cada instancia obligatoria.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Promoción directa: promedio mínimo sugerido de 80 %, sin instancias obligatorias por debajo de 70 %, defensa individual satisfactoria y proyecto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Recuperación: una instancia equivalente que permita demostrar el resultado de aprendizaje no alcanzado.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Integridad: toda persona debe poder explicar y modificar el código entregado, independientemente del reparto interno o del uso de asistentes.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5.0" w:type="dxa"/>
        <w:tblBorders>
          <w:top w:color="c9d2dc" w:space="0" w:sz="6" w:val="single"/>
          <w:left w:color="c9d2dc" w:space="0" w:sz="6" w:val="single"/>
          <w:bottom w:color="c9d2dc" w:space="0" w:sz="6" w:val="single"/>
          <w:right w:color="c9d2dc" w:space="0" w:sz="6" w:val="single"/>
          <w:insideH w:color="c9d2dc" w:space="0" w:sz="6" w:val="single"/>
          <w:insideV w:color="c9d2dc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21"/>
                <w:szCs w:val="21"/>
                <w:rtl w:val="0"/>
              </w:rPr>
              <w:t xml:space="preserve">Adecuación normativa: </w:t>
            </w:r>
            <w:r w:rsidDel="00000000" w:rsidR="00000000" w:rsidRPr="00000000">
              <w:rPr>
                <w:rFonts w:ascii="Calibri" w:cs="Calibri" w:eastAsia="Calibri" w:hAnsi="Calibri"/>
                <w:color w:val="202124"/>
                <w:sz w:val="21"/>
                <w:szCs w:val="21"/>
                <w:rtl w:val="0"/>
              </w:rPr>
              <w:t xml:space="preserve">Los porcentajes y condiciones deberán ajustarse al régimen académico vigente de la institución.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12. Rúbrica del proyecto integrador</w:t>
      </w:r>
    </w:p>
    <w:tbl>
      <w:tblPr>
        <w:tblStyle w:val="Table10"/>
        <w:tblW w:w="9360.0" w:type="dxa"/>
        <w:jc w:val="left"/>
        <w:tblInd w:w="5.0" w:type="dxa"/>
        <w:tblBorders>
          <w:top w:color="c9d2dc" w:space="0" w:sz="6" w:val="single"/>
          <w:left w:color="c9d2dc" w:space="0" w:sz="6" w:val="single"/>
          <w:bottom w:color="c9d2dc" w:space="0" w:sz="6" w:val="single"/>
          <w:right w:color="c9d2dc" w:space="0" w:sz="6" w:val="single"/>
          <w:insideH w:color="c9d2dc" w:space="0" w:sz="6" w:val="single"/>
          <w:insideV w:color="c9d2dc" w:space="0" w:sz="6" w:val="single"/>
        </w:tblBorders>
        <w:tblLayout w:type="fixed"/>
        <w:tblLook w:val="0400"/>
      </w:tblPr>
      <w:tblGrid>
        <w:gridCol w:w="2700"/>
        <w:gridCol w:w="1000"/>
        <w:gridCol w:w="5660"/>
        <w:tblGridChange w:id="0">
          <w:tblGrid>
            <w:gridCol w:w="2700"/>
            <w:gridCol w:w="1000"/>
            <w:gridCol w:w="56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Desempeño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Aplicación de TDD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25 %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Secuencia visible, pruebas que guían el diseño, pasos pequeños y refactorización.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Calidad de las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Casos relevantes, legibilidad, determinismo, aislamiento y niveles adecuados.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Diseño y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Simplicidad, cohesión, bajo acoplamiento, claridad y refactorizaciones justificadas.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Prácticas XP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15 %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Pareja, propiedad colectiva, integración frecuente, feedback y retrospectivas.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Entrega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10 %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Funcionalidad, CI reproducible, documentación y manejo de fallos.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Defensa y reflexión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10 %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8"/>
                <w:szCs w:val="18"/>
                <w:rtl w:val="0"/>
              </w:rPr>
              <w:t xml:space="preserve">Argumentación, lectura crítica de cobertura, límites y aprendizaje del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Escala cualitativa común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Destacado: aplica la práctica con autonomía, justifica decisiones y mejora el proceso a partir del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Logrado: aplica correctamente la práctica y produce evidencia suficiente y consistente.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En proceso: evidencia parcial, decisiones poco justificadas o aplicación mecánica/inestable.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Inicial: no hay evidencia suficiente o la práctica contradice el propósito trabajado.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13. Instrumentos de evaluación y retroalimentación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Lista de cotejo de ciclo TDD y calidad de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Rúbrica analítica para proyecto, demo y defensa individual.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Revisión de repositorio: commits, pull requests, CI, reportes y documentación.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Observación de programación en pareja y registro de rotación de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Autoevaluación, coevaluación y retrospectiva con compromisos verificables.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Devolución breve y frecuente durante las iteraciones, con oportunidad de aplicar mejoras en la entrega siguiente.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14. Recursos y entorno de trabajo</w:t>
      </w:r>
    </w:p>
    <w:tbl>
      <w:tblPr>
        <w:tblStyle w:val="Table11"/>
        <w:tblW w:w="9360.0" w:type="dxa"/>
        <w:jc w:val="left"/>
        <w:tblInd w:w="5.0" w:type="dxa"/>
        <w:tblBorders>
          <w:top w:color="c9d2dc" w:space="0" w:sz="6" w:val="single"/>
          <w:left w:color="c9d2dc" w:space="0" w:sz="6" w:val="single"/>
          <w:bottom w:color="c9d2dc" w:space="0" w:sz="6" w:val="single"/>
          <w:right w:color="c9d2dc" w:space="0" w:sz="6" w:val="single"/>
          <w:insideH w:color="c9d2dc" w:space="0" w:sz="6" w:val="single"/>
          <w:insideV w:color="c9d2dc" w:space="0" w:sz="6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1"/>
          <w:tblHeader w:val="1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Recurso sugerido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TypeScript sobre Node.js; adaptable al stack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Pruebas unitarias/integración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Vitest con entorno y configuración reproducibles.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Componentes 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Testing Library, priorizando interacciones observables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End-to-end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Playwright para recorridos críticos, aislamiento y trazas de fallos.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Git con repositorio remoto, ramas breves o trunk-based según nivel del grupo.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Integración continua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GitHub Actions, GitLab CI u opción equivalente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Evidencias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02124"/>
                <w:sz w:val="19"/>
                <w:szCs w:val="19"/>
                <w:rtl w:val="0"/>
              </w:rPr>
              <w:t xml:space="preserve">Reportes de pruebas y cobertura, pull requests, bitácoras y retrospectivas.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15. Inclusión, accesibilidad y organización del aula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Parejas rotativas y criterios explícitos para evitar que una sola persona concentre decisiones o manejo del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Materiales anticipados, consignas segmentadas, ejemplos ejecutables y repositorios con configuración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Alternativas equivalentes cuando existan barreras de conectividad o equipamiento, sin reducir los resultados esperados.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Pruebas de interfaz orientadas a roles y nombres accesibles, vinculando calidad técnica con experiencia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Retroalimentación privada y oportunidades de recuperación focalizadas en competencias concretas.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16. Bibliografía y documentación</w:t>
      </w:r>
    </w:p>
    <w:p w:rsidR="00000000" w:rsidDel="00000000" w:rsidP="00000000" w:rsidRDefault="00000000" w:rsidRPr="00000000" w14:paraId="0000015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Bibliografía básica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Beck, K. (2004). Extreme Programming Explained: Embrace Change (2.ª ed.). Addison-Wesley.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Beck, K. (2002). Test-Driven Development: By Example. Addison-Wesley.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Fowler, M. (2018). Refactoring: Improving the Design of Existing Code (2.ª ed.). Addison-Wesley.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Freeman, S. y Pryce, N. (2009). Growing Object-Oriented Software, Guided by Tests. Addison-Wesley.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120" w:line="264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Martin, R. C. (2008). Clean Code. Prentice Hall.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Documentación técnica y fuentes primarias</w:t>
      </w:r>
    </w:p>
    <w:p w:rsidR="00000000" w:rsidDel="00000000" w:rsidP="00000000" w:rsidRDefault="00000000" w:rsidRPr="00000000" w14:paraId="00000157">
      <w:pPr>
        <w:spacing w:after="12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• </w:t>
      </w:r>
      <w:hyperlink r:id="rId7">
        <w:r w:rsidDel="00000000" w:rsidR="00000000" w:rsidRPr="00000000">
          <w:rPr>
            <w:color w:val="2e74b5"/>
            <w:u w:val="single"/>
            <w:rtl w:val="0"/>
          </w:rPr>
          <w:t xml:space="preserve">Manifiesto por el Desarrollo Ágil de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• </w:t>
      </w:r>
      <w:hyperlink r:id="rId8">
        <w:r w:rsidDel="00000000" w:rsidR="00000000" w:rsidRPr="00000000">
          <w:rPr>
            <w:color w:val="2e74b5"/>
            <w:u w:val="single"/>
            <w:rtl w:val="0"/>
          </w:rPr>
          <w:t xml:space="preserve">Principios del Manifiesto Ágil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• </w:t>
      </w:r>
      <w:hyperlink r:id="rId9">
        <w:r w:rsidDel="00000000" w:rsidR="00000000" w:rsidRPr="00000000">
          <w:rPr>
            <w:color w:val="2e74b5"/>
            <w:u w:val="single"/>
            <w:rtl w:val="0"/>
          </w:rPr>
          <w:t xml:space="preserve">Vitest · documentación oficial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• </w:t>
      </w:r>
      <w:hyperlink r:id="rId10">
        <w:r w:rsidDel="00000000" w:rsidR="00000000" w:rsidRPr="00000000">
          <w:rPr>
            <w:color w:val="2e74b5"/>
            <w:u w:val="single"/>
            <w:rtl w:val="0"/>
          </w:rPr>
          <w:t xml:space="preserve">Vitest · cobertura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• </w:t>
      </w:r>
      <w:hyperlink r:id="rId11">
        <w:r w:rsidDel="00000000" w:rsidR="00000000" w:rsidRPr="00000000">
          <w:rPr>
            <w:color w:val="2e74b5"/>
            <w:u w:val="single"/>
            <w:rtl w:val="0"/>
          </w:rPr>
          <w:t xml:space="preserve">Testing Library · principios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• </w:t>
      </w:r>
      <w:hyperlink r:id="rId12">
        <w:r w:rsidDel="00000000" w:rsidR="00000000" w:rsidRPr="00000000">
          <w:rPr>
            <w:color w:val="2e74b5"/>
            <w:u w:val="single"/>
            <w:rtl w:val="0"/>
          </w:rPr>
          <w:t xml:space="preserve">Playwright Test · introducción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17. Observaciones para implementación</w:t>
      </w:r>
    </w:p>
    <w:p w:rsidR="00000000" w:rsidDel="00000000" w:rsidP="00000000" w:rsidRDefault="00000000" w:rsidRPr="00000000" w14:paraId="0000015E">
      <w:pPr>
        <w:spacing w:after="12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02124"/>
          <w:rtl w:val="0"/>
        </w:rPr>
        <w:t xml:space="preserve">Antes del inicio se recomienda validar la carga horaria real, el régimen de promoción, el stack ya utilizado en materias correlativas y la disponibilidad de laboratorio. Si la carga semanal fuera menor, deberá preservarse el proyecto integrador y reducirse la cantidad de herramientas, manteniendo como núcleo XP, TDD, diseño de pruebas, refactorización y CI.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5.0" w:type="dxa"/>
        <w:tblBorders>
          <w:top w:color="c9d2dc" w:space="0" w:sz="6" w:val="single"/>
          <w:left w:color="c9d2dc" w:space="0" w:sz="6" w:val="single"/>
          <w:bottom w:color="c9d2dc" w:space="0" w:sz="6" w:val="single"/>
          <w:right w:color="c9d2dc" w:space="0" w:sz="6" w:val="single"/>
          <w:insideH w:color="c9d2dc" w:space="0" w:sz="6" w:val="single"/>
          <w:insideV w:color="c9d2dc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21"/>
                <w:szCs w:val="21"/>
                <w:rtl w:val="0"/>
              </w:rPr>
              <w:t xml:space="preserve">Prioridad curricular: </w:t>
            </w:r>
            <w:r w:rsidDel="00000000" w:rsidR="00000000" w:rsidRPr="00000000">
              <w:rPr>
                <w:rFonts w:ascii="Calibri" w:cs="Calibri" w:eastAsia="Calibri" w:hAnsi="Calibri"/>
                <w:color w:val="202124"/>
                <w:sz w:val="21"/>
                <w:szCs w:val="21"/>
                <w:rtl w:val="0"/>
              </w:rPr>
              <w:t xml:space="preserve">Es preferible profundizar el razonamiento sobre pruebas y diseño con un stack estable que recorrer muchas herramientas de forma superficial.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0212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6368"/>
        <w:sz w:val="18"/>
        <w:szCs w:val="18"/>
        <w:u w:val="none"/>
        <w:shd w:fill="auto" w:val="clear"/>
        <w:vertAlign w:val="baseline"/>
        <w:rtl w:val="0"/>
      </w:rPr>
      <w:t xml:space="preserve">Programación Extrema y TDD  ·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6368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0212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5f6368"/>
        <w:sz w:val="17"/>
        <w:szCs w:val="17"/>
        <w:u w:val="none"/>
        <w:shd w:fill="auto" w:val="clear"/>
        <w:vertAlign w:val="baseline"/>
        <w:rtl w:val="0"/>
      </w:rPr>
      <w:t xml:space="preserve">PLANIFICACIÓN DE CÁTEDRA  ·  TECNICATURA EN DESARROLLO FULL STACK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02124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esting-library.com/docs/guiding-principles/" TargetMode="External"/><Relationship Id="rId10" Type="http://schemas.openxmlformats.org/officeDocument/2006/relationships/hyperlink" Target="https://vitest.dev/guide/coverage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playwright.dev/docs/intr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test.dev/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gilemanifesto.org/iso/es/manifesto.html" TargetMode="External"/><Relationship Id="rId8" Type="http://schemas.openxmlformats.org/officeDocument/2006/relationships/hyperlink" Target="https://agilemanifesto.org/iso/es/princip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pjYJb+xmZhP1NkfuXTS1ZEcsNw==">CgMxLjA4AHIhMUl6SkdBa3BYX3k4MGFPSXRNeHgtUkpnZS1SdTlxZU96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