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4F8A"/>
          <w:sz w:val="52"/>
          <w:szCs w:val="52"/>
        </w:rPr>
        <w:t xml:space="preserve">ACOUSTIC EMISSION (AE) ANALYZER</w:t>
      </w:r>
    </w:p>
    <w:p>
      <w:pPr>
        <w:spacing w:after="120"/>
        <w:jc w:val="center"/>
      </w:pPr>
      <w:r>
        <w:rPr>
          <w:rFonts w:ascii="Arial" w:cs="Arial" w:eastAsia="Arial" w:hAnsi="Arial"/>
          <w:b w:val="false"/>
          <w:bCs w:val="false"/>
          <w:color w:val="2C6FAD"/>
          <w:sz w:val="32"/>
          <w:szCs w:val="32"/>
        </w:rPr>
        <w:t xml:space="preserve">Complete Software Documentation</w:t>
      </w:r>
    </w:p>
    <w:p>
      <w:pPr>
        <w:spacing w:after="720"/>
        <w:jc w:val="center"/>
      </w:pPr>
      <w:r>
        <w:rPr>
          <w:rFonts w:ascii="Arial" w:cs="Arial" w:eastAsia="Arial" w:hAnsi="Arial"/>
          <w:b/>
          <w:bCs/>
          <w:color w:val="C05C00"/>
          <w:sz w:val="26"/>
          <w:szCs w:val="26"/>
        </w:rPr>
        <w:t xml:space="preserve">REPCO Mechatronics</w:t>
      </w:r>
    </w:p>
    <w:p>
      <w:pPr>
        <w:pBdr>
          <w:bottom w:val="single" w:color="2C6FAD" w:sz="6" w:space="1"/>
        </w:pBdr>
      </w:pPr>
      <w:r>
        <w:t xml:space="preserve"/>
      </w:r>
    </w:p>
    <w:p>
      <w:pPr>
        <w:spacing w:after="200"/>
      </w:pPr>
      <w:r>
        <w:t xml:space="preserve"/>
      </w:r>
    </w:p>
    <w:p>
      <w:pPr>
        <w:jc w:val="center"/>
      </w:pPr>
      <w:r>
        <w:rPr>
          <w:rFonts w:ascii="Arial" w:cs="Arial" w:eastAsia="Arial" w:hAnsi="Arial"/>
          <w:i/>
          <w:iCs/>
          <w:color w:val="555555"/>
          <w:sz w:val="22"/>
          <w:szCs w:val="22"/>
        </w:rPr>
        <w:t xml:space="preserve">This document describes three topics:</w:t>
      </w:r>
    </w:p>
    <w:p>
      <w:pPr>
        <w:pStyle w:val="ListParagraph"/>
        <w:numPr>
          <w:ilvl w:val="0"/>
          <w:numId w:val="2"/>
        </w:numPr>
        <w:spacing w:after="80"/>
      </w:pPr>
      <w:r>
        <w:rPr>
          <w:rFonts w:ascii="Arial" w:cs="Arial" w:eastAsia="Arial" w:hAnsi="Arial"/>
          <w:sz w:val="22"/>
          <w:szCs w:val="22"/>
        </w:rPr>
        <w:t xml:space="preserve">How to use the AE Analyzer software</w:t>
      </w:r>
    </w:p>
    <w:p>
      <w:pPr>
        <w:pStyle w:val="ListParagraph"/>
        <w:numPr>
          <w:ilvl w:val="0"/>
          <w:numId w:val="2"/>
        </w:numPr>
        <w:spacing w:after="80"/>
      </w:pPr>
      <w:r>
        <w:rPr>
          <w:rFonts w:ascii="Arial" w:cs="Arial" w:eastAsia="Arial" w:hAnsi="Arial"/>
          <w:sz w:val="22"/>
          <w:szCs w:val="22"/>
        </w:rPr>
        <w:t xml:space="preserve">Theoretical background — physics and mathematics</w:t>
      </w:r>
    </w:p>
    <w:p>
      <w:pPr>
        <w:pStyle w:val="ListParagraph"/>
        <w:numPr>
          <w:ilvl w:val="0"/>
          <w:numId w:val="2"/>
        </w:numPr>
        <w:spacing w:after="80"/>
      </w:pPr>
      <w:r>
        <w:rPr>
          <w:rFonts w:ascii="Arial" w:cs="Arial" w:eastAsia="Arial" w:hAnsi="Arial"/>
          <w:sz w:val="22"/>
          <w:szCs w:val="22"/>
        </w:rPr>
        <w:t xml:space="preserve">Why PyInstaller is a secure packaging method</w:t>
      </w:r>
    </w:p>
    <w:p>
      <w:pPr>
        <w:spacing w:after="20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rPr>
          <w:rFonts w:ascii="Arial" w:cs="Arial" w:eastAsia="Arial" w:hAnsi="Arial"/>
          <w:b/>
          <w:bCs/>
          <w:color w:val="1B4F8A"/>
          <w:sz w:val="32"/>
          <w:szCs w:val="32"/>
        </w:rPr>
        <w:t xml:space="preserve">Section 1: How to Use the Software</w:t>
      </w:r>
    </w:p>
    <w:p>
      <w:pPr>
        <w:spacing w:after="120"/>
      </w:pPr>
      <w:r>
        <w:rPr>
          <w:rFonts w:ascii="Arial" w:cs="Arial" w:eastAsia="Arial" w:hAnsi="Arial"/>
          <w:b w:val="false"/>
          <w:bCs w:val="false"/>
          <w:color w:val="000000"/>
          <w:sz w:val="22"/>
          <w:szCs w:val="22"/>
        </w:rPr>
        <w:t xml:space="preserve">The AE Analyzer is a desktop application for processing raw binary Acoustic Emission sensor data. Follow the steps below to perform a complete analysis.</w:t>
      </w:r>
    </w:p>
    <w:p>
      <w:pPr>
        <w:spacing w:after="200"/>
      </w:pPr>
      <w:r>
        <w:t xml:space="preserve"/>
      </w:r>
    </w:p>
    <w:p>
      <w:pPr>
        <w:pStyle w:val="Heading2"/>
      </w:pPr>
      <w:r>
        <w:rPr>
          <w:rFonts w:ascii="Arial" w:cs="Arial" w:eastAsia="Arial" w:hAnsi="Arial"/>
          <w:b/>
          <w:bCs/>
          <w:color w:val="2C6FAD"/>
          <w:sz w:val="26"/>
          <w:szCs w:val="26"/>
        </w:rPr>
        <w:t xml:space="preserve">1.1  Step-by-Step Workflow</w:t>
      </w:r>
    </w:p>
    <w:p>
      <w:pPr>
        <w:pStyle w:val="Heading3"/>
      </w:pPr>
      <w:r>
        <w:rPr>
          <w:rFonts w:ascii="Arial" w:cs="Arial" w:eastAsia="Arial" w:hAnsi="Arial"/>
          <w:b/>
          <w:bCs/>
          <w:color w:val="C05C00"/>
          <w:sz w:val="24"/>
          <w:szCs w:val="24"/>
        </w:rPr>
        <w:t xml:space="preserve">Step 1 — Load Binary Files</w:t>
      </w:r>
    </w:p>
    <w:p>
      <w:pPr>
        <w:spacing w:after="120"/>
      </w:pPr>
      <w:r>
        <w:rPr>
          <w:rFonts w:ascii="Arial" w:cs="Arial" w:eastAsia="Arial" w:hAnsi="Arial"/>
          <w:b w:val="false"/>
          <w:bCs w:val="false"/>
          <w:color w:val="000000"/>
          <w:sz w:val="22"/>
          <w:szCs w:val="22"/>
        </w:rPr>
        <w:t xml:space="preserve">Click the button labelled "1. Load .bin Files" and select one or more raw binary AE data files (.bin). Multiple files can be loaded at once and switched via the dropdown menu without reloading the application.</w:t>
      </w:r>
    </w:p>
    <w:p>
      <w:pPr>
        <w:spacing w:after="200"/>
      </w:pPr>
      <w:r>
        <w:t xml:space="preserve"/>
      </w:r>
    </w:p>
    <w:p>
      <w:pPr>
        <w:pStyle w:val="Heading3"/>
      </w:pPr>
      <w:r>
        <w:rPr>
          <w:rFonts w:ascii="Arial" w:cs="Arial" w:eastAsia="Arial" w:hAnsi="Arial"/>
          <w:b/>
          <w:bCs/>
          <w:color w:val="C05C00"/>
          <w:sz w:val="24"/>
          <w:szCs w:val="24"/>
        </w:rPr>
        <w:t xml:space="preserve">Step 2 — Select a File</w:t>
      </w:r>
    </w:p>
    <w:p>
      <w:pPr>
        <w:spacing w:after="120"/>
      </w:pPr>
      <w:r>
        <w:rPr>
          <w:rFonts w:ascii="Arial" w:cs="Arial" w:eastAsia="Arial" w:hAnsi="Arial"/>
          <w:b w:val="false"/>
          <w:bCs w:val="false"/>
          <w:color w:val="000000"/>
          <w:sz w:val="22"/>
          <w:szCs w:val="22"/>
        </w:rPr>
        <w:t xml:space="preserve">Use the dropdown menu labelled "2. Select File:" to choose which loaded file to analyse. The plot titles update immediately to reflect your selection.</w:t>
      </w:r>
    </w:p>
    <w:p>
      <w:pPr>
        <w:spacing w:after="200"/>
      </w:pPr>
      <w:r>
        <w:t xml:space="preserve"/>
      </w:r>
    </w:p>
    <w:p>
      <w:pPr>
        <w:pStyle w:val="Heading3"/>
      </w:pPr>
      <w:r>
        <w:rPr>
          <w:rFonts w:ascii="Arial" w:cs="Arial" w:eastAsia="Arial" w:hAnsi="Arial"/>
          <w:b/>
          <w:bCs/>
          <w:color w:val="C05C00"/>
          <w:sz w:val="24"/>
          <w:szCs w:val="24"/>
        </w:rPr>
        <w:t xml:space="preserve">Step 3 — Configure Parameters</w:t>
      </w:r>
    </w:p>
    <w:p>
      <w:pPr>
        <w:spacing w:after="120"/>
      </w:pPr>
      <w:r>
        <w:rPr>
          <w:rFonts w:ascii="Arial" w:cs="Arial" w:eastAsia="Arial" w:hAnsi="Arial"/>
          <w:b w:val="false"/>
          <w:bCs w:val="false"/>
          <w:color w:val="000000"/>
          <w:sz w:val="22"/>
          <w:szCs w:val="22"/>
        </w:rPr>
        <w:t xml:space="preserve">Parameters are grouped into three panels:</w:t>
      </w:r>
    </w:p>
    <w:p>
      <w:pPr>
        <w:spacing w:after="120"/>
      </w:pPr>
      <w:r>
        <w:rPr>
          <w:rFonts w:ascii="Arial" w:cs="Arial" w:eastAsia="Arial" w:hAnsi="Arial"/>
          <w:b/>
          <w:bCs/>
          <w:color w:val="000000"/>
          <w:sz w:val="22"/>
          <w:szCs w:val="22"/>
        </w:rPr>
        <w:t xml:space="preserve">Spectrogram Color Range:</w:t>
      </w:r>
    </w:p>
    <w:p>
      <w:pPr>
        <w:pStyle w:val="ListParagraph"/>
        <w:numPr>
          <w:ilvl w:val="0"/>
          <w:numId w:val="2"/>
        </w:numPr>
        <w:spacing w:after="80"/>
      </w:pPr>
      <w:r>
        <w:rPr>
          <w:rFonts w:ascii="Arial" w:cs="Arial" w:eastAsia="Arial" w:hAnsi="Arial"/>
          <w:sz w:val="22"/>
          <w:szCs w:val="22"/>
        </w:rPr>
        <w:t xml:space="preserve">Min dBFS and Max dBFS control the colour scale of the spectrogram.</w:t>
      </w:r>
    </w:p>
    <w:p>
      <w:pPr>
        <w:pStyle w:val="ListParagraph"/>
        <w:numPr>
          <w:ilvl w:val="0"/>
          <w:numId w:val="2"/>
        </w:numPr>
        <w:spacing w:after="80"/>
      </w:pPr>
      <w:r>
        <w:rPr>
          <w:rFonts w:ascii="Arial" w:cs="Arial" w:eastAsia="Arial" w:hAnsi="Arial"/>
          <w:sz w:val="22"/>
          <w:szCs w:val="22"/>
        </w:rPr>
        <w:t xml:space="preserve">Typical range: -90 dBFS (noise floor) to -20 dBFS (strong signal).</w:t>
      </w:r>
    </w:p>
    <w:p>
      <w:pPr>
        <w:pStyle w:val="ListParagraph"/>
        <w:numPr>
          <w:ilvl w:val="0"/>
          <w:numId w:val="2"/>
        </w:numPr>
        <w:spacing w:after="80"/>
      </w:pPr>
      <w:r>
        <w:rPr>
          <w:rFonts w:ascii="Arial" w:cs="Arial" w:eastAsia="Arial" w:hAnsi="Arial"/>
          <w:sz w:val="22"/>
          <w:szCs w:val="22"/>
        </w:rPr>
        <w:t xml:space="preserve">Click Apply Colors to update the colour map without recomputing.</w:t>
      </w:r>
    </w:p>
    <w:p>
      <w:pPr>
        <w:spacing w:after="200"/>
      </w:pPr>
      <w:r>
        <w:t xml:space="preserve"/>
      </w:r>
    </w:p>
    <w:p>
      <w:pPr>
        <w:spacing w:after="120"/>
      </w:pPr>
      <w:r>
        <w:rPr>
          <w:rFonts w:ascii="Arial" w:cs="Arial" w:eastAsia="Arial" w:hAnsi="Arial"/>
          <w:b/>
          <w:bCs/>
          <w:color w:val="000000"/>
          <w:sz w:val="22"/>
          <w:szCs w:val="22"/>
        </w:rPr>
        <w:t xml:space="preserve">Primary AE Count Threshold:</w:t>
      </w:r>
    </w:p>
    <w:p>
      <w:pPr>
        <w:pStyle w:val="ListParagraph"/>
        <w:numPr>
          <w:ilvl w:val="0"/>
          <w:numId w:val="2"/>
        </w:numPr>
        <w:spacing w:after="80"/>
      </w:pPr>
      <w:r>
        <w:rPr>
          <w:rFonts w:ascii="Arial" w:cs="Arial" w:eastAsia="Arial" w:hAnsi="Arial"/>
          <w:sz w:val="22"/>
          <w:szCs w:val="22"/>
        </w:rPr>
        <w:t xml:space="preserve">One threshold in dBAE used by the Count at Time and Cumulative Count plots.</w:t>
      </w:r>
    </w:p>
    <w:p>
      <w:pPr>
        <w:pStyle w:val="ListParagraph"/>
        <w:numPr>
          <w:ilvl w:val="0"/>
          <w:numId w:val="2"/>
        </w:numPr>
        <w:spacing w:after="80"/>
      </w:pPr>
      <w:r>
        <w:rPr>
          <w:rFonts w:ascii="Arial" w:cs="Arial" w:eastAsia="Arial" w:hAnsi="Arial"/>
          <w:sz w:val="22"/>
          <w:szCs w:val="22"/>
        </w:rPr>
        <w:t xml:space="preserve">Reference scale: 0 dBAE = 1 microvolt (µV).</w:t>
      </w:r>
    </w:p>
    <w:p>
      <w:pPr>
        <w:pStyle w:val="ListParagraph"/>
        <w:numPr>
          <w:ilvl w:val="0"/>
          <w:numId w:val="2"/>
        </w:numPr>
        <w:spacing w:after="80"/>
      </w:pPr>
      <w:r>
        <w:rPr>
          <w:rFonts w:ascii="Arial" w:cs="Arial" w:eastAsia="Arial" w:hAnsi="Arial"/>
          <w:sz w:val="22"/>
          <w:szCs w:val="22"/>
        </w:rPr>
        <w:t xml:space="preserve">Typical range: 80–110 dBAE depending on sensor sensitivity.</w:t>
      </w:r>
    </w:p>
    <w:p>
      <w:pPr>
        <w:pStyle w:val="ListParagraph"/>
        <w:numPr>
          <w:ilvl w:val="0"/>
          <w:numId w:val="2"/>
        </w:numPr>
        <w:spacing w:after="80"/>
      </w:pPr>
      <w:r>
        <w:rPr>
          <w:rFonts w:ascii="Arial" w:cs="Arial" w:eastAsia="Arial" w:hAnsi="Arial"/>
          <w:sz w:val="22"/>
          <w:szCs w:val="22"/>
        </w:rPr>
        <w:t xml:space="preserve">Click Apply Ranges &amp; Recalculate Counts to update.</w:t>
      </w:r>
    </w:p>
    <w:p>
      <w:pPr>
        <w:spacing w:after="200"/>
      </w:pPr>
      <w:r>
        <w:t xml:space="preserve"/>
      </w:r>
    </w:p>
    <w:p>
      <w:pPr>
        <w:spacing w:after="120"/>
      </w:pPr>
      <w:r>
        <w:rPr>
          <w:rFonts w:ascii="Arial" w:cs="Arial" w:eastAsia="Arial" w:hAnsi="Arial"/>
          <w:b/>
          <w:bCs/>
          <w:color w:val="000000"/>
          <w:sz w:val="22"/>
          <w:szCs w:val="22"/>
        </w:rPr>
        <w:t xml:space="preserve">Multi-Threshold Analysis (T1 / T2 / T3):</w:t>
      </w:r>
    </w:p>
    <w:p>
      <w:pPr>
        <w:pStyle w:val="ListParagraph"/>
        <w:numPr>
          <w:ilvl w:val="0"/>
          <w:numId w:val="2"/>
        </w:numPr>
        <w:spacing w:after="80"/>
      </w:pPr>
      <w:r>
        <w:rPr>
          <w:rFonts w:ascii="Arial" w:cs="Arial" w:eastAsia="Arial" w:hAnsi="Arial"/>
          <w:sz w:val="22"/>
          <w:szCs w:val="22"/>
        </w:rPr>
        <w:t xml:space="preserve">Three independent amplitude threshold levels, all expressed in dBAE.</w:t>
      </w:r>
    </w:p>
    <w:p>
      <w:pPr>
        <w:pStyle w:val="ListParagraph"/>
        <w:numPr>
          <w:ilvl w:val="0"/>
          <w:numId w:val="2"/>
        </w:numPr>
        <w:spacing w:after="80"/>
      </w:pPr>
      <w:r>
        <w:rPr>
          <w:rFonts w:ascii="Arial" w:cs="Arial" w:eastAsia="Arial" w:hAnsi="Arial"/>
          <w:sz w:val="22"/>
          <w:szCs w:val="22"/>
        </w:rPr>
        <w:t xml:space="preserve">T1 = Highest threshold — fewest AE events exceed this level.</w:t>
      </w:r>
    </w:p>
    <w:p>
      <w:pPr>
        <w:pStyle w:val="ListParagraph"/>
        <w:numPr>
          <w:ilvl w:val="0"/>
          <w:numId w:val="2"/>
        </w:numPr>
        <w:spacing w:after="80"/>
      </w:pPr>
      <w:r>
        <w:rPr>
          <w:rFonts w:ascii="Arial" w:cs="Arial" w:eastAsia="Arial" w:hAnsi="Arial"/>
          <w:sz w:val="22"/>
          <w:szCs w:val="22"/>
        </w:rPr>
        <w:t xml:space="preserve">T2 = Middle threshold.</w:t>
      </w:r>
    </w:p>
    <w:p>
      <w:pPr>
        <w:pStyle w:val="ListParagraph"/>
        <w:numPr>
          <w:ilvl w:val="0"/>
          <w:numId w:val="2"/>
        </w:numPr>
        <w:spacing w:after="80"/>
      </w:pPr>
      <w:r>
        <w:rPr>
          <w:rFonts w:ascii="Arial" w:cs="Arial" w:eastAsia="Arial" w:hAnsi="Arial"/>
          <w:sz w:val="22"/>
          <w:szCs w:val="22"/>
        </w:rPr>
        <w:t xml:space="preserve">T3 = Lowest threshold — most AE events exceed this level.</w:t>
      </w:r>
    </w:p>
    <w:p>
      <w:pPr>
        <w:pStyle w:val="ListParagraph"/>
        <w:numPr>
          <w:ilvl w:val="0"/>
          <w:numId w:val="2"/>
        </w:numPr>
        <w:spacing w:after="80"/>
      </w:pPr>
      <w:r>
        <w:rPr>
          <w:rFonts w:ascii="Arial" w:cs="Arial" w:eastAsia="Arial" w:hAnsi="Arial"/>
          <w:sz w:val="22"/>
          <w:szCs w:val="22"/>
        </w:rPr>
        <w:t xml:space="preserve">T1, T2, T3 appear as horizontal lines on the dBAE vs Time graph and as vertical markers on the Amplitude Distribution graph.</w:t>
      </w:r>
    </w:p>
    <w:p>
      <w:pPr>
        <w:pStyle w:val="ListParagraph"/>
        <w:numPr>
          <w:ilvl w:val="0"/>
          <w:numId w:val="2"/>
        </w:numPr>
        <w:spacing w:after="80"/>
      </w:pPr>
      <w:r>
        <w:rPr>
          <w:rFonts w:ascii="Arial" w:cs="Arial" w:eastAsia="Arial" w:hAnsi="Arial"/>
          <w:sz w:val="22"/>
          <w:szCs w:val="22"/>
        </w:rPr>
        <w:t xml:space="preserve">Click Apply Thresholds &amp; Redraw to update both new graphs.</w:t>
      </w:r>
    </w:p>
    <w:p>
      <w:pPr>
        <w:spacing w:after="200"/>
      </w:pPr>
      <w:r>
        <w:t xml:space="preserve"/>
      </w:r>
    </w:p>
    <w:p>
      <w:pPr>
        <w:pStyle w:val="Heading3"/>
      </w:pPr>
      <w:r>
        <w:rPr>
          <w:rFonts w:ascii="Arial" w:cs="Arial" w:eastAsia="Arial" w:hAnsi="Arial"/>
          <w:b/>
          <w:bCs/>
          <w:color w:val="C05C00"/>
          <w:sz w:val="24"/>
          <w:szCs w:val="24"/>
        </w:rPr>
        <w:t xml:space="preserve">Step 4 — Compute &amp; Plot</w:t>
      </w:r>
    </w:p>
    <w:p>
      <w:pPr>
        <w:spacing w:after="120"/>
      </w:pPr>
      <w:r>
        <w:rPr>
          <w:rFonts w:ascii="Arial" w:cs="Arial" w:eastAsia="Arial" w:hAnsi="Arial"/>
          <w:b w:val="false"/>
          <w:bCs w:val="false"/>
          <w:color w:val="000000"/>
          <w:sz w:val="22"/>
          <w:szCs w:val="22"/>
        </w:rPr>
        <w:t xml:space="preserve">Click "3. Compute &amp; Plot" to process the selected file. The application will:</w:t>
      </w:r>
    </w:p>
    <w:p>
      <w:pPr>
        <w:pStyle w:val="ListParagraph"/>
        <w:numPr>
          <w:ilvl w:val="0"/>
          <w:numId w:val="2"/>
        </w:numPr>
        <w:spacing w:after="80"/>
      </w:pPr>
      <w:r>
        <w:rPr>
          <w:rFonts w:ascii="Arial" w:cs="Arial" w:eastAsia="Arial" w:hAnsi="Arial"/>
          <w:sz w:val="22"/>
          <w:szCs w:val="22"/>
        </w:rPr>
        <w:t xml:space="preserve">Read raw 16-bit binary data from disk.</w:t>
      </w:r>
    </w:p>
    <w:p>
      <w:pPr>
        <w:pStyle w:val="ListParagraph"/>
        <w:numPr>
          <w:ilvl w:val="0"/>
          <w:numId w:val="2"/>
        </w:numPr>
        <w:spacing w:after="80"/>
      </w:pPr>
      <w:r>
        <w:rPr>
          <w:rFonts w:ascii="Arial" w:cs="Arial" w:eastAsia="Arial" w:hAnsi="Arial"/>
          <w:sz w:val="22"/>
          <w:szCs w:val="22"/>
        </w:rPr>
        <w:t xml:space="preserve">Convert ADC counts to voltage: V = (count / 4096) × 3.3 V.</w:t>
      </w:r>
    </w:p>
    <w:p>
      <w:pPr>
        <w:pStyle w:val="ListParagraph"/>
        <w:numPr>
          <w:ilvl w:val="0"/>
          <w:numId w:val="2"/>
        </w:numPr>
        <w:spacing w:after="80"/>
      </w:pPr>
      <w:r>
        <w:rPr>
          <w:rFonts w:ascii="Arial" w:cs="Arial" w:eastAsia="Arial" w:hAnsi="Arial"/>
          <w:sz w:val="22"/>
          <w:szCs w:val="22"/>
        </w:rPr>
        <w:t xml:space="preserve">Remove the DC offset by subtracting the signal mean.</w:t>
      </w:r>
    </w:p>
    <w:p>
      <w:pPr>
        <w:pStyle w:val="ListParagraph"/>
        <w:numPr>
          <w:ilvl w:val="0"/>
          <w:numId w:val="2"/>
        </w:numPr>
        <w:spacing w:after="80"/>
      </w:pPr>
      <w:r>
        <w:rPr>
          <w:rFonts w:ascii="Arial" w:cs="Arial" w:eastAsia="Arial" w:hAnsi="Arial"/>
          <w:sz w:val="22"/>
          <w:szCs w:val="22"/>
        </w:rPr>
        <w:t xml:space="preserve">Compute and render all 7 analysis plots.</w:t>
      </w:r>
    </w:p>
    <w:p>
      <w:pPr>
        <w:pStyle w:val="ListParagraph"/>
        <w:numPr>
          <w:ilvl w:val="0"/>
          <w:numId w:val="2"/>
        </w:numPr>
        <w:spacing w:after="80"/>
      </w:pPr>
      <w:r>
        <w:rPr>
          <w:rFonts w:ascii="Arial" w:cs="Arial" w:eastAsia="Arial" w:hAnsi="Arial"/>
          <w:sz w:val="22"/>
          <w:szCs w:val="22"/>
        </w:rPr>
        <w:t xml:space="preserve">Generate an Automated Diagnostic Report at the bottom.</w:t>
      </w:r>
    </w:p>
    <w:p>
      <w:pPr>
        <w:spacing w:after="200"/>
      </w:pPr>
      <w:r>
        <w:t xml:space="preserve"/>
      </w:r>
    </w:p>
    <w:p>
      <w:pPr>
        <w:pStyle w:val="Heading3"/>
      </w:pPr>
      <w:r>
        <w:rPr>
          <w:rFonts w:ascii="Arial" w:cs="Arial" w:eastAsia="Arial" w:hAnsi="Arial"/>
          <w:b/>
          <w:bCs/>
          <w:color w:val="C05C00"/>
          <w:sz w:val="24"/>
          <w:szCs w:val="24"/>
        </w:rPr>
        <w:t xml:space="preserve">Step 5 — Interpreting the 7 Plots</w:t>
      </w:r>
    </w:p>
    <w:p>
      <w:pPr>
        <w:spacing w:after="200"/>
      </w:pPr>
      <w:r>
        <w:t xml:space="preserve"/>
      </w:r>
    </w:p>
    <w:p>
      <w:pPr>
        <w:spacing w:after="120"/>
      </w:pPr>
      <w:r>
        <w:rPr>
          <w:rFonts w:ascii="Arial" w:cs="Arial" w:eastAsia="Arial" w:hAnsi="Arial"/>
          <w:b/>
          <w:bCs/>
          <w:color w:val="000000"/>
          <w:sz w:val="22"/>
          <w:szCs w:val="22"/>
        </w:rPr>
        <w:t xml:space="preserve">[1] Spectrogram (dBFS)</w:t>
      </w:r>
    </w:p>
    <w:p>
      <w:pPr>
        <w:pStyle w:val="ListParagraph"/>
        <w:numPr>
          <w:ilvl w:val="0"/>
          <w:numId w:val="2"/>
        </w:numPr>
        <w:spacing w:after="80"/>
      </w:pPr>
      <w:r>
        <w:rPr>
          <w:rFonts w:ascii="Arial" w:cs="Arial" w:eastAsia="Arial" w:hAnsi="Arial"/>
          <w:sz w:val="22"/>
          <w:szCs w:val="22"/>
        </w:rPr>
        <w:t xml:space="preserve">Colour map of signal power as a function of frequency (Y) and time (X).</w:t>
      </w:r>
    </w:p>
    <w:p>
      <w:pPr>
        <w:pStyle w:val="ListParagraph"/>
        <w:numPr>
          <w:ilvl w:val="0"/>
          <w:numId w:val="2"/>
        </w:numPr>
        <w:spacing w:after="80"/>
      </w:pPr>
      <w:r>
        <w:rPr>
          <w:rFonts w:ascii="Arial" w:cs="Arial" w:eastAsia="Arial" w:hAnsi="Arial"/>
          <w:sz w:val="22"/>
          <w:szCs w:val="22"/>
        </w:rPr>
        <w:t xml:space="preserve">Bright or warm colours = high power at that frequency and moment in time.</w:t>
      </w:r>
    </w:p>
    <w:p>
      <w:pPr>
        <w:pStyle w:val="ListParagraph"/>
        <w:numPr>
          <w:ilvl w:val="0"/>
          <w:numId w:val="2"/>
        </w:numPr>
        <w:spacing w:after="80"/>
      </w:pPr>
      <w:r>
        <w:rPr>
          <w:rFonts w:ascii="Arial" w:cs="Arial" w:eastAsia="Arial" w:hAnsi="Arial"/>
          <w:sz w:val="22"/>
          <w:szCs w:val="22"/>
        </w:rPr>
        <w:t xml:space="preserve">Persistent horizontal colour bands = dominant resonance frequencies.</w:t>
      </w:r>
    </w:p>
    <w:p>
      <w:pPr>
        <w:pStyle w:val="ListParagraph"/>
        <w:numPr>
          <w:ilvl w:val="0"/>
          <w:numId w:val="2"/>
        </w:numPr>
        <w:spacing w:after="80"/>
      </w:pPr>
      <w:r>
        <w:rPr>
          <w:rFonts w:ascii="Arial" w:cs="Arial" w:eastAsia="Arial" w:hAnsi="Arial"/>
          <w:sz w:val="22"/>
          <w:szCs w:val="22"/>
        </w:rPr>
        <w:t xml:space="preserve">Bright vertical streaks = broadband, impulsive AE events (impacts or cracks).</w:t>
      </w:r>
    </w:p>
    <w:p>
      <w:pPr>
        <w:spacing w:after="200"/>
      </w:pPr>
      <w:r>
        <w:t xml:space="preserve"/>
      </w:r>
    </w:p>
    <w:p>
      <w:pPr>
        <w:spacing w:after="120"/>
      </w:pPr>
      <w:r>
        <w:rPr>
          <w:rFonts w:ascii="Arial" w:cs="Arial" w:eastAsia="Arial" w:hAnsi="Arial"/>
          <w:b/>
          <w:bCs/>
          <w:color w:val="000000"/>
          <w:sz w:val="22"/>
          <w:szCs w:val="22"/>
        </w:rPr>
        <w:t xml:space="preserve">[2] RMS Trend</w:t>
      </w:r>
    </w:p>
    <w:p>
      <w:pPr>
        <w:pStyle w:val="ListParagraph"/>
        <w:numPr>
          <w:ilvl w:val="0"/>
          <w:numId w:val="2"/>
        </w:numPr>
        <w:spacing w:after="80"/>
      </w:pPr>
      <w:r>
        <w:rPr>
          <w:rFonts w:ascii="Arial" w:cs="Arial" w:eastAsia="Arial" w:hAnsi="Arial"/>
          <w:sz w:val="22"/>
          <w:szCs w:val="22"/>
        </w:rPr>
        <w:t xml:space="preserve">Root Mean Square amplitude per analysis window, expressed in Volts.</w:t>
      </w:r>
    </w:p>
    <w:p>
      <w:pPr>
        <w:pStyle w:val="ListParagraph"/>
        <w:numPr>
          <w:ilvl w:val="0"/>
          <w:numId w:val="2"/>
        </w:numPr>
        <w:spacing w:after="80"/>
      </w:pPr>
      <w:r>
        <w:rPr>
          <w:rFonts w:ascii="Arial" w:cs="Arial" w:eastAsia="Arial" w:hAnsi="Arial"/>
          <w:sz w:val="22"/>
          <w:szCs w:val="22"/>
        </w:rPr>
        <w:t xml:space="preserve">Rising RMS = increasing acoustic energy emitted by the monitored structure.</w:t>
      </w:r>
    </w:p>
    <w:p>
      <w:pPr>
        <w:pStyle w:val="ListParagraph"/>
        <w:numPr>
          <w:ilvl w:val="0"/>
          <w:numId w:val="2"/>
        </w:numPr>
        <w:spacing w:after="80"/>
      </w:pPr>
      <w:r>
        <w:rPr>
          <w:rFonts w:ascii="Arial" w:cs="Arial" w:eastAsia="Arial" w:hAnsi="Arial"/>
          <w:sz w:val="22"/>
          <w:szCs w:val="22"/>
        </w:rPr>
        <w:t xml:space="preserve">Flat or decreasing RMS = stable or subsiding AE activity.</w:t>
      </w:r>
    </w:p>
    <w:p>
      <w:pPr>
        <w:spacing w:after="200"/>
      </w:pPr>
      <w:r>
        <w:t xml:space="preserve"/>
      </w:r>
    </w:p>
    <w:p>
      <w:pPr>
        <w:spacing w:after="120"/>
      </w:pPr>
      <w:r>
        <w:rPr>
          <w:rFonts w:ascii="Arial" w:cs="Arial" w:eastAsia="Arial" w:hAnsi="Arial"/>
          <w:b/>
          <w:bCs/>
          <w:color w:val="000000"/>
          <w:sz w:val="22"/>
          <w:szCs w:val="22"/>
        </w:rPr>
        <w:t xml:space="preserve">[3] Peak Amplitude Trend</w:t>
      </w:r>
    </w:p>
    <w:p>
      <w:pPr>
        <w:pStyle w:val="ListParagraph"/>
        <w:numPr>
          <w:ilvl w:val="0"/>
          <w:numId w:val="2"/>
        </w:numPr>
        <w:spacing w:after="80"/>
      </w:pPr>
      <w:r>
        <w:rPr>
          <w:rFonts w:ascii="Arial" w:cs="Arial" w:eastAsia="Arial" w:hAnsi="Arial"/>
          <w:sz w:val="22"/>
          <w:szCs w:val="22"/>
        </w:rPr>
        <w:t xml:space="preserve">Maximum absolute amplitude per analysis window, expressed in Volts.</w:t>
      </w:r>
    </w:p>
    <w:p>
      <w:pPr>
        <w:pStyle w:val="ListParagraph"/>
        <w:numPr>
          <w:ilvl w:val="0"/>
          <w:numId w:val="2"/>
        </w:numPr>
        <w:spacing w:after="80"/>
      </w:pPr>
      <w:r>
        <w:rPr>
          <w:rFonts w:ascii="Arial" w:cs="Arial" w:eastAsia="Arial" w:hAnsi="Arial"/>
          <w:sz w:val="22"/>
          <w:szCs w:val="22"/>
        </w:rPr>
        <w:t xml:space="preserve">Sudden spikes indicate crack events, mechanical impacts, or high-energy burst emissions.</w:t>
      </w:r>
    </w:p>
    <w:p>
      <w:pPr>
        <w:pStyle w:val="ListParagraph"/>
        <w:numPr>
          <w:ilvl w:val="0"/>
          <w:numId w:val="2"/>
        </w:numPr>
        <w:spacing w:after="80"/>
      </w:pPr>
      <w:r>
        <w:rPr>
          <w:rFonts w:ascii="Arial" w:cs="Arial" w:eastAsia="Arial" w:hAnsi="Arial"/>
          <w:sz w:val="22"/>
          <w:szCs w:val="22"/>
        </w:rPr>
        <w:t xml:space="preserve">Compare with RMS using the Crest Factor (CF = Peak / RMS) — high CF indicates burst emission.</w:t>
      </w:r>
    </w:p>
    <w:p>
      <w:pPr>
        <w:spacing w:after="200"/>
      </w:pPr>
      <w:r>
        <w:t xml:space="preserve"/>
      </w:r>
    </w:p>
    <w:p>
      <w:pPr>
        <w:spacing w:after="120"/>
      </w:pPr>
      <w:r>
        <w:rPr>
          <w:rFonts w:ascii="Arial" w:cs="Arial" w:eastAsia="Arial" w:hAnsi="Arial"/>
          <w:b/>
          <w:bCs/>
          <w:color w:val="000000"/>
          <w:sz w:val="22"/>
          <w:szCs w:val="22"/>
        </w:rPr>
        <w:t xml:space="preserve">[4] Count at Time (Per Window)</w:t>
      </w:r>
    </w:p>
    <w:p>
      <w:pPr>
        <w:pStyle w:val="ListParagraph"/>
        <w:numPr>
          <w:ilvl w:val="0"/>
          <w:numId w:val="2"/>
        </w:numPr>
        <w:spacing w:after="80"/>
      </w:pPr>
      <w:r>
        <w:rPr>
          <w:rFonts w:ascii="Arial" w:cs="Arial" w:eastAsia="Arial" w:hAnsi="Arial"/>
          <w:sz w:val="22"/>
          <w:szCs w:val="22"/>
        </w:rPr>
        <w:t xml:space="preserve">Number of times the signal crosses the primary threshold within each analysis window.</w:t>
      </w:r>
    </w:p>
    <w:p>
      <w:pPr>
        <w:pStyle w:val="ListParagraph"/>
        <w:numPr>
          <w:ilvl w:val="0"/>
          <w:numId w:val="2"/>
        </w:numPr>
        <w:spacing w:after="80"/>
      </w:pPr>
      <w:r>
        <w:rPr>
          <w:rFonts w:ascii="Arial" w:cs="Arial" w:eastAsia="Arial" w:hAnsi="Arial"/>
          <w:sz w:val="22"/>
          <w:szCs w:val="22"/>
        </w:rPr>
        <w:t xml:space="preserve">Implemented as the ring-down count method (ASTM E1781).</w:t>
      </w:r>
    </w:p>
    <w:p>
      <w:pPr>
        <w:pStyle w:val="ListParagraph"/>
        <w:numPr>
          <w:ilvl w:val="0"/>
          <w:numId w:val="2"/>
        </w:numPr>
        <w:spacing w:after="80"/>
      </w:pPr>
      <w:r>
        <w:rPr>
          <w:rFonts w:ascii="Arial" w:cs="Arial" w:eastAsia="Arial" w:hAnsi="Arial"/>
          <w:sz w:val="22"/>
          <w:szCs w:val="22"/>
        </w:rPr>
        <w:t xml:space="preserve">High bars = intense AE activity at that time window.</w:t>
      </w:r>
    </w:p>
    <w:p>
      <w:pPr>
        <w:spacing w:after="200"/>
      </w:pPr>
      <w:r>
        <w:t xml:space="preserve"/>
      </w:r>
    </w:p>
    <w:p>
      <w:pPr>
        <w:spacing w:after="120"/>
      </w:pPr>
      <w:r>
        <w:rPr>
          <w:rFonts w:ascii="Arial" w:cs="Arial" w:eastAsia="Arial" w:hAnsi="Arial"/>
          <w:b/>
          <w:bCs/>
          <w:color w:val="000000"/>
          <w:sz w:val="22"/>
          <w:szCs w:val="22"/>
        </w:rPr>
        <w:t xml:space="preserve">[5] Cumulative Count vs Time</w:t>
      </w:r>
    </w:p>
    <w:p>
      <w:pPr>
        <w:pStyle w:val="ListParagraph"/>
        <w:numPr>
          <w:ilvl w:val="0"/>
          <w:numId w:val="2"/>
        </w:numPr>
        <w:spacing w:after="80"/>
      </w:pPr>
      <w:r>
        <w:rPr>
          <w:rFonts w:ascii="Arial" w:cs="Arial" w:eastAsia="Arial" w:hAnsi="Arial"/>
          <w:sz w:val="22"/>
          <w:szCs w:val="22"/>
        </w:rPr>
        <w:t xml:space="preserve">Running total of all threshold crossings from the beginning of the recording.</w:t>
      </w:r>
    </w:p>
    <w:p>
      <w:pPr>
        <w:pStyle w:val="ListParagraph"/>
        <w:numPr>
          <w:ilvl w:val="0"/>
          <w:numId w:val="2"/>
        </w:numPr>
        <w:spacing w:after="80"/>
      </w:pPr>
      <w:r>
        <w:rPr>
          <w:rFonts w:ascii="Arial" w:cs="Arial" w:eastAsia="Arial" w:hAnsi="Arial"/>
          <w:sz w:val="22"/>
          <w:szCs w:val="22"/>
        </w:rPr>
        <w:t xml:space="preserve">A steep slope = high AE count rate = active AE source.</w:t>
      </w:r>
    </w:p>
    <w:p>
      <w:pPr>
        <w:pStyle w:val="ListParagraph"/>
        <w:numPr>
          <w:ilvl w:val="0"/>
          <w:numId w:val="2"/>
        </w:numPr>
        <w:spacing w:after="80"/>
      </w:pPr>
      <w:r>
        <w:rPr>
          <w:rFonts w:ascii="Arial" w:cs="Arial" w:eastAsia="Arial" w:hAnsi="Arial"/>
          <w:sz w:val="22"/>
          <w:szCs w:val="22"/>
        </w:rPr>
        <w:t xml:space="preserve">A flat section = quiet period with minimal AE activity.</w:t>
      </w:r>
    </w:p>
    <w:p>
      <w:pPr>
        <w:spacing w:after="200"/>
      </w:pPr>
      <w:r>
        <w:t xml:space="preserve"/>
      </w:r>
    </w:p>
    <w:p>
      <w:pPr>
        <w:spacing w:after="120"/>
      </w:pPr>
      <w:r>
        <w:rPr>
          <w:rFonts w:ascii="Arial" w:cs="Arial" w:eastAsia="Arial" w:hAnsi="Arial"/>
          <w:b/>
          <w:bCs/>
          <w:color w:val="1A6B35"/>
          <w:sz w:val="22"/>
          <w:szCs w:val="22"/>
        </w:rPr>
        <w:t xml:space="preserve">[6] AE Level (dBAE) vs Time  [NEW]</w:t>
      </w:r>
    </w:p>
    <w:p>
      <w:pPr>
        <w:pStyle w:val="ListParagraph"/>
        <w:numPr>
          <w:ilvl w:val="0"/>
          <w:numId w:val="2"/>
        </w:numPr>
        <w:spacing w:after="80"/>
      </w:pPr>
      <w:r>
        <w:rPr>
          <w:rFonts w:ascii="Arial" w:cs="Arial" w:eastAsia="Arial" w:hAnsi="Arial"/>
          <w:sz w:val="22"/>
          <w:szCs w:val="22"/>
        </w:rPr>
        <w:t xml:space="preserve">The windowed peak amplitude converted to dBAE: A = 20 × log10(V_peak / 1µV).</w:t>
      </w:r>
    </w:p>
    <w:p>
      <w:pPr>
        <w:pStyle w:val="ListParagraph"/>
        <w:numPr>
          <w:ilvl w:val="0"/>
          <w:numId w:val="2"/>
        </w:numPr>
        <w:spacing w:after="80"/>
      </w:pPr>
      <w:r>
        <w:rPr>
          <w:rFonts w:ascii="Arial" w:cs="Arial" w:eastAsia="Arial" w:hAnsi="Arial"/>
          <w:sz w:val="22"/>
          <w:szCs w:val="22"/>
        </w:rPr>
        <w:t xml:space="preserve">Coloured horizontal lines mark your T1 (red), T2 (orange), and T3 (green) thresholds.</w:t>
      </w:r>
    </w:p>
    <w:p>
      <w:pPr>
        <w:pStyle w:val="ListParagraph"/>
        <w:numPr>
          <w:ilvl w:val="0"/>
          <w:numId w:val="2"/>
        </w:numPr>
        <w:spacing w:after="80"/>
      </w:pPr>
      <w:r>
        <w:rPr>
          <w:rFonts w:ascii="Arial" w:cs="Arial" w:eastAsia="Arial" w:hAnsi="Arial"/>
          <w:sz w:val="22"/>
          <w:szCs w:val="22"/>
        </w:rPr>
        <w:t xml:space="preserve">When the trace rises above T1 → very high energy AE event detected.</w:t>
      </w:r>
    </w:p>
    <w:p>
      <w:pPr>
        <w:pStyle w:val="ListParagraph"/>
        <w:numPr>
          <w:ilvl w:val="0"/>
          <w:numId w:val="2"/>
        </w:numPr>
        <w:spacing w:after="80"/>
      </w:pPr>
      <w:r>
        <w:rPr>
          <w:rFonts w:ascii="Arial" w:cs="Arial" w:eastAsia="Arial" w:hAnsi="Arial"/>
          <w:sz w:val="22"/>
          <w:szCs w:val="22"/>
        </w:rPr>
        <w:t xml:space="preserve">When between T2 and T1 → moderate energy event.</w:t>
      </w:r>
    </w:p>
    <w:p>
      <w:pPr>
        <w:pStyle w:val="ListParagraph"/>
        <w:numPr>
          <w:ilvl w:val="0"/>
          <w:numId w:val="2"/>
        </w:numPr>
        <w:spacing w:after="80"/>
      </w:pPr>
      <w:r>
        <w:rPr>
          <w:rFonts w:ascii="Arial" w:cs="Arial" w:eastAsia="Arial" w:hAnsi="Arial"/>
          <w:sz w:val="22"/>
          <w:szCs w:val="22"/>
        </w:rPr>
        <w:t xml:space="preserve">When above T3 only → minimum-threshold AE event detected.</w:t>
      </w:r>
    </w:p>
    <w:p>
      <w:pPr>
        <w:pStyle w:val="ListParagraph"/>
        <w:numPr>
          <w:ilvl w:val="0"/>
          <w:numId w:val="2"/>
        </w:numPr>
        <w:spacing w:after="80"/>
      </w:pPr>
      <w:r>
        <w:rPr>
          <w:rFonts w:ascii="Arial" w:cs="Arial" w:eastAsia="Arial" w:hAnsi="Arial"/>
          <w:sz w:val="22"/>
          <w:szCs w:val="22"/>
        </w:rPr>
        <w:t xml:space="preserve">Below T3 → background noise; no AE event counted at any threshold.</w:t>
      </w:r>
    </w:p>
    <w:p>
      <w:pPr>
        <w:spacing w:after="200"/>
      </w:pPr>
      <w:r>
        <w:t xml:space="preserve"/>
      </w:r>
    </w:p>
    <w:p>
      <w:pPr>
        <w:spacing w:after="120"/>
      </w:pPr>
      <w:r>
        <w:rPr>
          <w:rFonts w:ascii="Arial" w:cs="Arial" w:eastAsia="Arial" w:hAnsi="Arial"/>
          <w:b/>
          <w:bCs/>
          <w:color w:val="1A6B35"/>
          <w:sz w:val="22"/>
          <w:szCs w:val="22"/>
        </w:rPr>
        <w:t xml:space="preserve">[7] Amplitude Distribution  [NEW]</w:t>
      </w:r>
    </w:p>
    <w:p>
      <w:pPr>
        <w:pStyle w:val="ListParagraph"/>
        <w:numPr>
          <w:ilvl w:val="0"/>
          <w:numId w:val="2"/>
        </w:numPr>
        <w:spacing w:after="80"/>
      </w:pPr>
      <w:r>
        <w:rPr>
          <w:rFonts w:ascii="Arial" w:cs="Arial" w:eastAsia="Arial" w:hAnsi="Arial"/>
          <w:sz w:val="22"/>
          <w:szCs w:val="22"/>
        </w:rPr>
        <w:t xml:space="preserve">Total AE count (Y axis) vs amplitude threshold in dBAE (X axis).</w:t>
      </w:r>
    </w:p>
    <w:p>
      <w:pPr>
        <w:pStyle w:val="ListParagraph"/>
        <w:numPr>
          <w:ilvl w:val="0"/>
          <w:numId w:val="2"/>
        </w:numPr>
        <w:spacing w:after="80"/>
      </w:pPr>
      <w:r>
        <w:rPr>
          <w:rFonts w:ascii="Arial" w:cs="Arial" w:eastAsia="Arial" w:hAnsi="Arial"/>
          <w:sz w:val="22"/>
          <w:szCs w:val="22"/>
        </w:rPr>
        <w:t xml:space="preserve">Shows how many events exceeded each threshold level across the entire recording.</w:t>
      </w:r>
    </w:p>
    <w:p>
      <w:pPr>
        <w:pStyle w:val="ListParagraph"/>
        <w:numPr>
          <w:ilvl w:val="0"/>
          <w:numId w:val="2"/>
        </w:numPr>
        <w:spacing w:after="80"/>
      </w:pPr>
      <w:r>
        <w:rPr>
          <w:rFonts w:ascii="Arial" w:cs="Arial" w:eastAsia="Arial" w:hAnsi="Arial"/>
          <w:sz w:val="22"/>
          <w:szCs w:val="22"/>
        </w:rPr>
        <w:t xml:space="preserve">The curve is always decreasing: lower threshold = more counts.</w:t>
      </w:r>
    </w:p>
    <w:p>
      <w:pPr>
        <w:pStyle w:val="ListParagraph"/>
        <w:numPr>
          <w:ilvl w:val="0"/>
          <w:numId w:val="2"/>
        </w:numPr>
        <w:spacing w:after="80"/>
      </w:pPr>
      <w:r>
        <w:rPr>
          <w:rFonts w:ascii="Arial" w:cs="Arial" w:eastAsia="Arial" w:hAnsi="Arial"/>
          <w:sz w:val="22"/>
          <w:szCs w:val="22"/>
        </w:rPr>
        <w:t xml:space="preserve">T3, T2, T1 are marked with coloured vertical dashed lines and × markers at their corresponding count levels.</w:t>
      </w:r>
    </w:p>
    <w:p>
      <w:pPr>
        <w:pStyle w:val="ListParagraph"/>
        <w:numPr>
          <w:ilvl w:val="0"/>
          <w:numId w:val="2"/>
        </w:numPr>
        <w:spacing w:after="80"/>
      </w:pPr>
      <w:r>
        <w:rPr>
          <w:rFonts w:ascii="Arial" w:cs="Arial" w:eastAsia="Arial" w:hAnsi="Arial"/>
          <w:sz w:val="22"/>
          <w:szCs w:val="22"/>
        </w:rPr>
        <w:t xml:space="preserve">A steep drop-off indicates mostly low-energy background events.</w:t>
      </w:r>
    </w:p>
    <w:p>
      <w:pPr>
        <w:pStyle w:val="ListParagraph"/>
        <w:numPr>
          <w:ilvl w:val="0"/>
          <w:numId w:val="2"/>
        </w:numPr>
        <w:spacing w:after="80"/>
      </w:pPr>
      <w:r>
        <w:rPr>
          <w:rFonts w:ascii="Arial" w:cs="Arial" w:eastAsia="Arial" w:hAnsi="Arial"/>
          <w:sz w:val="22"/>
          <w:szCs w:val="22"/>
        </w:rPr>
        <w:t xml:space="preserve">A shallow slope indicates an energetic, active AE source with many high-amplitude events.</w:t>
      </w:r>
    </w:p>
    <w:p>
      <w:pPr>
        <w:spacing w:after="200"/>
      </w:pPr>
      <w:r>
        <w:t xml:space="preserve"/>
      </w:r>
    </w:p>
    <w:p>
      <w:pPr>
        <w:pStyle w:val="Heading3"/>
      </w:pPr>
      <w:r>
        <w:rPr>
          <w:rFonts w:ascii="Arial" w:cs="Arial" w:eastAsia="Arial" w:hAnsi="Arial"/>
          <w:b/>
          <w:bCs/>
          <w:color w:val="C05C00"/>
          <w:sz w:val="24"/>
          <w:szCs w:val="24"/>
        </w:rPr>
        <w:t xml:space="preserve">Step 6 — Read the Diagnostic Report</w:t>
      </w:r>
    </w:p>
    <w:p>
      <w:pPr>
        <w:spacing w:after="120"/>
      </w:pPr>
      <w:r>
        <w:rPr>
          <w:rFonts w:ascii="Arial" w:cs="Arial" w:eastAsia="Arial" w:hAnsi="Arial"/>
          <w:b w:val="false"/>
          <w:bCs w:val="false"/>
          <w:color w:val="000000"/>
          <w:sz w:val="22"/>
          <w:szCs w:val="22"/>
        </w:rPr>
        <w:t xml:space="preserve">The Automated Diagnostic Report is generated automatically after each computation. It includes:</w:t>
      </w:r>
    </w:p>
    <w:p>
      <w:pPr>
        <w:pStyle w:val="ListParagraph"/>
        <w:numPr>
          <w:ilvl w:val="0"/>
          <w:numId w:val="2"/>
        </w:numPr>
        <w:spacing w:after="80"/>
      </w:pPr>
      <w:r>
        <w:rPr>
          <w:rFonts w:ascii="Arial" w:cs="Arial" w:eastAsia="Arial" w:hAnsi="Arial"/>
          <w:sz w:val="22"/>
          <w:szCs w:val="22"/>
        </w:rPr>
        <w:t xml:space="preserve">Signal classification: Burst Emission, Continuous Emission, or Background Noise Only.</w:t>
      </w:r>
    </w:p>
    <w:p>
      <w:pPr>
        <w:pStyle w:val="ListParagraph"/>
        <w:numPr>
          <w:ilvl w:val="0"/>
          <w:numId w:val="2"/>
        </w:numPr>
        <w:spacing w:after="80"/>
      </w:pPr>
      <w:r>
        <w:rPr>
          <w:rFonts w:ascii="Arial" w:cs="Arial" w:eastAsia="Arial" w:hAnsi="Arial"/>
          <w:sz w:val="22"/>
          <w:szCs w:val="22"/>
        </w:rPr>
        <w:t xml:space="preserve">Average Crest Factor.</w:t>
      </w:r>
    </w:p>
    <w:p>
      <w:pPr>
        <w:pStyle w:val="ListParagraph"/>
        <w:numPr>
          <w:ilvl w:val="0"/>
          <w:numId w:val="2"/>
        </w:numPr>
        <w:spacing w:after="80"/>
      </w:pPr>
      <w:r>
        <w:rPr>
          <w:rFonts w:ascii="Arial" w:cs="Arial" w:eastAsia="Arial" w:hAnsi="Arial"/>
          <w:sz w:val="22"/>
          <w:szCs w:val="22"/>
        </w:rPr>
        <w:t xml:space="preserve">Energy trend: Increasing, Stable, or Decreasing.</w:t>
      </w:r>
    </w:p>
    <w:p>
      <w:pPr>
        <w:pStyle w:val="ListParagraph"/>
        <w:numPr>
          <w:ilvl w:val="0"/>
          <w:numId w:val="2"/>
        </w:numPr>
        <w:spacing w:after="80"/>
      </w:pPr>
      <w:r>
        <w:rPr>
          <w:rFonts w:ascii="Arial" w:cs="Arial" w:eastAsia="Arial" w:hAnsi="Arial"/>
          <w:sz w:val="22"/>
          <w:szCs w:val="22"/>
        </w:rPr>
        <w:t xml:space="preserve">Total cumulative AE count.</w:t>
      </w:r>
    </w:p>
    <w:p>
      <w:pPr>
        <w:pStyle w:val="ListParagraph"/>
        <w:numPr>
          <w:ilvl w:val="0"/>
          <w:numId w:val="2"/>
        </w:numPr>
        <w:spacing w:after="80"/>
      </w:pPr>
      <w:r>
        <w:rPr>
          <w:rFonts w:ascii="Arial" w:cs="Arial" w:eastAsia="Arial" w:hAnsi="Arial"/>
          <w:sz w:val="22"/>
          <w:szCs w:val="22"/>
        </w:rPr>
        <w:t xml:space="preserve">List of high-energy anomaly windows detected by statistical outlier analysis.</w:t>
      </w:r>
    </w:p>
    <w:p>
      <w:pPr>
        <w:spacing w:after="200"/>
      </w:pPr>
      <w:r>
        <w:t xml:space="preserve"/>
      </w:r>
    </w:p>
    <w:p>
      <w:pPr>
        <w:pStyle w:val="Heading2"/>
      </w:pPr>
      <w:r>
        <w:rPr>
          <w:rFonts w:ascii="Arial" w:cs="Arial" w:eastAsia="Arial" w:hAnsi="Arial"/>
          <w:b/>
          <w:bCs/>
          <w:color w:val="2C6FAD"/>
          <w:sz w:val="26"/>
          <w:szCs w:val="26"/>
        </w:rPr>
        <w:t xml:space="preserve">1.2  Input Data Format</w:t>
      </w:r>
    </w:p>
    <w:p>
      <w:pPr>
        <w:spacing w:after="120"/>
      </w:pPr>
      <w:r>
        <w:rPr>
          <w:rFonts w:ascii="Arial" w:cs="Arial" w:eastAsia="Arial" w:hAnsi="Arial"/>
          <w:b w:val="false"/>
          <w:bCs w:val="false"/>
          <w:color w:val="000000"/>
          <w:sz w:val="22"/>
          <w:szCs w:val="22"/>
        </w:rPr>
        <w:t xml:space="preserve">The software expects raw binary files with the following format:</w:t>
      </w:r>
    </w:p>
    <w:p>
      <w:pPr>
        <w:spacing w:after="80" w:before="80"/>
        <w:ind w:left="720"/>
      </w:pPr>
      <w:r>
        <w:rPr>
          <w:rFonts w:ascii="Courier New" w:cs="Courier New" w:eastAsia="Courier New" w:hAnsi="Courier New"/>
          <w:color w:val="1A6B35"/>
          <w:sz w:val="20"/>
          <w:szCs w:val="20"/>
        </w:rPr>
        <w:t xml:space="preserve">File type   : Raw 16-bit unsigned integer binary (.bin)</w:t>
      </w:r>
    </w:p>
    <w:p>
      <w:pPr>
        <w:spacing w:after="80" w:before="80"/>
        <w:ind w:left="720"/>
      </w:pPr>
      <w:r>
        <w:rPr>
          <w:rFonts w:ascii="Courier New" w:cs="Courier New" w:eastAsia="Courier New" w:hAnsi="Courier New"/>
          <w:color w:val="1A6B35"/>
          <w:sz w:val="20"/>
          <w:szCs w:val="20"/>
        </w:rPr>
        <w:t xml:space="preserve">ADC scale   : 4096 counts = 3.3 V  (12-bit ADC, 3.3 V reference)</w:t>
      </w:r>
    </w:p>
    <w:p>
      <w:pPr>
        <w:spacing w:after="80" w:before="80"/>
        <w:ind w:left="720"/>
      </w:pPr>
      <w:r>
        <w:rPr>
          <w:rFonts w:ascii="Courier New" w:cs="Courier New" w:eastAsia="Courier New" w:hAnsi="Courier New"/>
          <w:color w:val="1A6B35"/>
          <w:sz w:val="20"/>
          <w:szCs w:val="20"/>
        </w:rPr>
        <w:t xml:space="preserve">Sample rate : 4000 Hz  (configurable in source code)</w:t>
      </w:r>
    </w:p>
    <w:p>
      <w:pPr>
        <w:spacing w:after="80" w:before="80"/>
        <w:ind w:left="720"/>
      </w:pPr>
      <w:r>
        <w:rPr>
          <w:rFonts w:ascii="Courier New" w:cs="Courier New" w:eastAsia="Courier New" w:hAnsi="Courier New"/>
          <w:color w:val="1A6B35"/>
          <w:sz w:val="20"/>
          <w:szCs w:val="20"/>
        </w:rPr>
        <w:t xml:space="preserve">Window time : 0.1 s  -&gt;  400 samples per analysis window</w:t>
      </w:r>
    </w:p>
    <w:p>
      <w:pPr>
        <w:spacing w:after="200"/>
      </w:pPr>
      <w:r>
        <w:t xml:space="preserve"/>
      </w:r>
    </w:p>
    <w:p>
      <w:pPr>
        <w:pStyle w:val="Heading1"/>
        <w:pageBreakBefore/>
      </w:pPr>
      <w:r>
        <w:rPr>
          <w:rFonts w:ascii="Arial" w:cs="Arial" w:eastAsia="Arial" w:hAnsi="Arial"/>
          <w:b/>
          <w:bCs/>
          <w:color w:val="1B4F8A"/>
          <w:sz w:val="32"/>
          <w:szCs w:val="32"/>
        </w:rPr>
        <w:t xml:space="preserve">Section 2: Theoretical Background</w:t>
      </w:r>
    </w:p>
    <w:p>
      <w:pPr>
        <w:spacing w:after="120"/>
      </w:pPr>
      <w:r>
        <w:rPr>
          <w:rFonts w:ascii="Arial" w:cs="Arial" w:eastAsia="Arial" w:hAnsi="Arial"/>
          <w:b w:val="false"/>
          <w:bCs w:val="false"/>
          <w:color w:val="000000"/>
          <w:sz w:val="22"/>
          <w:szCs w:val="22"/>
        </w:rPr>
        <w:t xml:space="preserve">This section covers the physics of Acoustic Emission and the mathematical signal processing methods used in this software.</w:t>
      </w:r>
    </w:p>
    <w:p>
      <w:pPr>
        <w:spacing w:after="200"/>
      </w:pPr>
      <w:r>
        <w:t xml:space="preserve"/>
      </w:r>
    </w:p>
    <w:p>
      <w:pPr>
        <w:pStyle w:val="Heading2"/>
      </w:pPr>
      <w:r>
        <w:rPr>
          <w:rFonts w:ascii="Arial" w:cs="Arial" w:eastAsia="Arial" w:hAnsi="Arial"/>
          <w:b/>
          <w:bCs/>
          <w:color w:val="2C6FAD"/>
          <w:sz w:val="26"/>
          <w:szCs w:val="26"/>
        </w:rPr>
        <w:t xml:space="preserve">2.1  Physics of Acoustic Emission</w:t>
      </w:r>
    </w:p>
    <w:p>
      <w:pPr>
        <w:spacing w:after="120"/>
      </w:pPr>
      <w:r>
        <w:rPr>
          <w:rFonts w:ascii="Arial" w:cs="Arial" w:eastAsia="Arial" w:hAnsi="Arial"/>
          <w:b w:val="false"/>
          <w:bCs w:val="false"/>
          <w:color w:val="000000"/>
          <w:sz w:val="22"/>
          <w:szCs w:val="22"/>
        </w:rPr>
        <w:t xml:space="preserve">Acoustic Emission (AE) is the phenomenon of transient elastic waves generated by the rapid, localised release of strain energy within a solid material or at its surface. These waves propagate through the material and are detected by piezoelectric transducers.</w:t>
      </w:r>
    </w:p>
    <w:p>
      <w:pPr>
        <w:spacing w:after="200"/>
      </w:pPr>
      <w:r>
        <w:t xml:space="preserve"/>
      </w:r>
    </w:p>
    <w:p>
      <w:pPr>
        <w:pStyle w:val="Heading3"/>
      </w:pPr>
      <w:r>
        <w:rPr>
          <w:rFonts w:ascii="Arial" w:cs="Arial" w:eastAsia="Arial" w:hAnsi="Arial"/>
          <w:b/>
          <w:bCs/>
          <w:color w:val="C05C00"/>
          <w:sz w:val="24"/>
          <w:szCs w:val="24"/>
        </w:rPr>
        <w:t xml:space="preserve">Sources of Acoustic Emission</w:t>
      </w:r>
    </w:p>
    <w:p>
      <w:pPr>
        <w:pStyle w:val="ListParagraph"/>
        <w:numPr>
          <w:ilvl w:val="0"/>
          <w:numId w:val="2"/>
        </w:numPr>
        <w:spacing w:after="80"/>
      </w:pPr>
      <w:r>
        <w:rPr>
          <w:rFonts w:ascii="Arial" w:cs="Arial" w:eastAsia="Arial" w:hAnsi="Arial"/>
          <w:sz w:val="22"/>
          <w:szCs w:val="22"/>
        </w:rPr>
        <w:t xml:space="preserve">Crack initiation and propagation in metals and composites.</w:t>
      </w:r>
    </w:p>
    <w:p>
      <w:pPr>
        <w:pStyle w:val="ListParagraph"/>
        <w:numPr>
          <w:ilvl w:val="0"/>
          <w:numId w:val="2"/>
        </w:numPr>
        <w:spacing w:after="80"/>
      </w:pPr>
      <w:r>
        <w:rPr>
          <w:rFonts w:ascii="Arial" w:cs="Arial" w:eastAsia="Arial" w:hAnsi="Arial"/>
          <w:sz w:val="22"/>
          <w:szCs w:val="22"/>
        </w:rPr>
        <w:t xml:space="preserve">Plastic deformation and dislocation movement.</w:t>
      </w:r>
    </w:p>
    <w:p>
      <w:pPr>
        <w:pStyle w:val="ListParagraph"/>
        <w:numPr>
          <w:ilvl w:val="0"/>
          <w:numId w:val="2"/>
        </w:numPr>
        <w:spacing w:after="80"/>
      </w:pPr>
      <w:r>
        <w:rPr>
          <w:rFonts w:ascii="Arial" w:cs="Arial" w:eastAsia="Arial" w:hAnsi="Arial"/>
          <w:sz w:val="22"/>
          <w:szCs w:val="22"/>
        </w:rPr>
        <w:t xml:space="preserve">Fibre breakage and delamination in composite materials.</w:t>
      </w:r>
    </w:p>
    <w:p>
      <w:pPr>
        <w:pStyle w:val="ListParagraph"/>
        <w:numPr>
          <w:ilvl w:val="0"/>
          <w:numId w:val="2"/>
        </w:numPr>
        <w:spacing w:after="80"/>
      </w:pPr>
      <w:r>
        <w:rPr>
          <w:rFonts w:ascii="Arial" w:cs="Arial" w:eastAsia="Arial" w:hAnsi="Arial"/>
          <w:sz w:val="22"/>
          <w:szCs w:val="22"/>
        </w:rPr>
        <w:t xml:space="preserve">Corrosion reactions and hydrogen embrittlement.</w:t>
      </w:r>
    </w:p>
    <w:p>
      <w:pPr>
        <w:pStyle w:val="ListParagraph"/>
        <w:numPr>
          <w:ilvl w:val="0"/>
          <w:numId w:val="2"/>
        </w:numPr>
        <w:spacing w:after="80"/>
      </w:pPr>
      <w:r>
        <w:rPr>
          <w:rFonts w:ascii="Arial" w:cs="Arial" w:eastAsia="Arial" w:hAnsi="Arial"/>
          <w:sz w:val="22"/>
          <w:szCs w:val="22"/>
        </w:rPr>
        <w:t xml:space="preserve">Friction and fretting at mechanical interfaces.</w:t>
      </w:r>
    </w:p>
    <w:p>
      <w:pPr>
        <w:pStyle w:val="ListParagraph"/>
        <w:numPr>
          <w:ilvl w:val="0"/>
          <w:numId w:val="2"/>
        </w:numPr>
        <w:spacing w:after="80"/>
      </w:pPr>
      <w:r>
        <w:rPr>
          <w:rFonts w:ascii="Arial" w:cs="Arial" w:eastAsia="Arial" w:hAnsi="Arial"/>
          <w:sz w:val="22"/>
          <w:szCs w:val="22"/>
        </w:rPr>
        <w:t xml:space="preserve">Fluid leaks, cavitation, and turbulent flow.</w:t>
      </w:r>
    </w:p>
    <w:p>
      <w:pPr>
        <w:spacing w:after="200"/>
      </w:pPr>
      <w:r>
        <w:t xml:space="preserve"/>
      </w:r>
    </w:p>
    <w:p>
      <w:pPr>
        <w:pStyle w:val="Heading3"/>
      </w:pPr>
      <w:r>
        <w:rPr>
          <w:rFonts w:ascii="Arial" w:cs="Arial" w:eastAsia="Arial" w:hAnsi="Arial"/>
          <w:b/>
          <w:bCs/>
          <w:color w:val="C05C00"/>
          <w:sz w:val="24"/>
          <w:szCs w:val="24"/>
        </w:rPr>
        <w:t xml:space="preserve">Wave Types</w:t>
      </w:r>
    </w:p>
    <w:p>
      <w:pPr>
        <w:spacing w:after="120"/>
      </w:pPr>
      <w:r>
        <w:rPr>
          <w:rFonts w:ascii="Arial" w:cs="Arial" w:eastAsia="Arial" w:hAnsi="Arial"/>
          <w:b/>
          <w:bCs/>
          <w:color w:val="000000"/>
          <w:sz w:val="22"/>
          <w:szCs w:val="22"/>
        </w:rPr>
        <w:t xml:space="preserve">Burst emission:</w:t>
      </w:r>
    </w:p>
    <w:p>
      <w:pPr>
        <w:pStyle w:val="ListParagraph"/>
        <w:numPr>
          <w:ilvl w:val="0"/>
          <w:numId w:val="2"/>
        </w:numPr>
        <w:spacing w:after="80"/>
      </w:pPr>
      <w:r>
        <w:rPr>
          <w:rFonts w:ascii="Arial" w:cs="Arial" w:eastAsia="Arial" w:hAnsi="Arial"/>
          <w:sz w:val="22"/>
          <w:szCs w:val="22"/>
        </w:rPr>
        <w:t xml:space="preserve">Discrete, impulse-like waveform.</w:t>
      </w:r>
    </w:p>
    <w:p>
      <w:pPr>
        <w:pStyle w:val="ListParagraph"/>
        <w:numPr>
          <w:ilvl w:val="0"/>
          <w:numId w:val="2"/>
        </w:numPr>
        <w:spacing w:after="80"/>
      </w:pPr>
      <w:r>
        <w:rPr>
          <w:rFonts w:ascii="Arial" w:cs="Arial" w:eastAsia="Arial" w:hAnsi="Arial"/>
          <w:sz w:val="22"/>
          <w:szCs w:val="22"/>
        </w:rPr>
        <w:t xml:space="preserve">Associated with crack growth, impacts, and fibre breakage.</w:t>
      </w:r>
    </w:p>
    <w:p>
      <w:pPr>
        <w:pStyle w:val="ListParagraph"/>
        <w:numPr>
          <w:ilvl w:val="0"/>
          <w:numId w:val="2"/>
        </w:numPr>
        <w:spacing w:after="80"/>
      </w:pPr>
      <w:r>
        <w:rPr>
          <w:rFonts w:ascii="Arial" w:cs="Arial" w:eastAsia="Arial" w:hAnsi="Arial"/>
          <w:sz w:val="22"/>
          <w:szCs w:val="22"/>
        </w:rPr>
        <w:t xml:space="preserve">High Crest Factor (CF &gt; 4), intermittent in time.</w:t>
      </w:r>
    </w:p>
    <w:p>
      <w:pPr>
        <w:spacing w:after="200"/>
      </w:pPr>
      <w:r>
        <w:t xml:space="preserve"/>
      </w:r>
    </w:p>
    <w:p>
      <w:pPr>
        <w:spacing w:after="120"/>
      </w:pPr>
      <w:r>
        <w:rPr>
          <w:rFonts w:ascii="Arial" w:cs="Arial" w:eastAsia="Arial" w:hAnsi="Arial"/>
          <w:b/>
          <w:bCs/>
          <w:color w:val="000000"/>
          <w:sz w:val="22"/>
          <w:szCs w:val="22"/>
        </w:rPr>
        <w:t xml:space="preserve">Continuous emission:</w:t>
      </w:r>
    </w:p>
    <w:p>
      <w:pPr>
        <w:pStyle w:val="ListParagraph"/>
        <w:numPr>
          <w:ilvl w:val="0"/>
          <w:numId w:val="2"/>
        </w:numPr>
        <w:spacing w:after="80"/>
      </w:pPr>
      <w:r>
        <w:rPr>
          <w:rFonts w:ascii="Arial" w:cs="Arial" w:eastAsia="Arial" w:hAnsi="Arial"/>
          <w:sz w:val="22"/>
          <w:szCs w:val="22"/>
        </w:rPr>
        <w:t xml:space="preserve">Overlapping, noise-like waveform.</w:t>
      </w:r>
    </w:p>
    <w:p>
      <w:pPr>
        <w:pStyle w:val="ListParagraph"/>
        <w:numPr>
          <w:ilvl w:val="0"/>
          <w:numId w:val="2"/>
        </w:numPr>
        <w:spacing w:after="80"/>
      </w:pPr>
      <w:r>
        <w:rPr>
          <w:rFonts w:ascii="Arial" w:cs="Arial" w:eastAsia="Arial" w:hAnsi="Arial"/>
          <w:sz w:val="22"/>
          <w:szCs w:val="22"/>
        </w:rPr>
        <w:t xml:space="preserve">Associated with friction, uniform wear, and flow.</w:t>
      </w:r>
    </w:p>
    <w:p>
      <w:pPr>
        <w:pStyle w:val="ListParagraph"/>
        <w:numPr>
          <w:ilvl w:val="0"/>
          <w:numId w:val="2"/>
        </w:numPr>
        <w:spacing w:after="80"/>
      </w:pPr>
      <w:r>
        <w:rPr>
          <w:rFonts w:ascii="Arial" w:cs="Arial" w:eastAsia="Arial" w:hAnsi="Arial"/>
          <w:sz w:val="22"/>
          <w:szCs w:val="22"/>
        </w:rPr>
        <w:t xml:space="preserve">Low Crest Factor (CF ≈ 1.4), persistent in time.</w:t>
      </w:r>
    </w:p>
    <w:p>
      <w:pPr>
        <w:spacing w:after="200"/>
      </w:pPr>
      <w:r>
        <w:t xml:space="preserve"/>
      </w:r>
    </w:p>
    <w:p>
      <w:pPr>
        <w:pStyle w:val="Heading3"/>
      </w:pPr>
      <w:r>
        <w:rPr>
          <w:rFonts w:ascii="Arial" w:cs="Arial" w:eastAsia="Arial" w:hAnsi="Arial"/>
          <w:b/>
          <w:bCs/>
          <w:color w:val="C05C00"/>
          <w:sz w:val="24"/>
          <w:szCs w:val="24"/>
        </w:rPr>
        <w:t xml:space="preserve">Kaiser Effect</w:t>
      </w:r>
    </w:p>
    <w:p>
      <w:pPr>
        <w:spacing w:after="120"/>
      </w:pPr>
      <w:r>
        <w:rPr>
          <w:rFonts w:ascii="Arial" w:cs="Arial" w:eastAsia="Arial" w:hAnsi="Arial"/>
          <w:b w:val="false"/>
          <w:bCs w:val="false"/>
          <w:color w:val="000000"/>
          <w:sz w:val="22"/>
          <w:szCs w:val="22"/>
        </w:rPr>
        <w:t xml:space="preserve">AE is generated only when the applied stress exceeds the previously experienced maximum stress level. The material retains an acoustic memory of past loading history. This principle is used to:</w:t>
      </w:r>
    </w:p>
    <w:p>
      <w:pPr>
        <w:pStyle w:val="ListParagraph"/>
        <w:numPr>
          <w:ilvl w:val="0"/>
          <w:numId w:val="2"/>
        </w:numPr>
        <w:spacing w:after="80"/>
      </w:pPr>
      <w:r>
        <w:rPr>
          <w:rFonts w:ascii="Arial" w:cs="Arial" w:eastAsia="Arial" w:hAnsi="Arial"/>
          <w:sz w:val="22"/>
          <w:szCs w:val="22"/>
        </w:rPr>
        <w:t xml:space="preserve">Determine residual stress state of a structure.</w:t>
      </w:r>
    </w:p>
    <w:p>
      <w:pPr>
        <w:pStyle w:val="ListParagraph"/>
        <w:numPr>
          <w:ilvl w:val="0"/>
          <w:numId w:val="2"/>
        </w:numPr>
        <w:spacing w:after="80"/>
      </w:pPr>
      <w:r>
        <w:rPr>
          <w:rFonts w:ascii="Arial" w:cs="Arial" w:eastAsia="Arial" w:hAnsi="Arial"/>
          <w:sz w:val="22"/>
          <w:szCs w:val="22"/>
        </w:rPr>
        <w:t xml:space="preserve">Identify previous overload events.</w:t>
      </w:r>
    </w:p>
    <w:p>
      <w:pPr>
        <w:pStyle w:val="ListParagraph"/>
        <w:numPr>
          <w:ilvl w:val="0"/>
          <w:numId w:val="2"/>
        </w:numPr>
        <w:spacing w:after="80"/>
      </w:pPr>
      <w:r>
        <w:rPr>
          <w:rFonts w:ascii="Arial" w:cs="Arial" w:eastAsia="Arial" w:hAnsi="Arial"/>
          <w:sz w:val="22"/>
          <w:szCs w:val="22"/>
        </w:rPr>
        <w:t xml:space="preserve">Validate structural integrity after proof testing.</w:t>
      </w:r>
    </w:p>
    <w:p>
      <w:pPr>
        <w:spacing w:after="200"/>
      </w:pPr>
      <w:r>
        <w:t xml:space="preserve"/>
      </w:r>
    </w:p>
    <w:p>
      <w:pPr>
        <w:pStyle w:val="Heading3"/>
      </w:pPr>
      <w:r>
        <w:rPr>
          <w:rFonts w:ascii="Arial" w:cs="Arial" w:eastAsia="Arial" w:hAnsi="Arial"/>
          <w:b/>
          <w:bCs/>
          <w:color w:val="C05C00"/>
          <w:sz w:val="24"/>
          <w:szCs w:val="24"/>
        </w:rPr>
        <w:t xml:space="preserve">Felicity Effect</w:t>
      </w:r>
    </w:p>
    <w:p>
      <w:pPr>
        <w:spacing w:after="120"/>
      </w:pPr>
      <w:r>
        <w:rPr>
          <w:rFonts w:ascii="Arial" w:cs="Arial" w:eastAsia="Arial" w:hAnsi="Arial"/>
          <w:b w:val="false"/>
          <w:bCs w:val="false"/>
          <w:color w:val="000000"/>
          <w:sz w:val="22"/>
          <w:szCs w:val="22"/>
        </w:rPr>
        <w:t xml:space="preserve">In damaged or fatigued materials, significant AE is detected before the previous maximum stress is reached. The degree of premature emission is quantified by the Felicity Ratio:</w:t>
      </w:r>
    </w:p>
    <w:p>
      <w:pPr>
        <w:spacing w:after="80" w:before="80"/>
        <w:ind w:left="720"/>
      </w:pPr>
      <w:r>
        <w:rPr>
          <w:rFonts w:ascii="Courier New" w:cs="Courier New" w:eastAsia="Courier New" w:hAnsi="Courier New"/>
          <w:color w:val="1A6B35"/>
          <w:sz w:val="20"/>
          <w:szCs w:val="20"/>
        </w:rPr>
        <w:t xml:space="preserve">FR = (Stress at AE onset) / (Previous maximum stress)</w:t>
      </w:r>
    </w:p>
    <w:p>
      <w:pPr>
        <w:spacing w:after="120"/>
      </w:pPr>
      <w:r>
        <w:rPr>
          <w:rFonts w:ascii="Arial" w:cs="Arial" w:eastAsia="Arial" w:hAnsi="Arial"/>
          <w:b w:val="false"/>
          <w:bCs w:val="false"/>
          <w:color w:val="000000"/>
          <w:sz w:val="22"/>
          <w:szCs w:val="22"/>
        </w:rPr>
        <w:t xml:space="preserve">A Felicity Ratio FR &lt; 1 indicates irreversible damage accumulation. The smaller FR, the more severe the existing damage.</w:t>
      </w:r>
    </w:p>
    <w:p>
      <w:pPr>
        <w:spacing w:after="200"/>
      </w:pPr>
      <w:r>
        <w:t xml:space="preserve"/>
      </w:r>
    </w:p>
    <w:p>
      <w:pPr>
        <w:pStyle w:val="Heading2"/>
      </w:pPr>
      <w:r>
        <w:rPr>
          <w:rFonts w:ascii="Arial" w:cs="Arial" w:eastAsia="Arial" w:hAnsi="Arial"/>
          <w:b/>
          <w:bCs/>
          <w:color w:val="2C6FAD"/>
          <w:sz w:val="26"/>
          <w:szCs w:val="26"/>
        </w:rPr>
        <w:t xml:space="preserve">2.2  Signal Processing Mathematics</w:t>
      </w:r>
    </w:p>
    <w:p>
      <w:pPr>
        <w:pStyle w:val="Heading3"/>
      </w:pPr>
      <w:r>
        <w:rPr>
          <w:rFonts w:ascii="Arial" w:cs="Arial" w:eastAsia="Arial" w:hAnsi="Arial"/>
          <w:b/>
          <w:bCs/>
          <w:color w:val="C05C00"/>
          <w:sz w:val="24"/>
          <w:szCs w:val="24"/>
        </w:rPr>
        <w:t xml:space="preserve">A.  ADC Conversion</w:t>
      </w:r>
    </w:p>
    <w:p>
      <w:pPr>
        <w:spacing w:after="120"/>
      </w:pPr>
      <w:r>
        <w:rPr>
          <w:rFonts w:ascii="Arial" w:cs="Arial" w:eastAsia="Arial" w:hAnsi="Arial"/>
          <w:b w:val="false"/>
          <w:bCs w:val="false"/>
          <w:color w:val="000000"/>
          <w:sz w:val="22"/>
          <w:szCs w:val="22"/>
        </w:rPr>
        <w:t xml:space="preserve">Raw 16-bit ADC counts from the data acquisition system are converted to physical voltage:</w:t>
      </w:r>
    </w:p>
    <w:p>
      <w:pPr>
        <w:spacing w:after="80" w:before="80"/>
        <w:ind w:left="720"/>
      </w:pPr>
      <w:r>
        <w:rPr>
          <w:rFonts w:ascii="Courier New" w:cs="Courier New" w:eastAsia="Courier New" w:hAnsi="Courier New"/>
          <w:color w:val="1A6B35"/>
          <w:sz w:val="20"/>
          <w:szCs w:val="20"/>
        </w:rPr>
        <w:t xml:space="preserve">V(t) = (raw_count / 4096) x 3.3   [Volts]</w:t>
      </w:r>
    </w:p>
    <w:p>
      <w:pPr>
        <w:spacing w:after="120"/>
      </w:pPr>
      <w:r>
        <w:rPr>
          <w:rFonts w:ascii="Arial" w:cs="Arial" w:eastAsia="Arial" w:hAnsi="Arial"/>
          <w:b w:val="false"/>
          <w:bCs w:val="false"/>
          <w:color w:val="000000"/>
          <w:sz w:val="22"/>
          <w:szCs w:val="22"/>
        </w:rPr>
        <w:t xml:space="preserve">DC offset removal is applied by subtracting the signal mean:</w:t>
      </w:r>
    </w:p>
    <w:p>
      <w:pPr>
        <w:spacing w:after="80" w:before="80"/>
        <w:ind w:left="720"/>
      </w:pPr>
      <w:r>
        <w:rPr>
          <w:rFonts w:ascii="Courier New" w:cs="Courier New" w:eastAsia="Courier New" w:hAnsi="Courier New"/>
          <w:color w:val="1A6B35"/>
          <w:sz w:val="20"/>
          <w:szCs w:val="20"/>
        </w:rPr>
        <w:t xml:space="preserve">x(t) = V(t) - mean(V)</w:t>
      </w:r>
    </w:p>
    <w:p>
      <w:pPr>
        <w:spacing w:after="120"/>
      </w:pPr>
      <w:r>
        <w:rPr>
          <w:rFonts w:ascii="Arial" w:cs="Arial" w:eastAsia="Arial" w:hAnsi="Arial"/>
          <w:b w:val="false"/>
          <w:bCs w:val="false"/>
          <w:color w:val="000000"/>
          <w:sz w:val="22"/>
          <w:szCs w:val="22"/>
        </w:rPr>
        <w:t xml:space="preserve">This removes static biases and centres the waveform at zero, which is required for accurate amplitude and threshold analysis.</w:t>
      </w:r>
    </w:p>
    <w:p>
      <w:pPr>
        <w:spacing w:after="200"/>
      </w:pPr>
      <w:r>
        <w:t xml:space="preserve"/>
      </w:r>
    </w:p>
    <w:p>
      <w:pPr>
        <w:pStyle w:val="Heading3"/>
      </w:pPr>
      <w:r>
        <w:rPr>
          <w:rFonts w:ascii="Arial" w:cs="Arial" w:eastAsia="Arial" w:hAnsi="Arial"/>
          <w:b/>
          <w:bCs/>
          <w:color w:val="C05C00"/>
          <w:sz w:val="24"/>
          <w:szCs w:val="24"/>
        </w:rPr>
        <w:t xml:space="preserve">B.  Spectrogram (Short-Time Fourier Transform)</w:t>
      </w:r>
    </w:p>
    <w:p>
      <w:pPr>
        <w:spacing w:after="120"/>
      </w:pPr>
      <w:r>
        <w:rPr>
          <w:rFonts w:ascii="Arial" w:cs="Arial" w:eastAsia="Arial" w:hAnsi="Arial"/>
          <w:b w:val="false"/>
          <w:bCs w:val="false"/>
          <w:color w:val="000000"/>
          <w:sz w:val="22"/>
          <w:szCs w:val="22"/>
        </w:rPr>
        <w:t xml:space="preserve">The spectrogram decomposes the time-domain signal into its frequency content at each moment in time using the Short-Time Fourier Transform (STFT):</w:t>
      </w:r>
    </w:p>
    <w:p>
      <w:pPr>
        <w:spacing w:after="80" w:before="80"/>
        <w:ind w:left="720"/>
      </w:pPr>
      <w:r>
        <w:rPr>
          <w:rFonts w:ascii="Courier New" w:cs="Courier New" w:eastAsia="Courier New" w:hAnsi="Courier New"/>
          <w:color w:val="1A6B35"/>
          <w:sz w:val="20"/>
          <w:szCs w:val="20"/>
        </w:rPr>
        <w:t xml:space="preserve">STFT{x}(t,f) = integral of  x(tau) * w(tau-t) * exp(-j*2*pi*f*tau) dtau</w:t>
      </w:r>
    </w:p>
    <w:p>
      <w:pPr>
        <w:spacing w:after="120"/>
      </w:pPr>
      <w:r>
        <w:rPr>
          <w:rFonts w:ascii="Arial" w:cs="Arial" w:eastAsia="Arial" w:hAnsi="Arial"/>
          <w:b w:val="false"/>
          <w:bCs w:val="false"/>
          <w:color w:val="000000"/>
          <w:sz w:val="22"/>
          <w:szCs w:val="22"/>
        </w:rPr>
        <w:t xml:space="preserve">where w(t) is a Hann window function that suppresses spectral leakage while localising the transform in time.</w:t>
      </w:r>
    </w:p>
    <w:p>
      <w:pPr>
        <w:spacing w:after="200"/>
      </w:pPr>
      <w:r>
        <w:t xml:space="preserve"/>
      </w:r>
    </w:p>
    <w:p>
      <w:pPr>
        <w:spacing w:after="120"/>
      </w:pPr>
      <w:r>
        <w:rPr>
          <w:rFonts w:ascii="Arial" w:cs="Arial" w:eastAsia="Arial" w:hAnsi="Arial"/>
          <w:b w:val="false"/>
          <w:bCs w:val="false"/>
          <w:color w:val="000000"/>
          <w:sz w:val="22"/>
          <w:szCs w:val="22"/>
        </w:rPr>
        <w:t xml:space="preserve">Power Spectral Density (PSD) per time segment:</w:t>
      </w:r>
    </w:p>
    <w:p>
      <w:pPr>
        <w:spacing w:after="80" w:before="80"/>
        <w:ind w:left="720"/>
      </w:pPr>
      <w:r>
        <w:rPr>
          <w:rFonts w:ascii="Courier New" w:cs="Courier New" w:eastAsia="Courier New" w:hAnsi="Courier New"/>
          <w:color w:val="1A6B35"/>
          <w:sz w:val="20"/>
          <w:szCs w:val="20"/>
        </w:rPr>
        <w:t xml:space="preserve">P(t,f) = |STFT{x}(t,f)|^2</w:t>
      </w:r>
    </w:p>
    <w:p>
      <w:pPr>
        <w:spacing w:after="120"/>
      </w:pPr>
      <w:r>
        <w:rPr>
          <w:rFonts w:ascii="Arial" w:cs="Arial" w:eastAsia="Arial" w:hAnsi="Arial"/>
          <w:b w:val="false"/>
          <w:bCs w:val="false"/>
          <w:color w:val="000000"/>
          <w:sz w:val="22"/>
          <w:szCs w:val="22"/>
        </w:rPr>
        <w:t xml:space="preserve">Expressed in dBFS (decibels relative to full scale):</w:t>
      </w:r>
    </w:p>
    <w:p>
      <w:pPr>
        <w:spacing w:after="80" w:before="80"/>
        <w:ind w:left="720"/>
      </w:pPr>
      <w:r>
        <w:rPr>
          <w:rFonts w:ascii="Courier New" w:cs="Courier New" w:eastAsia="Courier New" w:hAnsi="Courier New"/>
          <w:color w:val="1A6B35"/>
          <w:sz w:val="20"/>
          <w:szCs w:val="20"/>
        </w:rPr>
        <w:t xml:space="preserve">dBFS(t,f) = 10 x log10(P(t,f) + epsilon)</w:t>
      </w:r>
    </w:p>
    <w:p>
      <w:pPr>
        <w:spacing w:after="120"/>
      </w:pPr>
      <w:r>
        <w:rPr>
          <w:rFonts w:ascii="Arial" w:cs="Arial" w:eastAsia="Arial" w:hAnsi="Arial"/>
          <w:b w:val="false"/>
          <w:bCs w:val="false"/>
          <w:color w:val="000000"/>
          <w:sz w:val="22"/>
          <w:szCs w:val="22"/>
        </w:rPr>
        <w:t xml:space="preserve">where epsilon = 1×10⁻¹² prevents log(0) undefined values. Implementation parameters: NFFT=256 points, noverlap=192 (75% overlap), Hann window.</w:t>
      </w:r>
    </w:p>
    <w:p>
      <w:pPr>
        <w:spacing w:after="200"/>
      </w:pPr>
      <w:r>
        <w:t xml:space="preserve"/>
      </w:r>
    </w:p>
    <w:p>
      <w:pPr>
        <w:pStyle w:val="Heading3"/>
      </w:pPr>
      <w:r>
        <w:rPr>
          <w:rFonts w:ascii="Arial" w:cs="Arial" w:eastAsia="Arial" w:hAnsi="Arial"/>
          <w:b/>
          <w:bCs/>
          <w:color w:val="C05C00"/>
          <w:sz w:val="24"/>
          <w:szCs w:val="24"/>
        </w:rPr>
        <w:t xml:space="preserve">C.  RMS — Root Mean Square</w:t>
      </w:r>
    </w:p>
    <w:p>
      <w:pPr>
        <w:spacing w:after="120"/>
      </w:pPr>
      <w:r>
        <w:rPr>
          <w:rFonts w:ascii="Arial" w:cs="Arial" w:eastAsia="Arial" w:hAnsi="Arial"/>
          <w:b w:val="false"/>
          <w:bCs w:val="false"/>
          <w:color w:val="000000"/>
          <w:sz w:val="22"/>
          <w:szCs w:val="22"/>
        </w:rPr>
        <w:t xml:space="preserve">For each analysis window containing N samples, the RMS is:</w:t>
      </w:r>
    </w:p>
    <w:p>
      <w:pPr>
        <w:spacing w:after="80" w:before="80"/>
        <w:ind w:left="720"/>
      </w:pPr>
      <w:r>
        <w:rPr>
          <w:rFonts w:ascii="Courier New" w:cs="Courier New" w:eastAsia="Courier New" w:hAnsi="Courier New"/>
          <w:color w:val="1A6B35"/>
          <w:sz w:val="20"/>
          <w:szCs w:val="20"/>
        </w:rPr>
        <w:t xml:space="preserve">RMS = sqrt( (1/N) x sum(xi^2) )    [Volts]</w:t>
      </w:r>
    </w:p>
    <w:p>
      <w:pPr>
        <w:spacing w:after="120"/>
      </w:pPr>
      <w:r>
        <w:rPr>
          <w:rFonts w:ascii="Arial" w:cs="Arial" w:eastAsia="Arial" w:hAnsi="Arial"/>
          <w:b w:val="false"/>
          <w:bCs w:val="false"/>
          <w:color w:val="000000"/>
          <w:sz w:val="22"/>
          <w:szCs w:val="22"/>
        </w:rPr>
        <w:t xml:space="preserve">The RMS is proportional to the square root of signal power. A rising RMS trend over time indicates increasing acoustic energy release from the monitored structure.</w:t>
      </w:r>
    </w:p>
    <w:p>
      <w:pPr>
        <w:spacing w:after="200"/>
      </w:pPr>
      <w:r>
        <w:t xml:space="preserve"/>
      </w:r>
    </w:p>
    <w:p>
      <w:pPr>
        <w:pStyle w:val="Heading3"/>
      </w:pPr>
      <w:r>
        <w:rPr>
          <w:rFonts w:ascii="Arial" w:cs="Arial" w:eastAsia="Arial" w:hAnsi="Arial"/>
          <w:b/>
          <w:bCs/>
          <w:color w:val="C05C00"/>
          <w:sz w:val="24"/>
          <w:szCs w:val="24"/>
        </w:rPr>
        <w:t xml:space="preserve">D.  Peak Amplitude</w:t>
      </w:r>
    </w:p>
    <w:p>
      <w:pPr>
        <w:spacing w:after="120"/>
      </w:pPr>
      <w:r>
        <w:rPr>
          <w:rFonts w:ascii="Arial" w:cs="Arial" w:eastAsia="Arial" w:hAnsi="Arial"/>
          <w:b w:val="false"/>
          <w:bCs w:val="false"/>
          <w:color w:val="000000"/>
          <w:sz w:val="22"/>
          <w:szCs w:val="22"/>
        </w:rPr>
        <w:t xml:space="preserve">For each analysis window of N samples:</w:t>
      </w:r>
    </w:p>
    <w:p>
      <w:pPr>
        <w:spacing w:after="80" w:before="80"/>
        <w:ind w:left="720"/>
      </w:pPr>
      <w:r>
        <w:rPr>
          <w:rFonts w:ascii="Courier New" w:cs="Courier New" w:eastAsia="Courier New" w:hAnsi="Courier New"/>
          <w:color w:val="1A6B35"/>
          <w:sz w:val="20"/>
          <w:szCs w:val="20"/>
        </w:rPr>
        <w:t xml:space="preserve">Peak = max(|xi|)    for i = 1 to N    [Volts]</w:t>
      </w:r>
    </w:p>
    <w:p>
      <w:pPr>
        <w:spacing w:after="120"/>
      </w:pPr>
      <w:r>
        <w:rPr>
          <w:rFonts w:ascii="Arial" w:cs="Arial" w:eastAsia="Arial" w:hAnsi="Arial"/>
          <w:b w:val="false"/>
          <w:bCs w:val="false"/>
          <w:color w:val="000000"/>
          <w:sz w:val="22"/>
          <w:szCs w:val="22"/>
        </w:rPr>
        <w:t xml:space="preserve">Represents the maximum instantaneous signal amplitude in the window. Used for AE hit detection and amplitude distribution analysis.</w:t>
      </w:r>
    </w:p>
    <w:p>
      <w:pPr>
        <w:spacing w:after="200"/>
      </w:pPr>
      <w:r>
        <w:t xml:space="preserve"/>
      </w:r>
    </w:p>
    <w:p>
      <w:pPr>
        <w:pStyle w:val="Heading3"/>
      </w:pPr>
      <w:r>
        <w:rPr>
          <w:rFonts w:ascii="Arial" w:cs="Arial" w:eastAsia="Arial" w:hAnsi="Arial"/>
          <w:b/>
          <w:bCs/>
          <w:color w:val="C05C00"/>
          <w:sz w:val="24"/>
          <w:szCs w:val="24"/>
        </w:rPr>
        <w:t xml:space="preserve">E.  Crest Factor</w:t>
      </w:r>
    </w:p>
    <w:p>
      <w:pPr>
        <w:spacing w:after="120"/>
      </w:pPr>
      <w:r>
        <w:rPr>
          <w:rFonts w:ascii="Arial" w:cs="Arial" w:eastAsia="Arial" w:hAnsi="Arial"/>
          <w:b w:val="false"/>
          <w:bCs w:val="false"/>
          <w:color w:val="000000"/>
          <w:sz w:val="22"/>
          <w:szCs w:val="22"/>
        </w:rPr>
        <w:t xml:space="preserve">The Crest Factor is the ratio of peak to RMS amplitude:</w:t>
      </w:r>
    </w:p>
    <w:p>
      <w:pPr>
        <w:spacing w:after="80" w:before="80"/>
        <w:ind w:left="720"/>
      </w:pPr>
      <w:r>
        <w:rPr>
          <w:rFonts w:ascii="Courier New" w:cs="Courier New" w:eastAsia="Courier New" w:hAnsi="Courier New"/>
          <w:color w:val="1A6B35"/>
          <w:sz w:val="20"/>
          <w:szCs w:val="20"/>
        </w:rPr>
        <w:t xml:space="preserve">CF = Peak / RMS</w:t>
      </w:r>
    </w:p>
    <w:p>
      <w:pPr>
        <w:spacing w:after="120"/>
      </w:pPr>
      <w:r>
        <w:rPr>
          <w:rFonts w:ascii="Arial" w:cs="Arial" w:eastAsia="Arial" w:hAnsi="Arial"/>
          <w:b w:val="false"/>
          <w:bCs w:val="false"/>
          <w:color w:val="000000"/>
          <w:sz w:val="22"/>
          <w:szCs w:val="22"/>
        </w:rPr>
        <w:t xml:space="preserve">High CF (&gt; 4) indicates burst emission where impulsive events dominate. Low CF (≈ 1.4) indicates continuous emission with Gaussian noise-like statistics.</w:t>
      </w:r>
    </w:p>
    <w:p>
      <w:pPr>
        <w:spacing w:after="200"/>
      </w:pPr>
      <w:r>
        <w:t xml:space="preserve"/>
      </w:r>
    </w:p>
    <w:p>
      <w:pPr>
        <w:pStyle w:val="Heading3"/>
      </w:pPr>
      <w:r>
        <w:rPr>
          <w:rFonts w:ascii="Arial" w:cs="Arial" w:eastAsia="Arial" w:hAnsi="Arial"/>
          <w:b/>
          <w:bCs/>
          <w:color w:val="C05C00"/>
          <w:sz w:val="24"/>
          <w:szCs w:val="24"/>
        </w:rPr>
        <w:t xml:space="preserve">F.  AE Amplitude Scale — dBAE Standard</w:t>
      </w:r>
    </w:p>
    <w:p>
      <w:pPr>
        <w:spacing w:after="120"/>
      </w:pPr>
      <w:r>
        <w:rPr>
          <w:rFonts w:ascii="Arial" w:cs="Arial" w:eastAsia="Arial" w:hAnsi="Arial"/>
          <w:b w:val="false"/>
          <w:bCs w:val="false"/>
          <w:color w:val="000000"/>
          <w:sz w:val="22"/>
          <w:szCs w:val="22"/>
        </w:rPr>
        <w:t xml:space="preserve">The acoustic emission community expresses signal amplitude in dBAE, referenced to 1 microvolt (1 µV):</w:t>
      </w:r>
    </w:p>
    <w:p>
      <w:pPr>
        <w:spacing w:after="80" w:before="80"/>
        <w:ind w:left="720"/>
      </w:pPr>
      <w:r>
        <w:rPr>
          <w:rFonts w:ascii="Courier New" w:cs="Courier New" w:eastAsia="Courier New" w:hAnsi="Courier New"/>
          <w:color w:val="1A6B35"/>
          <w:sz w:val="20"/>
          <w:szCs w:val="20"/>
        </w:rPr>
        <w:t xml:space="preserve">A_dBAE = 20 x log10( V_peak / 1e-6 )    [dBAE]</w:t>
      </w:r>
    </w:p>
    <w:p>
      <w:pPr>
        <w:spacing w:after="120"/>
      </w:pPr>
      <w:r>
        <w:rPr>
          <w:rFonts w:ascii="Arial" w:cs="Arial" w:eastAsia="Arial" w:hAnsi="Arial"/>
          <w:b w:val="false"/>
          <w:bCs w:val="false"/>
          <w:color w:val="000000"/>
          <w:sz w:val="22"/>
          <w:szCs w:val="22"/>
        </w:rPr>
        <w:t xml:space="preserve">Example values:</w:t>
      </w:r>
    </w:p>
    <w:p>
      <w:pPr>
        <w:spacing w:after="80" w:before="80"/>
        <w:ind w:left="720"/>
      </w:pPr>
      <w:r>
        <w:rPr>
          <w:rFonts w:ascii="Courier New" w:cs="Courier New" w:eastAsia="Courier New" w:hAnsi="Courier New"/>
          <w:color w:val="1A6B35"/>
          <w:sz w:val="20"/>
          <w:szCs w:val="20"/>
        </w:rPr>
        <w:t xml:space="preserve">V_peak = 1 uV   -&gt;   0 dBAE</w:t>
      </w:r>
    </w:p>
    <w:p>
      <w:pPr>
        <w:spacing w:after="80" w:before="80"/>
        <w:ind w:left="720"/>
      </w:pPr>
      <w:r>
        <w:rPr>
          <w:rFonts w:ascii="Courier New" w:cs="Courier New" w:eastAsia="Courier New" w:hAnsi="Courier New"/>
          <w:color w:val="1A6B35"/>
          <w:sz w:val="20"/>
          <w:szCs w:val="20"/>
        </w:rPr>
        <w:t xml:space="preserve">V_peak = 10 uV  -&gt;  20 dBAE</w:t>
      </w:r>
    </w:p>
    <w:p>
      <w:pPr>
        <w:spacing w:after="80" w:before="80"/>
        <w:ind w:left="720"/>
      </w:pPr>
      <w:r>
        <w:rPr>
          <w:rFonts w:ascii="Courier New" w:cs="Courier New" w:eastAsia="Courier New" w:hAnsi="Courier New"/>
          <w:color w:val="1A6B35"/>
          <w:sz w:val="20"/>
          <w:szCs w:val="20"/>
        </w:rPr>
        <w:t xml:space="preserve">V_peak = 100 uV -&gt;  40 dBAE</w:t>
      </w:r>
    </w:p>
    <w:p>
      <w:pPr>
        <w:spacing w:after="80" w:before="80"/>
        <w:ind w:left="720"/>
      </w:pPr>
      <w:r>
        <w:rPr>
          <w:rFonts w:ascii="Courier New" w:cs="Courier New" w:eastAsia="Courier New" w:hAnsi="Courier New"/>
          <w:color w:val="1A6B35"/>
          <w:sz w:val="20"/>
          <w:szCs w:val="20"/>
        </w:rPr>
        <w:t xml:space="preserve">V_peak = 1 mV   -&gt;  60 dBAE</w:t>
      </w:r>
    </w:p>
    <w:p>
      <w:pPr>
        <w:spacing w:after="120"/>
      </w:pPr>
      <w:r>
        <w:rPr>
          <w:rFonts w:ascii="Arial" w:cs="Arial" w:eastAsia="Arial" w:hAnsi="Arial"/>
          <w:b w:val="false"/>
          <w:bCs w:val="false"/>
          <w:color w:val="000000"/>
          <w:sz w:val="22"/>
          <w:szCs w:val="22"/>
        </w:rPr>
        <w:t xml:space="preserve">Reverse calculation — threshold voltage from a given dBAE value:</w:t>
      </w:r>
    </w:p>
    <w:p>
      <w:pPr>
        <w:spacing w:after="80" w:before="80"/>
        <w:ind w:left="720"/>
      </w:pPr>
      <w:r>
        <w:rPr>
          <w:rFonts w:ascii="Courier New" w:cs="Courier New" w:eastAsia="Courier New" w:hAnsi="Courier New"/>
          <w:color w:val="1A6B35"/>
          <w:sz w:val="20"/>
          <w:szCs w:val="20"/>
        </w:rPr>
        <w:t xml:space="preserve">V_thresh = 1e-6 x 10^(A_dBAE / 20)    [Volts]</w:t>
      </w:r>
    </w:p>
    <w:p>
      <w:pPr>
        <w:spacing w:after="120"/>
      </w:pPr>
      <w:r>
        <w:rPr>
          <w:rFonts w:ascii="Arial" w:cs="Arial" w:eastAsia="Arial" w:hAnsi="Arial"/>
          <w:b w:val="false"/>
          <w:bCs w:val="false"/>
          <w:color w:val="000000"/>
          <w:sz w:val="22"/>
          <w:szCs w:val="22"/>
        </w:rPr>
        <w:t xml:space="preserve">Relevant standards: ASTM E1106, EN 13554, ISO 12716.</w:t>
      </w:r>
    </w:p>
    <w:p>
      <w:pPr>
        <w:spacing w:after="200"/>
      </w:pPr>
      <w:r>
        <w:t xml:space="preserve"/>
      </w:r>
    </w:p>
    <w:p>
      <w:pPr>
        <w:pStyle w:val="Heading3"/>
      </w:pPr>
      <w:r>
        <w:rPr>
          <w:rFonts w:ascii="Arial" w:cs="Arial" w:eastAsia="Arial" w:hAnsi="Arial"/>
          <w:b/>
          <w:bCs/>
          <w:color w:val="C05C00"/>
          <w:sz w:val="24"/>
          <w:szCs w:val="24"/>
        </w:rPr>
        <w:t xml:space="preserve">G.  AE Counts — Ring-Down Count Method</w:t>
      </w:r>
    </w:p>
    <w:p>
      <w:pPr>
        <w:spacing w:after="120"/>
      </w:pPr>
      <w:r>
        <w:rPr>
          <w:rFonts w:ascii="Arial" w:cs="Arial" w:eastAsia="Arial" w:hAnsi="Arial"/>
          <w:b w:val="false"/>
          <w:bCs w:val="false"/>
          <w:color w:val="000000"/>
          <w:sz w:val="22"/>
          <w:szCs w:val="22"/>
        </w:rPr>
        <w:t xml:space="preserve">Within each analysis window, the AE count is the number of times the signal amplitude crosses the threshold in either direction:</w:t>
      </w:r>
    </w:p>
    <w:p>
      <w:pPr>
        <w:spacing w:after="80" w:before="80"/>
        <w:ind w:left="720"/>
      </w:pPr>
      <w:r>
        <w:rPr>
          <w:rFonts w:ascii="Courier New" w:cs="Courier New" w:eastAsia="Courier New" w:hAnsi="Courier New"/>
          <w:color w:val="1A6B35"/>
          <w:sz w:val="20"/>
          <w:szCs w:val="20"/>
        </w:rPr>
        <w:t xml:space="preserve">Counts_window = number of samples i where |x(i)| &gt; V_thresh</w:t>
      </w:r>
    </w:p>
    <w:p>
      <w:pPr>
        <w:spacing w:after="120"/>
      </w:pPr>
      <w:r>
        <w:rPr>
          <w:rFonts w:ascii="Arial" w:cs="Arial" w:eastAsia="Arial" w:hAnsi="Arial"/>
          <w:b w:val="false"/>
          <w:bCs w:val="false"/>
          <w:color w:val="000000"/>
          <w:sz w:val="22"/>
          <w:szCs w:val="22"/>
        </w:rPr>
        <w:t xml:space="preserve">A single high-energy burst event produces many counts, as the waveform oscillates above and below the threshold multiple times before decaying. This is the ring-down count method standardised in ASTM E1781.</w:t>
      </w:r>
    </w:p>
    <w:p>
      <w:pPr>
        <w:spacing w:after="200"/>
      </w:pPr>
      <w:r>
        <w:t xml:space="preserve"/>
      </w:r>
    </w:p>
    <w:p>
      <w:pPr>
        <w:pStyle w:val="Heading3"/>
      </w:pPr>
      <w:r>
        <w:rPr>
          <w:rFonts w:ascii="Arial" w:cs="Arial" w:eastAsia="Arial" w:hAnsi="Arial"/>
          <w:b/>
          <w:bCs/>
          <w:color w:val="C05C00"/>
          <w:sz w:val="24"/>
          <w:szCs w:val="24"/>
        </w:rPr>
        <w:t xml:space="preserve">H.  Cumulative Count</w:t>
      </w:r>
    </w:p>
    <w:p>
      <w:pPr>
        <w:spacing w:after="120"/>
      </w:pPr>
      <w:r>
        <w:rPr>
          <w:rFonts w:ascii="Arial" w:cs="Arial" w:eastAsia="Arial" w:hAnsi="Arial"/>
          <w:b w:val="false"/>
          <w:bCs w:val="false"/>
          <w:color w:val="000000"/>
          <w:sz w:val="22"/>
          <w:szCs w:val="22"/>
        </w:rPr>
        <w:t xml:space="preserve">The cumulative count N_cum up to time window k is:</w:t>
      </w:r>
    </w:p>
    <w:p>
      <w:pPr>
        <w:spacing w:after="80" w:before="80"/>
        <w:ind w:left="720"/>
      </w:pPr>
      <w:r>
        <w:rPr>
          <w:rFonts w:ascii="Courier New" w:cs="Courier New" w:eastAsia="Courier New" w:hAnsi="Courier New"/>
          <w:color w:val="1A6B35"/>
          <w:sz w:val="20"/>
          <w:szCs w:val="20"/>
        </w:rPr>
        <w:t xml:space="preserve">N_cum(k) = sum over j=1 to k of Counts_window(j)</w:t>
      </w:r>
    </w:p>
    <w:p>
      <w:pPr>
        <w:spacing w:after="120"/>
      </w:pPr>
      <w:r>
        <w:rPr>
          <w:rFonts w:ascii="Arial" w:cs="Arial" w:eastAsia="Arial" w:hAnsi="Arial"/>
          <w:b w:val="false"/>
          <w:bCs w:val="false"/>
          <w:color w:val="000000"/>
          <w:sz w:val="22"/>
          <w:szCs w:val="22"/>
        </w:rPr>
        <w:t xml:space="preserve">This function is always monotonically non-decreasing. Its slope (dN_cum/dt) equals the AE count rate — the most sensitive real-time indicator of ongoing AE source activity.</w:t>
      </w:r>
    </w:p>
    <w:p>
      <w:pPr>
        <w:spacing w:after="200"/>
      </w:pPr>
      <w:r>
        <w:t xml:space="preserve"/>
      </w:r>
    </w:p>
    <w:p>
      <w:pPr>
        <w:pStyle w:val="Heading3"/>
      </w:pPr>
      <w:r>
        <w:rPr>
          <w:rFonts w:ascii="Arial" w:cs="Arial" w:eastAsia="Arial" w:hAnsi="Arial"/>
          <w:b/>
          <w:bCs/>
          <w:color w:val="C05C00"/>
          <w:sz w:val="24"/>
          <w:szCs w:val="24"/>
        </w:rPr>
        <w:t xml:space="preserve">I.  Amplitude Distribution — N(A)</w:t>
      </w:r>
    </w:p>
    <w:p>
      <w:pPr>
        <w:spacing w:after="120"/>
      </w:pPr>
      <w:r>
        <w:rPr>
          <w:rFonts w:ascii="Arial" w:cs="Arial" w:eastAsia="Arial" w:hAnsi="Arial"/>
          <w:b w:val="false"/>
          <w:bCs w:val="false"/>
          <w:color w:val="000000"/>
          <w:sz w:val="22"/>
          <w:szCs w:val="22"/>
        </w:rPr>
        <w:t xml:space="preserve">The empirical amplitude distribution N(A) gives the total AE count accumulated at or above a given amplitude threshold A:</w:t>
      </w:r>
    </w:p>
    <w:p>
      <w:pPr>
        <w:spacing w:after="80" w:before="80"/>
        <w:ind w:left="720"/>
      </w:pPr>
      <w:r>
        <w:rPr>
          <w:rFonts w:ascii="Courier New" w:cs="Courier New" w:eastAsia="Courier New" w:hAnsi="Courier New"/>
          <w:color w:val="1A6B35"/>
          <w:sz w:val="20"/>
          <w:szCs w:val="20"/>
        </w:rPr>
        <w:t xml:space="preserve">N(A) = sum over windows where Peak_dBAE &gt;= A of Counts(window)</w:t>
      </w:r>
    </w:p>
    <w:p>
      <w:pPr>
        <w:spacing w:after="120"/>
      </w:pPr>
      <w:r>
        <w:rPr>
          <w:rFonts w:ascii="Arial" w:cs="Arial" w:eastAsia="Arial" w:hAnsi="Arial"/>
          <w:b w:val="false"/>
          <w:bCs w:val="false"/>
          <w:color w:val="000000"/>
          <w:sz w:val="22"/>
          <w:szCs w:val="22"/>
        </w:rPr>
        <w:t xml:space="preserve">For most AE sources, this follows a log-linear (power-law) relationship, which is the acoustic emission analogue of the seismic Gutenberg-Richter law:</w:t>
      </w:r>
    </w:p>
    <w:p>
      <w:pPr>
        <w:spacing w:after="80" w:before="80"/>
        <w:ind w:left="720"/>
      </w:pPr>
      <w:r>
        <w:rPr>
          <w:rFonts w:ascii="Courier New" w:cs="Courier New" w:eastAsia="Courier New" w:hAnsi="Courier New"/>
          <w:color w:val="1A6B35"/>
          <w:sz w:val="20"/>
          <w:szCs w:val="20"/>
        </w:rPr>
        <w:t xml:space="preserve">log10[N(A)] = C - b x A</w:t>
      </w:r>
    </w:p>
    <w:p>
      <w:pPr>
        <w:spacing w:after="120"/>
      </w:pPr>
      <w:r>
        <w:rPr>
          <w:rFonts w:ascii="Arial" w:cs="Arial" w:eastAsia="Arial" w:hAnsi="Arial"/>
          <w:b w:val="false"/>
          <w:bCs w:val="false"/>
          <w:color w:val="000000"/>
          <w:sz w:val="22"/>
          <w:szCs w:val="22"/>
        </w:rPr>
        <w:t xml:space="preserve">where b is the slope of the amplitude distribution and C is the intercept related to total activity. Interpretation:</w:t>
      </w:r>
    </w:p>
    <w:p>
      <w:pPr>
        <w:pStyle w:val="ListParagraph"/>
        <w:numPr>
          <w:ilvl w:val="0"/>
          <w:numId w:val="2"/>
        </w:numPr>
        <w:spacing w:after="80"/>
      </w:pPr>
      <w:r>
        <w:rPr>
          <w:rFonts w:ascii="Arial" w:cs="Arial" w:eastAsia="Arial" w:hAnsi="Arial"/>
          <w:sz w:val="22"/>
          <w:szCs w:val="22"/>
        </w:rPr>
        <w:t xml:space="preserve">Large b (steep slope): mostly small-amplitude events — early stage or background damage.</w:t>
      </w:r>
    </w:p>
    <w:p>
      <w:pPr>
        <w:pStyle w:val="ListParagraph"/>
        <w:numPr>
          <w:ilvl w:val="0"/>
          <w:numId w:val="2"/>
        </w:numPr>
        <w:spacing w:after="80"/>
      </w:pPr>
      <w:r>
        <w:rPr>
          <w:rFonts w:ascii="Arial" w:cs="Arial" w:eastAsia="Arial" w:hAnsi="Arial"/>
          <w:sz w:val="22"/>
          <w:szCs w:val="22"/>
        </w:rPr>
        <w:t xml:space="preserve">Small b (shallow slope): significant high-amplitude events — active crack growth or severe damage.</w:t>
      </w:r>
    </w:p>
    <w:p>
      <w:pPr>
        <w:spacing w:after="200"/>
      </w:pPr>
      <w:r>
        <w:t xml:space="preserve"/>
      </w:r>
    </w:p>
    <w:p>
      <w:pPr>
        <w:pStyle w:val="Heading3"/>
      </w:pPr>
      <w:r>
        <w:rPr>
          <w:rFonts w:ascii="Arial" w:cs="Arial" w:eastAsia="Arial" w:hAnsi="Arial"/>
          <w:b/>
          <w:bCs/>
          <w:color w:val="C05C00"/>
          <w:sz w:val="24"/>
          <w:szCs w:val="24"/>
        </w:rPr>
        <w:t xml:space="preserve">J.  Windowed Analysis Parameters</w:t>
      </w:r>
    </w:p>
    <w:p>
      <w:pPr>
        <w:spacing w:after="80" w:before="80"/>
        <w:ind w:left="720"/>
      </w:pPr>
      <w:r>
        <w:rPr>
          <w:rFonts w:ascii="Courier New" w:cs="Courier New" w:eastAsia="Courier New" w:hAnsi="Courier New"/>
          <w:color w:val="1A6B35"/>
          <w:sz w:val="20"/>
          <w:szCs w:val="20"/>
        </w:rPr>
        <w:t xml:space="preserve">Window duration   : Tw = 0.1 s</w:t>
      </w:r>
    </w:p>
    <w:p>
      <w:pPr>
        <w:spacing w:after="80" w:before="80"/>
        <w:ind w:left="720"/>
      </w:pPr>
      <w:r>
        <w:rPr>
          <w:rFonts w:ascii="Courier New" w:cs="Courier New" w:eastAsia="Courier New" w:hAnsi="Courier New"/>
          <w:color w:val="1A6B35"/>
          <w:sz w:val="20"/>
          <w:szCs w:val="20"/>
        </w:rPr>
        <w:t xml:space="preserve">Samples per window: N  = Tw x fs = 0.1 x 4000 = 400 samples</w:t>
      </w:r>
    </w:p>
    <w:p>
      <w:pPr>
        <w:spacing w:after="80" w:before="80"/>
        <w:ind w:left="720"/>
      </w:pPr>
      <w:r>
        <w:rPr>
          <w:rFonts w:ascii="Courier New" w:cs="Courier New" w:eastAsia="Courier New" w:hAnsi="Courier New"/>
          <w:color w:val="1A6B35"/>
          <w:sz w:val="20"/>
          <w:szCs w:val="20"/>
        </w:rPr>
        <w:t xml:space="preserve">Step size (no overlap): step = N = 400 samples</w:t>
      </w:r>
    </w:p>
    <w:p>
      <w:pPr>
        <w:spacing w:after="80" w:before="80"/>
        <w:ind w:left="720"/>
      </w:pPr>
      <w:r>
        <w:rPr>
          <w:rFonts w:ascii="Courier New" w:cs="Courier New" w:eastAsia="Courier New" w:hAnsi="Courier New"/>
          <w:color w:val="1A6B35"/>
          <w:sz w:val="20"/>
          <w:szCs w:val="20"/>
        </w:rPr>
        <w:t xml:space="preserve">Number of windows : n_win = floor((N_total - N) / step) + 1</w:t>
      </w:r>
    </w:p>
    <w:p>
      <w:pPr>
        <w:spacing w:after="80" w:before="80"/>
        <w:ind w:left="720"/>
      </w:pPr>
      <w:r>
        <w:rPr>
          <w:rFonts w:ascii="Courier New" w:cs="Courier New" w:eastAsia="Courier New" w:hAnsi="Courier New"/>
          <w:color w:val="1A6B35"/>
          <w:sz w:val="20"/>
          <w:szCs w:val="20"/>
        </w:rPr>
        <w:t xml:space="preserve">Time axis         : window index 1, 2, ..., n_win</w:t>
      </w:r>
    </w:p>
    <w:p>
      <w:pPr>
        <w:spacing w:after="200"/>
      </w:pPr>
      <w:r>
        <w:t xml:space="preserve"/>
      </w:r>
    </w:p>
    <w:p>
      <w:pPr>
        <w:pStyle w:val="Heading1"/>
        <w:pageBreakBefore/>
      </w:pPr>
      <w:r>
        <w:rPr>
          <w:rFonts w:ascii="Arial" w:cs="Arial" w:eastAsia="Arial" w:hAnsi="Arial"/>
          <w:b/>
          <w:bCs/>
          <w:color w:val="1B4F8A"/>
          <w:sz w:val="32"/>
          <w:szCs w:val="32"/>
        </w:rPr>
        <w:t xml:space="preserve">Section 3: Why PyInstaller Is Secure</w:t>
      </w:r>
    </w:p>
    <w:p>
      <w:pPr>
        <w:spacing w:after="120"/>
      </w:pPr>
      <w:r>
        <w:rPr>
          <w:rFonts w:ascii="Arial" w:cs="Arial" w:eastAsia="Arial" w:hAnsi="Arial"/>
          <w:b w:val="false"/>
          <w:bCs w:val="false"/>
          <w:color w:val="000000"/>
          <w:sz w:val="22"/>
          <w:szCs w:val="22"/>
        </w:rPr>
        <w:t xml:space="preserve">PyInstaller is used to package the AE Analyzer Python application into a standalone macOS .app bundle. This section explains in detail why this packaging approach is considered secure and appropriate for distributing scientific desktop software.</w:t>
      </w:r>
    </w:p>
    <w:p>
      <w:pPr>
        <w:spacing w:after="200"/>
      </w:pPr>
      <w:r>
        <w:t xml:space="preserve"/>
      </w:r>
    </w:p>
    <w:p>
      <w:pPr>
        <w:pStyle w:val="Heading2"/>
      </w:pPr>
      <w:r>
        <w:rPr>
          <w:rFonts w:ascii="Arial" w:cs="Arial" w:eastAsia="Arial" w:hAnsi="Arial"/>
          <w:b/>
          <w:bCs/>
          <w:color w:val="2C6FAD"/>
          <w:sz w:val="26"/>
          <w:szCs w:val="26"/>
        </w:rPr>
        <w:t xml:space="preserve">3.1  What PyInstaller Does</w:t>
      </w:r>
    </w:p>
    <w:p>
      <w:pPr>
        <w:spacing w:after="120"/>
      </w:pPr>
      <w:r>
        <w:rPr>
          <w:rFonts w:ascii="Arial" w:cs="Arial" w:eastAsia="Arial" w:hAnsi="Arial"/>
          <w:b w:val="false"/>
          <w:bCs w:val="false"/>
          <w:color w:val="000000"/>
          <w:sz w:val="22"/>
          <w:szCs w:val="22"/>
        </w:rPr>
        <w:t xml:space="preserve">PyInstaller analyses your Python script and all its imported libraries, then bundles everything into a self-contained executable. The bundle contains:</w:t>
      </w:r>
    </w:p>
    <w:p>
      <w:pPr>
        <w:pStyle w:val="ListParagraph"/>
        <w:numPr>
          <w:ilvl w:val="0"/>
          <w:numId w:val="2"/>
        </w:numPr>
        <w:spacing w:after="80"/>
      </w:pPr>
      <w:r>
        <w:rPr>
          <w:rFonts w:ascii="Arial" w:cs="Arial" w:eastAsia="Arial" w:hAnsi="Arial"/>
          <w:sz w:val="22"/>
          <w:szCs w:val="22"/>
        </w:rPr>
        <w:t xml:space="preserve">A private copy of the CPython interpreter.</w:t>
      </w:r>
    </w:p>
    <w:p>
      <w:pPr>
        <w:pStyle w:val="ListParagraph"/>
        <w:numPr>
          <w:ilvl w:val="0"/>
          <w:numId w:val="2"/>
        </w:numPr>
        <w:spacing w:after="80"/>
      </w:pPr>
      <w:r>
        <w:rPr>
          <w:rFonts w:ascii="Arial" w:cs="Arial" w:eastAsia="Arial" w:hAnsi="Arial"/>
          <w:sz w:val="22"/>
          <w:szCs w:val="22"/>
        </w:rPr>
        <w:t xml:space="preserve">All required packages (NumPy, Matplotlib, Tkinter, and their dependencies).</w:t>
      </w:r>
    </w:p>
    <w:p>
      <w:pPr>
        <w:pStyle w:val="ListParagraph"/>
        <w:numPr>
          <w:ilvl w:val="0"/>
          <w:numId w:val="2"/>
        </w:numPr>
        <w:spacing w:after="80"/>
      </w:pPr>
      <w:r>
        <w:rPr>
          <w:rFonts w:ascii="Arial" w:cs="Arial" w:eastAsia="Arial" w:hAnsi="Arial"/>
          <w:sz w:val="22"/>
          <w:szCs w:val="22"/>
        </w:rPr>
        <w:t xml:space="preserve">Compiled Python bytecode (.pyc) of the application source files.</w:t>
      </w:r>
    </w:p>
    <w:p>
      <w:pPr>
        <w:pStyle w:val="ListParagraph"/>
        <w:numPr>
          <w:ilvl w:val="0"/>
          <w:numId w:val="2"/>
        </w:numPr>
        <w:spacing w:after="80"/>
      </w:pPr>
      <w:r>
        <w:rPr>
          <w:rFonts w:ascii="Arial" w:cs="Arial" w:eastAsia="Arial" w:hAnsi="Arial"/>
          <w:sz w:val="22"/>
          <w:szCs w:val="22"/>
        </w:rPr>
        <w:t xml:space="preserve">Any data files specified in the .spec configuration file.</w:t>
      </w:r>
    </w:p>
    <w:p>
      <w:pPr>
        <w:spacing w:after="200"/>
      </w:pPr>
      <w:r>
        <w:t xml:space="preserve"/>
      </w:r>
    </w:p>
    <w:p>
      <w:pPr>
        <w:pStyle w:val="Heading2"/>
      </w:pPr>
      <w:r>
        <w:rPr>
          <w:rFonts w:ascii="Arial" w:cs="Arial" w:eastAsia="Arial" w:hAnsi="Arial"/>
          <w:b/>
          <w:bCs/>
          <w:color w:val="2C6FAD"/>
          <w:sz w:val="26"/>
          <w:szCs w:val="26"/>
        </w:rPr>
        <w:t xml:space="preserve">3.2  Source Code Protection</w:t>
      </w:r>
    </w:p>
    <w:p>
      <w:pPr>
        <w:spacing w:after="120"/>
      </w:pPr>
      <w:r>
        <w:rPr>
          <w:rFonts w:ascii="Arial" w:cs="Arial" w:eastAsia="Arial" w:hAnsi="Arial"/>
          <w:b w:val="false"/>
          <w:bCs w:val="false"/>
          <w:color w:val="000000"/>
          <w:sz w:val="22"/>
          <w:szCs w:val="22"/>
        </w:rPr>
        <w:t xml:space="preserve">PyInstaller compiles .py source files into Python bytecode (.pyc) before packaging. The original human-readable Python source files are not included in the distributed executable. A casual inspection of the binary reveals no readable source code.</w:t>
      </w:r>
    </w:p>
    <w:p>
      <w:pPr>
        <w:spacing w:after="200"/>
      </w:pPr>
      <w:r>
        <w:t xml:space="preserve"/>
      </w:r>
    </w:p>
    <w:p>
      <w:pPr>
        <w:spacing w:after="120"/>
      </w:pPr>
      <w:r>
        <w:rPr>
          <w:rFonts w:ascii="Arial" w:cs="Arial" w:eastAsia="Arial" w:hAnsi="Arial"/>
          <w:b w:val="false"/>
          <w:bCs w:val="false"/>
          <w:color w:val="000000"/>
          <w:sz w:val="22"/>
          <w:szCs w:val="22"/>
        </w:rPr>
        <w:t xml:space="preserve">Important note: Python bytecode can be decompiled back to approximate source code using specialised reverse-engineering tools (e.g., uncompyle6). PyInstaller is therefore not a substitute for a dedicated commercial obfuscator such as Nuitka or PyArmor if maximum intellectual property protection is required. For scientific and engineering applications where protecting measurement algorithms at the bytecode level is sufficient, PyInstaller provides adequate protection.</w:t>
      </w:r>
    </w:p>
    <w:p>
      <w:pPr>
        <w:spacing w:after="200"/>
      </w:pPr>
      <w:r>
        <w:t xml:space="preserve"/>
      </w:r>
    </w:p>
    <w:p>
      <w:pPr>
        <w:pStyle w:val="Heading2"/>
      </w:pPr>
      <w:r>
        <w:rPr>
          <w:rFonts w:ascii="Arial" w:cs="Arial" w:eastAsia="Arial" w:hAnsi="Arial"/>
          <w:b/>
          <w:bCs/>
          <w:color w:val="2C6FAD"/>
          <w:sz w:val="26"/>
          <w:szCs w:val="26"/>
        </w:rPr>
        <w:t xml:space="preserve">3.3  No External Python Installation Required</w:t>
      </w:r>
    </w:p>
    <w:p>
      <w:pPr>
        <w:spacing w:after="120"/>
      </w:pPr>
      <w:r>
        <w:rPr>
          <w:rFonts w:ascii="Arial" w:cs="Arial" w:eastAsia="Arial" w:hAnsi="Arial"/>
          <w:b w:val="false"/>
          <w:bCs w:val="false"/>
          <w:color w:val="000000"/>
          <w:sz w:val="22"/>
          <w:szCs w:val="22"/>
        </w:rPr>
        <w:t xml:space="preserve">The .app bundle contains its own private Python interpreter. It does not depend on, modify, or interact with the macOS system Python or any user-installed Python environment. This eliminates:</w:t>
      </w:r>
    </w:p>
    <w:p>
      <w:pPr>
        <w:pStyle w:val="ListParagraph"/>
        <w:numPr>
          <w:ilvl w:val="0"/>
          <w:numId w:val="2"/>
        </w:numPr>
        <w:spacing w:after="80"/>
      </w:pPr>
      <w:r>
        <w:rPr>
          <w:rFonts w:ascii="Arial" w:cs="Arial" w:eastAsia="Arial" w:hAnsi="Arial"/>
          <w:sz w:val="22"/>
          <w:szCs w:val="22"/>
        </w:rPr>
        <w:t xml:space="preserve">Dependency version conflicts between the application and system packages.</w:t>
      </w:r>
    </w:p>
    <w:p>
      <w:pPr>
        <w:pStyle w:val="ListParagraph"/>
        <w:numPr>
          <w:ilvl w:val="0"/>
          <w:numId w:val="2"/>
        </w:numPr>
        <w:spacing w:after="80"/>
      </w:pPr>
      <w:r>
        <w:rPr>
          <w:rFonts w:ascii="Arial" w:cs="Arial" w:eastAsia="Arial" w:hAnsi="Arial"/>
          <w:sz w:val="22"/>
          <w:szCs w:val="22"/>
        </w:rPr>
        <w:t xml:space="preserve">Risk of the application breaking when the user updates their system Python.</w:t>
      </w:r>
    </w:p>
    <w:p>
      <w:pPr>
        <w:pStyle w:val="ListParagraph"/>
        <w:numPr>
          <w:ilvl w:val="0"/>
          <w:numId w:val="2"/>
        </w:numPr>
        <w:spacing w:after="80"/>
      </w:pPr>
      <w:r>
        <w:rPr>
          <w:rFonts w:ascii="Arial" w:cs="Arial" w:eastAsia="Arial" w:hAnsi="Arial"/>
          <w:sz w:val="22"/>
          <w:szCs w:val="22"/>
        </w:rPr>
        <w:t xml:space="preserve">Potential attacks via poisoned packages in the user's Python environment.</w:t>
      </w:r>
    </w:p>
    <w:p>
      <w:pPr>
        <w:spacing w:after="200"/>
      </w:pPr>
      <w:r>
        <w:t xml:space="preserve"/>
      </w:r>
    </w:p>
    <w:p>
      <w:pPr>
        <w:pStyle w:val="Heading2"/>
      </w:pPr>
      <w:r>
        <w:rPr>
          <w:rFonts w:ascii="Arial" w:cs="Arial" w:eastAsia="Arial" w:hAnsi="Arial"/>
          <w:b/>
          <w:bCs/>
          <w:color w:val="2C6FAD"/>
          <w:sz w:val="26"/>
          <w:szCs w:val="26"/>
        </w:rPr>
        <w:t xml:space="preserve">3.4  Isolated Runtime Environment</w:t>
      </w:r>
    </w:p>
    <w:p>
      <w:pPr>
        <w:spacing w:after="120"/>
      </w:pPr>
      <w:r>
        <w:rPr>
          <w:rFonts w:ascii="Arial" w:cs="Arial" w:eastAsia="Arial" w:hAnsi="Arial"/>
          <w:b w:val="false"/>
          <w:bCs w:val="false"/>
          <w:color w:val="000000"/>
          <w:sz w:val="22"/>
          <w:szCs w:val="22"/>
        </w:rPr>
        <w:t xml:space="preserve">On launch, PyInstaller extracts its bundle to a private temporary directory (the _MEIPASS folder). This directory:</w:t>
      </w:r>
    </w:p>
    <w:p>
      <w:pPr>
        <w:pStyle w:val="ListParagraph"/>
        <w:numPr>
          <w:ilvl w:val="0"/>
          <w:numId w:val="2"/>
        </w:numPr>
        <w:spacing w:after="80"/>
      </w:pPr>
      <w:r>
        <w:rPr>
          <w:rFonts w:ascii="Arial" w:cs="Arial" w:eastAsia="Arial" w:hAnsi="Arial"/>
          <w:sz w:val="22"/>
          <w:szCs w:val="22"/>
        </w:rPr>
        <w:t xml:space="preserve">Is created fresh on each run with a unique, non-predictable path.</w:t>
      </w:r>
    </w:p>
    <w:p>
      <w:pPr>
        <w:pStyle w:val="ListParagraph"/>
        <w:numPr>
          <w:ilvl w:val="0"/>
          <w:numId w:val="2"/>
        </w:numPr>
        <w:spacing w:after="80"/>
      </w:pPr>
      <w:r>
        <w:rPr>
          <w:rFonts w:ascii="Arial" w:cs="Arial" w:eastAsia="Arial" w:hAnsi="Arial"/>
          <w:sz w:val="22"/>
          <w:szCs w:val="22"/>
        </w:rPr>
        <w:t xml:space="preserve">Has no write access to system directories or other applications.</w:t>
      </w:r>
    </w:p>
    <w:p>
      <w:pPr>
        <w:pStyle w:val="ListParagraph"/>
        <w:numPr>
          <w:ilvl w:val="0"/>
          <w:numId w:val="2"/>
        </w:numPr>
        <w:spacing w:after="80"/>
      </w:pPr>
      <w:r>
        <w:rPr>
          <w:rFonts w:ascii="Arial" w:cs="Arial" w:eastAsia="Arial" w:hAnsi="Arial"/>
          <w:sz w:val="22"/>
          <w:szCs w:val="22"/>
        </w:rPr>
        <w:t xml:space="preserve">Cannot be injected into or modified by other running processes.</w:t>
      </w:r>
    </w:p>
    <w:p>
      <w:pPr>
        <w:pStyle w:val="ListParagraph"/>
        <w:numPr>
          <w:ilvl w:val="0"/>
          <w:numId w:val="2"/>
        </w:numPr>
        <w:spacing w:after="80"/>
      </w:pPr>
      <w:r>
        <w:rPr>
          <w:rFonts w:ascii="Arial" w:cs="Arial" w:eastAsia="Arial" w:hAnsi="Arial"/>
          <w:sz w:val="22"/>
          <w:szCs w:val="22"/>
        </w:rPr>
        <w:t xml:space="preserve">Is automatically cleaned up and deleted when the application exits.</w:t>
      </w:r>
    </w:p>
    <w:p>
      <w:pPr>
        <w:spacing w:after="120"/>
      </w:pPr>
      <w:r>
        <w:rPr>
          <w:rFonts w:ascii="Arial" w:cs="Arial" w:eastAsia="Arial" w:hAnsi="Arial"/>
          <w:b w:val="false"/>
          <w:bCs w:val="false"/>
          <w:color w:val="000000"/>
          <w:sz w:val="22"/>
          <w:szCs w:val="22"/>
        </w:rPr>
        <w:t xml:space="preserve">This isolation prevents code injection attacks and ensures a fully reproducible runtime environment regardless of the host machine's configuration.</w:t>
      </w:r>
    </w:p>
    <w:p>
      <w:pPr>
        <w:spacing w:after="200"/>
      </w:pPr>
      <w:r>
        <w:t xml:space="preserve"/>
      </w:r>
    </w:p>
    <w:p>
      <w:pPr>
        <w:pStyle w:val="Heading2"/>
      </w:pPr>
      <w:r>
        <w:rPr>
          <w:rFonts w:ascii="Arial" w:cs="Arial" w:eastAsia="Arial" w:hAnsi="Arial"/>
          <w:b/>
          <w:bCs/>
          <w:color w:val="2C6FAD"/>
          <w:sz w:val="26"/>
          <w:szCs w:val="26"/>
        </w:rPr>
        <w:t xml:space="preserve">3.5  No Internet Connection Required</w:t>
      </w:r>
    </w:p>
    <w:p>
      <w:pPr>
        <w:spacing w:after="120"/>
      </w:pPr>
      <w:r>
        <w:rPr>
          <w:rFonts w:ascii="Arial" w:cs="Arial" w:eastAsia="Arial" w:hAnsi="Arial"/>
          <w:b w:val="false"/>
          <w:bCs w:val="false"/>
          <w:color w:val="000000"/>
          <w:sz w:val="22"/>
          <w:szCs w:val="22"/>
        </w:rPr>
        <w:t xml:space="preserve">The AE Analyzer is a fully offline application. It does not:</w:t>
      </w:r>
    </w:p>
    <w:p>
      <w:pPr>
        <w:pStyle w:val="ListParagraph"/>
        <w:numPr>
          <w:ilvl w:val="0"/>
          <w:numId w:val="2"/>
        </w:numPr>
        <w:spacing w:after="80"/>
      </w:pPr>
      <w:r>
        <w:rPr>
          <w:rFonts w:ascii="Arial" w:cs="Arial" w:eastAsia="Arial" w:hAnsi="Arial"/>
          <w:sz w:val="22"/>
          <w:szCs w:val="22"/>
        </w:rPr>
        <w:t xml:space="preserve">Connect to any remote server or API endpoint.</w:t>
      </w:r>
    </w:p>
    <w:p>
      <w:pPr>
        <w:pStyle w:val="ListParagraph"/>
        <w:numPr>
          <w:ilvl w:val="0"/>
          <w:numId w:val="2"/>
        </w:numPr>
        <w:spacing w:after="80"/>
      </w:pPr>
      <w:r>
        <w:rPr>
          <w:rFonts w:ascii="Arial" w:cs="Arial" w:eastAsia="Arial" w:hAnsi="Arial"/>
          <w:sz w:val="22"/>
          <w:szCs w:val="22"/>
        </w:rPr>
        <w:t xml:space="preserve">Send telemetry, usage statistics, or diagnostic data.</w:t>
      </w:r>
    </w:p>
    <w:p>
      <w:pPr>
        <w:pStyle w:val="ListParagraph"/>
        <w:numPr>
          <w:ilvl w:val="0"/>
          <w:numId w:val="2"/>
        </w:numPr>
        <w:spacing w:after="80"/>
      </w:pPr>
      <w:r>
        <w:rPr>
          <w:rFonts w:ascii="Arial" w:cs="Arial" w:eastAsia="Arial" w:hAnsi="Arial"/>
          <w:sz w:val="22"/>
          <w:szCs w:val="22"/>
        </w:rPr>
        <w:t xml:space="preserve">Download updates, plugins, or external resources at runtime.</w:t>
      </w:r>
    </w:p>
    <w:p>
      <w:pPr>
        <w:spacing w:after="120"/>
      </w:pPr>
      <w:r>
        <w:rPr>
          <w:rFonts w:ascii="Arial" w:cs="Arial" w:eastAsia="Arial" w:hAnsi="Arial"/>
          <w:b w:val="false"/>
          <w:bCs w:val="false"/>
          <w:color w:val="000000"/>
          <w:sz w:val="22"/>
          <w:szCs w:val="22"/>
        </w:rPr>
        <w:t xml:space="preserve">All computation is performed locally. Your raw AE measurement data (.bin files) never leaves your computer.</w:t>
      </w:r>
    </w:p>
    <w:p>
      <w:pPr>
        <w:spacing w:after="200"/>
      </w:pPr>
      <w:r>
        <w:t xml:space="preserve"/>
      </w:r>
    </w:p>
    <w:p>
      <w:pPr>
        <w:pStyle w:val="Heading2"/>
      </w:pPr>
      <w:r>
        <w:rPr>
          <w:rFonts w:ascii="Arial" w:cs="Arial" w:eastAsia="Arial" w:hAnsi="Arial"/>
          <w:b/>
          <w:bCs/>
          <w:color w:val="2C6FAD"/>
          <w:sz w:val="26"/>
          <w:szCs w:val="26"/>
        </w:rPr>
        <w:t xml:space="preserve">3.6  Code Signing and Notarisation on macOS</w:t>
      </w:r>
    </w:p>
    <w:p>
      <w:pPr>
        <w:spacing w:after="120"/>
      </w:pPr>
      <w:r>
        <w:rPr>
          <w:rFonts w:ascii="Arial" w:cs="Arial" w:eastAsia="Arial" w:hAnsi="Arial"/>
          <w:b w:val="false"/>
          <w:bCs w:val="false"/>
          <w:color w:val="000000"/>
          <w:sz w:val="22"/>
          <w:szCs w:val="22"/>
        </w:rPr>
        <w:t xml:space="preserve">PyInstaller .app bundles can be cryptographically signed with an Apple Developer ID certificate:</w:t>
      </w:r>
    </w:p>
    <w:p>
      <w:pPr>
        <w:spacing w:after="80" w:before="80"/>
        <w:ind w:left="720"/>
      </w:pPr>
      <w:r>
        <w:rPr>
          <w:rFonts w:ascii="Courier New" w:cs="Courier New" w:eastAsia="Courier New" w:hAnsi="Courier New"/>
          <w:color w:val="1A6B35"/>
          <w:sz w:val="20"/>
          <w:szCs w:val="20"/>
        </w:rPr>
        <w:t xml:space="preserve">codesign --deep --force --sign "Developer ID Application: Your Name (TEAMID)" AEAnalyzer.app</w:t>
      </w:r>
    </w:p>
    <w:p>
      <w:pPr>
        <w:spacing w:after="120"/>
      </w:pPr>
      <w:r>
        <w:rPr>
          <w:rFonts w:ascii="Arial" w:cs="Arial" w:eastAsia="Arial" w:hAnsi="Arial"/>
          <w:b w:val="false"/>
          <w:bCs w:val="false"/>
          <w:color w:val="000000"/>
          <w:sz w:val="22"/>
          <w:szCs w:val="22"/>
        </w:rPr>
        <w:t xml:space="preserve">After signing, the application can be notarised by Apple:</w:t>
      </w:r>
    </w:p>
    <w:p>
      <w:pPr>
        <w:spacing w:after="80" w:before="80"/>
        <w:ind w:left="720"/>
      </w:pPr>
      <w:r>
        <w:rPr>
          <w:rFonts w:ascii="Courier New" w:cs="Courier New" w:eastAsia="Courier New" w:hAnsi="Courier New"/>
          <w:color w:val="1A6B35"/>
          <w:sz w:val="20"/>
          <w:szCs w:val="20"/>
        </w:rPr>
        <w:t xml:space="preserve">xcrun altool --notarize-app --file AEAnalyzer.app ...</w:t>
      </w:r>
    </w:p>
    <w:p>
      <w:pPr>
        <w:spacing w:after="120"/>
      </w:pPr>
      <w:r>
        <w:rPr>
          <w:rFonts w:ascii="Arial" w:cs="Arial" w:eastAsia="Arial" w:hAnsi="Arial"/>
          <w:b w:val="false"/>
          <w:bCs w:val="false"/>
          <w:color w:val="000000"/>
          <w:sz w:val="22"/>
          <w:szCs w:val="22"/>
        </w:rPr>
        <w:t xml:space="preserve">A signed and notarised application:</w:t>
      </w:r>
    </w:p>
    <w:p>
      <w:pPr>
        <w:pStyle w:val="ListParagraph"/>
        <w:numPr>
          <w:ilvl w:val="0"/>
          <w:numId w:val="2"/>
        </w:numPr>
        <w:spacing w:after="80"/>
      </w:pPr>
      <w:r>
        <w:rPr>
          <w:rFonts w:ascii="Arial" w:cs="Arial" w:eastAsia="Arial" w:hAnsi="Arial"/>
          <w:sz w:val="22"/>
          <w:szCs w:val="22"/>
        </w:rPr>
        <w:t xml:space="preserve">Passes macOS Gatekeeper without "unidentified developer" warnings.</w:t>
      </w:r>
    </w:p>
    <w:p>
      <w:pPr>
        <w:pStyle w:val="ListParagraph"/>
        <w:numPr>
          <w:ilvl w:val="0"/>
          <w:numId w:val="2"/>
        </w:numPr>
        <w:spacing w:after="80"/>
      </w:pPr>
      <w:r>
        <w:rPr>
          <w:rFonts w:ascii="Arial" w:cs="Arial" w:eastAsia="Arial" w:hAnsi="Arial"/>
          <w:sz w:val="22"/>
          <w:szCs w:val="22"/>
        </w:rPr>
        <w:t xml:space="preserve">Is verified by Apple as free from known malware.</w:t>
      </w:r>
    </w:p>
    <w:p>
      <w:pPr>
        <w:pStyle w:val="ListParagraph"/>
        <w:numPr>
          <w:ilvl w:val="0"/>
          <w:numId w:val="2"/>
        </w:numPr>
        <w:spacing w:after="80"/>
      </w:pPr>
      <w:r>
        <w:rPr>
          <w:rFonts w:ascii="Arial" w:cs="Arial" w:eastAsia="Arial" w:hAnsi="Arial"/>
          <w:sz w:val="22"/>
          <w:szCs w:val="22"/>
        </w:rPr>
        <w:t xml:space="preserve">Can be distributed outside the Mac App Store to any macOS user.</w:t>
      </w:r>
    </w:p>
    <w:p>
      <w:pPr>
        <w:pStyle w:val="ListParagraph"/>
        <w:numPr>
          <w:ilvl w:val="0"/>
          <w:numId w:val="2"/>
        </w:numPr>
        <w:spacing w:after="80"/>
      </w:pPr>
      <w:r>
        <w:rPr>
          <w:rFonts w:ascii="Arial" w:cs="Arial" w:eastAsia="Arial" w:hAnsi="Arial"/>
          <w:sz w:val="22"/>
          <w:szCs w:val="22"/>
        </w:rPr>
        <w:t xml:space="preserve">Maintains user trust across macOS updates and security patches.</w:t>
      </w:r>
    </w:p>
    <w:p>
      <w:pPr>
        <w:spacing w:after="200"/>
      </w:pPr>
      <w:r>
        <w:t xml:space="preserve"/>
      </w:r>
    </w:p>
    <w:p>
      <w:pPr>
        <w:pStyle w:val="Heading2"/>
      </w:pPr>
      <w:r>
        <w:rPr>
          <w:rFonts w:ascii="Arial" w:cs="Arial" w:eastAsia="Arial" w:hAnsi="Arial"/>
          <w:b/>
          <w:bCs/>
          <w:color w:val="2C6FAD"/>
          <w:sz w:val="26"/>
          <w:szCs w:val="26"/>
        </w:rPr>
        <w:t xml:space="preserve">3.7  Open Source and Auditable</w:t>
      </w:r>
    </w:p>
    <w:p>
      <w:pPr>
        <w:spacing w:after="120"/>
      </w:pPr>
      <w:r>
        <w:rPr>
          <w:rFonts w:ascii="Arial" w:cs="Arial" w:eastAsia="Arial" w:hAnsi="Arial"/>
          <w:b w:val="false"/>
          <w:bCs w:val="false"/>
          <w:color w:val="000000"/>
          <w:sz w:val="22"/>
          <w:szCs w:val="22"/>
        </w:rPr>
        <w:t xml:space="preserve">PyInstaller is an open-source project released under the MIT/GPL licence and actively maintained on GitHub (https://github.com/pyinstaller/pyinstaller). Its complete bundling and extraction mechanism is publicly documented, peer-reviewed, and used by thousands of scientific and engineering teams worldwide. There are no hidden proprietary behaviours.</w:t>
      </w:r>
    </w:p>
    <w:p>
      <w:pPr>
        <w:spacing w:after="200"/>
      </w:pPr>
      <w:r>
        <w:t xml:space="preserve"/>
      </w:r>
    </w:p>
    <w:p>
      <w:pPr>
        <w:pStyle w:val="Heading2"/>
      </w:pPr>
      <w:r>
        <w:rPr>
          <w:rFonts w:ascii="Arial" w:cs="Arial" w:eastAsia="Arial" w:hAnsi="Arial"/>
          <w:b/>
          <w:bCs/>
          <w:color w:val="2C6FAD"/>
          <w:sz w:val="26"/>
          <w:szCs w:val="26"/>
        </w:rPr>
        <w:t xml:space="preserve">3.8  Antivirus False Positives</w:t>
      </w:r>
    </w:p>
    <w:p>
      <w:pPr>
        <w:spacing w:after="120"/>
      </w:pPr>
      <w:r>
        <w:rPr>
          <w:rFonts w:ascii="Arial" w:cs="Arial" w:eastAsia="Arial" w:hAnsi="Arial"/>
          <w:b w:val="false"/>
          <w:bCs w:val="false"/>
          <w:color w:val="000000"/>
          <w:sz w:val="22"/>
          <w:szCs w:val="22"/>
        </w:rPr>
        <w:t xml:space="preserve">Some antivirus or endpoint security tools may flag freshly created PyInstaller executables. This is a well-documented false positive caused by the self-extracting compression behaviour of the bundle, which superficially resembles the pattern of generic self-extracting malware packers. The file contains no malicious code.</w:t>
      </w:r>
    </w:p>
    <w:p>
      <w:pPr>
        <w:spacing w:after="200"/>
      </w:pPr>
      <w:r>
        <w:t xml:space="preserve"/>
      </w:r>
    </w:p>
    <w:p>
      <w:pPr>
        <w:spacing w:after="120"/>
      </w:pPr>
      <w:r>
        <w:rPr>
          <w:rFonts w:ascii="Arial" w:cs="Arial" w:eastAsia="Arial" w:hAnsi="Arial"/>
          <w:b w:val="false"/>
          <w:bCs w:val="false"/>
          <w:color w:val="000000"/>
          <w:sz w:val="22"/>
          <w:szCs w:val="22"/>
        </w:rPr>
        <w:t xml:space="preserve">To eliminate false positives:</w:t>
      </w:r>
    </w:p>
    <w:p>
      <w:pPr>
        <w:pStyle w:val="ListParagraph"/>
        <w:numPr>
          <w:ilvl w:val="0"/>
          <w:numId w:val="2"/>
        </w:numPr>
        <w:spacing w:after="80"/>
      </w:pPr>
      <w:r>
        <w:rPr>
          <w:rFonts w:ascii="Arial" w:cs="Arial" w:eastAsia="Arial" w:hAnsi="Arial"/>
          <w:sz w:val="22"/>
          <w:szCs w:val="22"/>
        </w:rPr>
        <w:t xml:space="preserve">Sign the app with a valid Apple Developer certificate (most effective).</w:t>
      </w:r>
    </w:p>
    <w:p>
      <w:pPr>
        <w:pStyle w:val="ListParagraph"/>
        <w:numPr>
          <w:ilvl w:val="0"/>
          <w:numId w:val="2"/>
        </w:numPr>
        <w:spacing w:after="80"/>
      </w:pPr>
      <w:r>
        <w:rPr>
          <w:rFonts w:ascii="Arial" w:cs="Arial" w:eastAsia="Arial" w:hAnsi="Arial"/>
          <w:sz w:val="22"/>
          <w:szCs w:val="22"/>
        </w:rPr>
        <w:t xml:space="preserve">Notarise the app through Apple (strongest possible trust signal).</w:t>
      </w:r>
    </w:p>
    <w:p>
      <w:pPr>
        <w:pStyle w:val="ListParagraph"/>
        <w:numPr>
          <w:ilvl w:val="0"/>
          <w:numId w:val="2"/>
        </w:numPr>
        <w:spacing w:after="80"/>
      </w:pPr>
      <w:r>
        <w:rPr>
          <w:rFonts w:ascii="Arial" w:cs="Arial" w:eastAsia="Arial" w:hAnsi="Arial"/>
          <w:sz w:val="22"/>
          <w:szCs w:val="22"/>
        </w:rPr>
        <w:t xml:space="preserve">Add the app bundle to your organisation's antivirus whitelist.</w:t>
      </w:r>
    </w:p>
    <w:p>
      <w:pPr>
        <w:pStyle w:val="ListParagraph"/>
        <w:numPr>
          <w:ilvl w:val="0"/>
          <w:numId w:val="2"/>
        </w:numPr>
        <w:spacing w:after="80"/>
      </w:pPr>
      <w:r>
        <w:rPr>
          <w:rFonts w:ascii="Arial" w:cs="Arial" w:eastAsia="Arial" w:hAnsi="Arial"/>
          <w:sz w:val="22"/>
          <w:szCs w:val="22"/>
        </w:rPr>
        <w:t xml:space="preserve">Use the --exclude-module option in the .spec file to reduce bundle size and remove unused packages that may trigger heuristic detection.</w:t>
      </w:r>
    </w:p>
    <w:p>
      <w:pPr>
        <w:spacing w:after="200"/>
      </w:pPr>
      <w:r>
        <w:t xml:space="preserve"/>
      </w:r>
    </w:p>
    <w:p>
      <w:pPr>
        <w:pStyle w:val="Heading2"/>
      </w:pPr>
      <w:r>
        <w:rPr>
          <w:rFonts w:ascii="Arial" w:cs="Arial" w:eastAsia="Arial" w:hAnsi="Arial"/>
          <w:b/>
          <w:bCs/>
          <w:color w:val="2C6FAD"/>
          <w:sz w:val="26"/>
          <w:szCs w:val="26"/>
        </w:rPr>
        <w:t xml:space="preserve">3.9  Comparison with Distribution Alternatives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rPr>
          <w:tblHeader/>
        </w:trPr>
        <w:tc>
          <w:tcPr>
            <w:tcW w:type="dxa" w:w="3000"/>
            <w:tcBorders>
              <w:top w:val="single" w:color="BBBBBB" w:sz="1"/>
              <w:left w:val="single" w:color="BBBBBB" w:sz="1"/>
              <w:bottom w:val="single" w:color="BBBBBB" w:sz="1"/>
              <w:right w:val="single" w:color="BBBBB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100"/>
            <w:tcBorders>
              <w:top w:val="single" w:color="BBBBBB" w:sz="1"/>
              <w:left w:val="single" w:color="BBBBBB" w:sz="1"/>
              <w:bottom w:val="single" w:color="BBBBBB" w:sz="1"/>
              <w:right w:val="single" w:color="BBBBB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Source Exposed</w:t>
            </w:r>
          </w:p>
        </w:tc>
        <w:tc>
          <w:tcPr>
            <w:tcW w:type="dxa" w:w="2100"/>
            <w:tcBorders>
              <w:top w:val="single" w:color="BBBBBB" w:sz="1"/>
              <w:left w:val="single" w:color="BBBBBB" w:sz="1"/>
              <w:bottom w:val="single" w:color="BBBBBB" w:sz="1"/>
              <w:right w:val="single" w:color="BBBBB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Self-Contained</w:t>
            </w:r>
          </w:p>
        </w:tc>
        <w:tc>
          <w:tcPr>
            <w:tcW w:type="dxa" w:w="2160"/>
            <w:tcBorders>
              <w:top w:val="single" w:color="BBBBBB" w:sz="1"/>
              <w:left w:val="single" w:color="BBBBBB" w:sz="1"/>
              <w:bottom w:val="single" w:color="BBBBBB" w:sz="1"/>
              <w:right w:val="single" w:color="BBBBB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macOS Trust</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Distributing .py files</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YES (full source)</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PyInstaller .app</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(bytecode)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Signable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cx_Freeze</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No (bytecode)</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Signable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Nuitka (C-compiled)</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(binary)</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Signable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Apple App Store</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Maximum</w:t>
            </w:r>
          </w:p>
        </w:tc>
      </w:tr>
    </w:tbl>
    <w:p>
      <w:pPr>
        <w:spacing w:after="200"/>
      </w:pPr>
      <w:r>
        <w:t xml:space="preserve"/>
      </w:r>
    </w:p>
    <w:p>
      <w:pPr>
        <w:spacing w:after="120"/>
      </w:pPr>
      <w:r>
        <w:rPr>
          <w:rFonts w:ascii="Arial" w:cs="Arial" w:eastAsia="Arial" w:hAnsi="Arial"/>
          <w:b/>
          <w:bCs/>
          <w:color w:val="000000"/>
          <w:sz w:val="22"/>
          <w:szCs w:val="22"/>
        </w:rPr>
        <w:t xml:space="preserve">Recommendation:</w:t>
      </w:r>
    </w:p>
    <w:p>
      <w:pPr>
        <w:spacing w:after="120"/>
      </w:pPr>
      <w:r>
        <w:rPr>
          <w:rFonts w:ascii="Arial" w:cs="Arial" w:eastAsia="Arial" w:hAnsi="Arial"/>
          <w:b w:val="false"/>
          <w:bCs w:val="false"/>
          <w:color w:val="000000"/>
          <w:sz w:val="22"/>
          <w:szCs w:val="22"/>
        </w:rPr>
        <w:t xml:space="preserve">For internal laboratory or small-team distribution, PyInstaller is the fastest and simplest secure packaging choice. For wider public distribution, add Apple code signing and notarisation to achieve full macOS Gatekeeper compliance.</w:t>
      </w:r>
    </w:p>
    <w:p>
      <w:pPr>
        <w:spacing w:after="200"/>
      </w:pPr>
      <w:r>
        <w:t xml:space="preserve"/>
      </w:r>
    </w:p>
    <w:p>
      <w:pPr>
        <w:pStyle w:val="Heading2"/>
      </w:pPr>
      <w:r>
        <w:rPr>
          <w:rFonts w:ascii="Arial" w:cs="Arial" w:eastAsia="Arial" w:hAnsi="Arial"/>
          <w:b/>
          <w:bCs/>
          <w:color w:val="2C6FAD"/>
          <w:sz w:val="26"/>
          <w:szCs w:val="26"/>
        </w:rPr>
        <w:t xml:space="preserve">3.10  Summary</w:t>
      </w:r>
    </w:p>
    <w:p>
      <w:pPr>
        <w:spacing w:after="120"/>
      </w:pPr>
      <w:r>
        <w:rPr>
          <w:rFonts w:ascii="Arial" w:cs="Arial" w:eastAsia="Arial" w:hAnsi="Arial"/>
          <w:b w:val="false"/>
          <w:bCs w:val="false"/>
          <w:color w:val="000000"/>
          <w:sz w:val="22"/>
          <w:szCs w:val="22"/>
        </w:rPr>
        <w:t xml:space="preserve">PyInstaller produces a fully self-contained macOS application that:</w:t>
      </w:r>
    </w:p>
    <w:p>
      <w:pPr>
        <w:pStyle w:val="ListParagraph"/>
        <w:numPr>
          <w:ilvl w:val="0"/>
          <w:numId w:val="2"/>
        </w:numPr>
        <w:spacing w:after="80"/>
      </w:pPr>
      <w:r>
        <w:rPr>
          <w:rFonts w:ascii="Arial" w:cs="Arial" w:eastAsia="Arial" w:hAnsi="Arial"/>
          <w:sz w:val="22"/>
          <w:szCs w:val="22"/>
        </w:rPr>
        <w:t xml:space="preserve">Hides Python source code by compiling it to bytecode.</w:t>
      </w:r>
    </w:p>
    <w:p>
      <w:pPr>
        <w:pStyle w:val="ListParagraph"/>
        <w:numPr>
          <w:ilvl w:val="0"/>
          <w:numId w:val="2"/>
        </w:numPr>
        <w:spacing w:after="80"/>
      </w:pPr>
      <w:r>
        <w:rPr>
          <w:rFonts w:ascii="Arial" w:cs="Arial" w:eastAsia="Arial" w:hAnsi="Arial"/>
          <w:sz w:val="22"/>
          <w:szCs w:val="22"/>
        </w:rPr>
        <w:t xml:space="preserve">Requires no external Python installation on the user's machine.</w:t>
      </w:r>
    </w:p>
    <w:p>
      <w:pPr>
        <w:pStyle w:val="ListParagraph"/>
        <w:numPr>
          <w:ilvl w:val="0"/>
          <w:numId w:val="2"/>
        </w:numPr>
        <w:spacing w:after="80"/>
      </w:pPr>
      <w:r>
        <w:rPr>
          <w:rFonts w:ascii="Arial" w:cs="Arial" w:eastAsia="Arial" w:hAnsi="Arial"/>
          <w:sz w:val="22"/>
          <w:szCs w:val="22"/>
        </w:rPr>
        <w:t xml:space="preserve">Runs in an isolated, clean, and predictable environment.</w:t>
      </w:r>
    </w:p>
    <w:p>
      <w:pPr>
        <w:pStyle w:val="ListParagraph"/>
        <w:numPr>
          <w:ilvl w:val="0"/>
          <w:numId w:val="2"/>
        </w:numPr>
        <w:spacing w:after="80"/>
      </w:pPr>
      <w:r>
        <w:rPr>
          <w:rFonts w:ascii="Arial" w:cs="Arial" w:eastAsia="Arial" w:hAnsi="Arial"/>
          <w:sz w:val="22"/>
          <w:szCs w:val="22"/>
        </w:rPr>
        <w:t xml:space="preserve">Keeps all AE measurement data strictly local — no data is transmitted.</w:t>
      </w:r>
    </w:p>
    <w:p>
      <w:pPr>
        <w:pStyle w:val="ListParagraph"/>
        <w:numPr>
          <w:ilvl w:val="0"/>
          <w:numId w:val="2"/>
        </w:numPr>
        <w:spacing w:after="80"/>
      </w:pPr>
      <w:r>
        <w:rPr>
          <w:rFonts w:ascii="Arial" w:cs="Arial" w:eastAsia="Arial" w:hAnsi="Arial"/>
          <w:sz w:val="22"/>
          <w:szCs w:val="22"/>
        </w:rPr>
        <w:t xml:space="preserve">Can be code-signed and notarised for full macOS Gatekeeper compliance.</w:t>
      </w:r>
    </w:p>
    <w:p>
      <w:pPr>
        <w:pStyle w:val="ListParagraph"/>
        <w:numPr>
          <w:ilvl w:val="0"/>
          <w:numId w:val="2"/>
        </w:numPr>
        <w:spacing w:after="80"/>
      </w:pPr>
      <w:r>
        <w:rPr>
          <w:rFonts w:ascii="Arial" w:cs="Arial" w:eastAsia="Arial" w:hAnsi="Arial"/>
          <w:sz w:val="22"/>
          <w:szCs w:val="22"/>
        </w:rPr>
        <w:t xml:space="preserve">Is built on a trusted, open-source, and extensively auditable tool.</w:t>
      </w:r>
    </w:p>
    <w:p>
      <w:pPr>
        <w:spacing w:after="200"/>
      </w:pPr>
      <w:r>
        <w:t xml:space="preserve"/>
      </w:r>
    </w:p>
    <w:p>
      <w:pPr>
        <w:pBdr>
          <w:bottom w:val="single" w:color="2C6FAD" w:sz="6" w:space="1"/>
        </w:pBdr>
      </w:pPr>
      <w:r>
        <w:t xml:space="preserve"/>
      </w:r>
    </w:p>
    <w:p>
      <w:pPr>
        <w:spacing w:before="240"/>
        <w:jc w:val="center"/>
      </w:pPr>
      <w:r>
        <w:rPr>
          <w:rFonts w:ascii="Arial" w:cs="Arial" w:eastAsia="Arial" w:hAnsi="Arial"/>
          <w:i/>
          <w:iCs/>
          <w:color w:val="888888"/>
          <w:sz w:val="18"/>
          <w:szCs w:val="18"/>
        </w:rPr>
        <w:t xml:space="preserve">End of Document — AE Analyzer — REPCO Mechatronics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6FAD" w:sz="6"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6FAD" w:sz="6" w:space="1"/>
      </w:pBdr>
    </w:pPr>
    <w:r>
      <w:rPr>
        <w:rFonts w:ascii="Arial" w:cs="Arial" w:eastAsia="Arial" w:hAnsi="Arial"/>
        <w:color w:val="555555"/>
        <w:sz w:val="18"/>
        <w:szCs w:val="18"/>
      </w:rPr>
      <w:t xml:space="preserve">AE Analyzer — Software Documentation   |   REPCO Mechatronics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6FA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C05C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2026-05-13T11:54:55.037Z</dcterms:created>
  <dcterms:modified xsi:type="dcterms:W3CDTF">2026-05-13T11:54:55.037Z</dcterms:modified>
</cp:coreProperties>
</file>

<file path=docProps/custom.xml><?xml version="1.0" encoding="utf-8"?>
<Properties xmlns="http://schemas.openxmlformats.org/officeDocument/2006/custom-properties" xmlns:vt="http://schemas.openxmlformats.org/officeDocument/2006/docPropsVTypes"/>
</file>