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sz w:val="32"/>
        </w:rPr>
        <w:t>ANEXO A – ESPECIFICAÇÕES TÉCNICAS</w:t>
      </w:r>
    </w:p>
    <w:p>
      <w:pPr>
        <w:jc w:val="left"/>
      </w:pPr>
      <w:r>
        <w:rPr>
          <w:rFonts w:ascii="Calibri" w:hAnsi="Calibri"/>
          <w:sz w:val="22"/>
        </w:rPr>
        <w:t>TODOS OS PRODUTOS OFERTADOS DEVERÃO TER, EM SUA COMPOSIÇÃO DE CUSTOS, OS VALORES REFERENTE A INSTALAÇÃO.</w:t>
      </w:r>
    </w:p>
    <w:p>
      <w:pPr>
        <w:jc w:val="left"/>
      </w:pPr>
      <w:r>
        <w:rPr>
          <w:rFonts w:ascii="Calibri" w:hAnsi="Calibri"/>
          <w:b/>
          <w:color w:val="4F81BD"/>
          <w:sz w:val="26"/>
        </w:rPr>
        <w:t>UPI – UNIDADE DE PONTO DE INFRAESTRUTURA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