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64AC" w:rsidRPr="00DD76C7" w:rsidRDefault="008664AC" w:rsidP="008664AC">
      <w:pPr>
        <w:pStyle w:val="Heading1"/>
        <w:jc w:val="center"/>
        <w:rPr>
          <w:rFonts w:ascii="Georgia" w:eastAsia="Times New Roman" w:hAnsi="Georgia" w:cs="Times New Roman"/>
          <w:sz w:val="44"/>
          <w:szCs w:val="44"/>
        </w:rPr>
      </w:pPr>
      <w:r w:rsidRPr="00DD76C7">
        <w:rPr>
          <w:rFonts w:ascii="Georgia" w:eastAsia="Times New Roman" w:hAnsi="Georgia" w:cs="Times New Roman"/>
          <w:sz w:val="44"/>
          <w:szCs w:val="44"/>
        </w:rPr>
        <w:t>Data Quality Report</w:t>
      </w:r>
    </w:p>
    <w:p w:rsidR="00514E28" w:rsidRDefault="00514E28" w:rsidP="00514E28">
      <w:pPr>
        <w:pStyle w:val="Heading4"/>
        <w:rPr>
          <w:rFonts w:ascii="Georgia" w:eastAsia="Times New Roman" w:hAnsi="Georgia"/>
          <w:b/>
          <w:bCs/>
          <w:i w:val="0"/>
          <w:iCs w:val="0"/>
          <w:color w:val="000000" w:themeColor="text1"/>
        </w:rPr>
      </w:pPr>
    </w:p>
    <w:p w:rsidR="00B5574B" w:rsidRPr="00514E28" w:rsidRDefault="00B5574B" w:rsidP="00514E28">
      <w:pPr>
        <w:pStyle w:val="Heading4"/>
        <w:rPr>
          <w:rFonts w:ascii="Georgia" w:eastAsia="Times New Roman" w:hAnsi="Georgia"/>
          <w:b/>
          <w:bCs/>
          <w:i w:val="0"/>
          <w:iCs w:val="0"/>
          <w:color w:val="000000" w:themeColor="text1"/>
        </w:rPr>
      </w:pPr>
      <w:r w:rsidRPr="00514E28">
        <w:rPr>
          <w:rFonts w:ascii="Georgia" w:eastAsia="Times New Roman" w:hAnsi="Georgia"/>
          <w:b/>
          <w:bCs/>
          <w:i w:val="0"/>
          <w:iCs w:val="0"/>
          <w:color w:val="000000" w:themeColor="text1"/>
        </w:rPr>
        <w:t>High-Level Data Description</w:t>
      </w:r>
    </w:p>
    <w:p w:rsidR="00B5574B" w:rsidRDefault="00B5574B" w:rsidP="00514E28">
      <w:pPr>
        <w:spacing w:before="100" w:beforeAutospacing="1" w:after="100" w:afterAutospacing="1"/>
        <w:jc w:val="both"/>
        <w:rPr>
          <w:rFonts w:ascii="Georgia" w:eastAsia="Times New Roman" w:hAnsi="Georgia" w:cs="Times New Roman"/>
          <w:kern w:val="0"/>
          <w14:ligatures w14:val="none"/>
        </w:rPr>
      </w:pPr>
      <w:r w:rsidRPr="00B5574B">
        <w:rPr>
          <w:rFonts w:ascii="Georgia" w:eastAsia="Times New Roman" w:hAnsi="Georgia" w:cs="Times New Roman"/>
          <w:kern w:val="0"/>
          <w14:ligatures w14:val="none"/>
        </w:rPr>
        <w:t xml:space="preserve">This dataset contains credit card transaction records from a U.S. government organization, likely based in Tennessee. It consists of </w:t>
      </w:r>
      <w:r w:rsidRPr="00B5574B">
        <w:rPr>
          <w:rFonts w:ascii="Georgia" w:eastAsia="Times New Roman" w:hAnsi="Georgia" w:cs="Times New Roman"/>
          <w:b/>
          <w:bCs/>
          <w:kern w:val="0"/>
          <w14:ligatures w14:val="none"/>
        </w:rPr>
        <w:t>98,393 records</w:t>
      </w:r>
      <w:r w:rsidRPr="00B5574B">
        <w:rPr>
          <w:rFonts w:ascii="Georgia" w:eastAsia="Times New Roman" w:hAnsi="Georgia" w:cs="Times New Roman"/>
          <w:kern w:val="0"/>
          <w14:ligatures w14:val="none"/>
        </w:rPr>
        <w:t xml:space="preserve"> and </w:t>
      </w:r>
      <w:r w:rsidRPr="00B5574B">
        <w:rPr>
          <w:rFonts w:ascii="Georgia" w:eastAsia="Times New Roman" w:hAnsi="Georgia" w:cs="Times New Roman"/>
          <w:b/>
          <w:bCs/>
          <w:kern w:val="0"/>
          <w14:ligatures w14:val="none"/>
        </w:rPr>
        <w:t>10 fields</w:t>
      </w:r>
      <w:r w:rsidRPr="00B5574B">
        <w:rPr>
          <w:rFonts w:ascii="Georgia" w:eastAsia="Times New Roman" w:hAnsi="Georgia" w:cs="Times New Roman"/>
          <w:kern w:val="0"/>
          <w14:ligatures w14:val="none"/>
        </w:rPr>
        <w:t xml:space="preserve">. Each row represents a single transaction, including information such as card number, merchant details, transaction type, date, amount, and a fraud flag. </w:t>
      </w:r>
      <w:r w:rsidR="00DD76C7" w:rsidRPr="00DD76C7">
        <w:rPr>
          <w:rFonts w:ascii="Georgia" w:eastAsia="Times New Roman" w:hAnsi="Georgia" w:cs="Times New Roman"/>
          <w:kern w:val="0"/>
          <w14:ligatures w14:val="none"/>
        </w:rPr>
        <w:t xml:space="preserve">The dataset spans from </w:t>
      </w:r>
      <w:r w:rsidR="00DD76C7" w:rsidRPr="00DD76C7">
        <w:rPr>
          <w:rFonts w:ascii="Georgia" w:eastAsia="Times New Roman" w:hAnsi="Georgia" w:cs="Times New Roman"/>
          <w:b/>
          <w:bCs/>
          <w:kern w:val="0"/>
          <w14:ligatures w14:val="none"/>
        </w:rPr>
        <w:t>January 1, 2010 to December 31, 2010</w:t>
      </w:r>
      <w:r w:rsidR="00DD76C7" w:rsidRPr="00DD76C7">
        <w:rPr>
          <w:rFonts w:ascii="Georgia" w:eastAsia="Times New Roman" w:hAnsi="Georgia" w:cs="Times New Roman"/>
          <w:kern w:val="0"/>
          <w14:ligatures w14:val="none"/>
        </w:rPr>
        <w:t>, covering a full calendar year of transaction activity</w:t>
      </w:r>
      <w:r w:rsidRPr="00B5574B">
        <w:rPr>
          <w:rFonts w:ascii="Georgia" w:eastAsia="Times New Roman" w:hAnsi="Georgia" w:cs="Times New Roman"/>
          <w:kern w:val="0"/>
          <w14:ligatures w14:val="none"/>
        </w:rPr>
        <w:t>. The “Fraud” column is a binary indicator, where 1 denotes fraudulent transactions, and 0 denotes legitimate ones.</w:t>
      </w:r>
    </w:p>
    <w:p w:rsidR="008B55C7" w:rsidRPr="00B5574B" w:rsidRDefault="008B55C7" w:rsidP="00B5574B">
      <w:pPr>
        <w:spacing w:before="100" w:beforeAutospacing="1" w:after="100" w:afterAutospacing="1"/>
        <w:rPr>
          <w:rFonts w:ascii="Georgia" w:eastAsia="Times New Roman" w:hAnsi="Georgia" w:cs="Times New Roman"/>
          <w:b/>
          <w:bCs/>
          <w:kern w:val="0"/>
          <w14:ligatures w14:val="none"/>
        </w:rPr>
      </w:pPr>
      <w:r w:rsidRPr="008B55C7">
        <w:rPr>
          <w:rFonts w:ascii="Georgia" w:eastAsia="Times New Roman" w:hAnsi="Georgia" w:cs="Times New Roman"/>
          <w:b/>
          <w:bCs/>
          <w:kern w:val="0"/>
          <w14:ligatures w14:val="none"/>
        </w:rPr>
        <w:t>Numeric Fields Summary</w:t>
      </w:r>
    </w:p>
    <w:tbl>
      <w:tblPr>
        <w:tblStyle w:val="GridTable1Light"/>
        <w:tblW w:w="11029" w:type="dxa"/>
        <w:jc w:val="center"/>
        <w:tblLook w:val="04A0" w:firstRow="1" w:lastRow="0" w:firstColumn="1" w:lastColumn="0" w:noHBand="0" w:noVBand="1"/>
      </w:tblPr>
      <w:tblGrid>
        <w:gridCol w:w="1012"/>
        <w:gridCol w:w="1096"/>
        <w:gridCol w:w="1157"/>
        <w:gridCol w:w="1382"/>
        <w:gridCol w:w="897"/>
        <w:gridCol w:w="790"/>
        <w:gridCol w:w="1197"/>
        <w:gridCol w:w="1320"/>
        <w:gridCol w:w="922"/>
        <w:gridCol w:w="1256"/>
      </w:tblGrid>
      <w:tr w:rsidR="00514E28" w:rsidRPr="00DD76C7" w:rsidTr="00514E2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1012" w:type="dxa"/>
            <w:noWrap/>
            <w:hideMark/>
          </w:tcPr>
          <w:p w:rsidR="00B5574B" w:rsidRPr="00B5574B" w:rsidRDefault="00B5574B" w:rsidP="00514E28">
            <w:pPr>
              <w:jc w:val="center"/>
              <w:rPr>
                <w:rFonts w:ascii="Georgia" w:eastAsia="Times New Roman" w:hAnsi="Georgia" w:cs="Calibri"/>
                <w:b/>
                <w:bCs/>
                <w:kern w:val="0"/>
                <w:sz w:val="22"/>
                <w:szCs w:val="22"/>
                <w14:ligatures w14:val="none"/>
              </w:rPr>
            </w:pPr>
            <w:r w:rsidRPr="00B5574B">
              <w:rPr>
                <w:rFonts w:ascii="Georgia" w:eastAsia="Times New Roman" w:hAnsi="Georgia" w:cs="Calibri"/>
                <w:b/>
                <w:bCs/>
                <w:kern w:val="0"/>
                <w:sz w:val="22"/>
                <w:szCs w:val="22"/>
                <w14:ligatures w14:val="none"/>
              </w:rPr>
              <w:t>Field Name</w:t>
            </w:r>
          </w:p>
        </w:tc>
        <w:tc>
          <w:tcPr>
            <w:tcW w:w="1096"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Field Type</w:t>
            </w:r>
          </w:p>
        </w:tc>
        <w:tc>
          <w:tcPr>
            <w:tcW w:w="1157"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xml:space="preserve"># Records </w:t>
            </w:r>
            <w:r w:rsidR="00864098" w:rsidRPr="00DD76C7">
              <w:rPr>
                <w:rFonts w:ascii="Georgia" w:eastAsia="Times New Roman" w:hAnsi="Georgia" w:cs="Calibri"/>
                <w:kern w:val="0"/>
                <w:sz w:val="22"/>
                <w:szCs w:val="22"/>
                <w14:ligatures w14:val="none"/>
              </w:rPr>
              <w:t>with</w:t>
            </w:r>
            <w:r w:rsidRPr="00B5574B">
              <w:rPr>
                <w:rFonts w:ascii="Georgia" w:eastAsia="Times New Roman" w:hAnsi="Georgia" w:cs="Calibri"/>
                <w:kern w:val="0"/>
                <w:sz w:val="22"/>
                <w:szCs w:val="22"/>
                <w14:ligatures w14:val="none"/>
              </w:rPr>
              <w:t xml:space="preserve"> Values</w:t>
            </w:r>
          </w:p>
        </w:tc>
        <w:tc>
          <w:tcPr>
            <w:tcW w:w="1382"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Populated</w:t>
            </w:r>
          </w:p>
        </w:tc>
        <w:tc>
          <w:tcPr>
            <w:tcW w:w="897"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Zeros</w:t>
            </w:r>
          </w:p>
        </w:tc>
        <w:tc>
          <w:tcPr>
            <w:tcW w:w="790"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Min</w:t>
            </w:r>
          </w:p>
        </w:tc>
        <w:tc>
          <w:tcPr>
            <w:tcW w:w="1197"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Max</w:t>
            </w:r>
          </w:p>
        </w:tc>
        <w:tc>
          <w:tcPr>
            <w:tcW w:w="1320" w:type="dxa"/>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Standard Deviation</w:t>
            </w:r>
          </w:p>
        </w:tc>
        <w:tc>
          <w:tcPr>
            <w:tcW w:w="922"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Mean</w:t>
            </w:r>
          </w:p>
        </w:tc>
        <w:tc>
          <w:tcPr>
            <w:tcW w:w="1256" w:type="dxa"/>
            <w:noWrap/>
            <w:hideMark/>
          </w:tcPr>
          <w:p w:rsidR="00B5574B" w:rsidRPr="00B5574B" w:rsidRDefault="00B5574B" w:rsidP="00514E28">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Most Common</w:t>
            </w:r>
          </w:p>
        </w:tc>
      </w:tr>
      <w:tr w:rsidR="00514E28" w:rsidRPr="00DD76C7" w:rsidTr="00514E28">
        <w:trPr>
          <w:trHeight w:val="273"/>
          <w:jc w:val="center"/>
        </w:trPr>
        <w:tc>
          <w:tcPr>
            <w:cnfStyle w:val="001000000000" w:firstRow="0" w:lastRow="0" w:firstColumn="1" w:lastColumn="0" w:oddVBand="0" w:evenVBand="0" w:oddHBand="0" w:evenHBand="0" w:firstRowFirstColumn="0" w:firstRowLastColumn="0" w:lastRowFirstColumn="0" w:lastRowLastColumn="0"/>
            <w:tcW w:w="1012" w:type="dxa"/>
            <w:noWrap/>
            <w:hideMark/>
          </w:tcPr>
          <w:p w:rsidR="00B5574B" w:rsidRPr="00B5574B" w:rsidRDefault="00B5574B" w:rsidP="0064777C">
            <w:pPr>
              <w:rPr>
                <w:rFonts w:ascii="Georgia" w:eastAsia="Times New Roman" w:hAnsi="Georgia" w:cs="Calibri"/>
                <w:b w:val="0"/>
                <w:bCs w:val="0"/>
                <w:color w:val="000000"/>
                <w:kern w:val="0"/>
                <w:sz w:val="22"/>
                <w:szCs w:val="22"/>
                <w14:ligatures w14:val="none"/>
              </w:rPr>
            </w:pPr>
            <w:r w:rsidRPr="00B5574B">
              <w:rPr>
                <w:rFonts w:ascii="Georgia" w:eastAsia="Times New Roman" w:hAnsi="Georgia" w:cs="Calibri"/>
                <w:b w:val="0"/>
                <w:bCs w:val="0"/>
                <w:color w:val="000000"/>
                <w:kern w:val="0"/>
                <w:sz w:val="22"/>
                <w:szCs w:val="22"/>
                <w14:ligatures w14:val="none"/>
              </w:rPr>
              <w:t>Amount</w:t>
            </w:r>
          </w:p>
        </w:tc>
        <w:tc>
          <w:tcPr>
            <w:tcW w:w="1096"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DD76C7">
              <w:rPr>
                <w:rFonts w:ascii="Georgia" w:eastAsia="Times New Roman" w:hAnsi="Georgia" w:cs="Calibri"/>
                <w:color w:val="000000"/>
                <w:kern w:val="0"/>
                <w:sz w:val="22"/>
                <w:szCs w:val="22"/>
                <w14:ligatures w14:val="none"/>
              </w:rPr>
              <w:t>N</w:t>
            </w:r>
            <w:r w:rsidRPr="00B5574B">
              <w:rPr>
                <w:rFonts w:ascii="Georgia" w:eastAsia="Times New Roman" w:hAnsi="Georgia" w:cs="Calibri"/>
                <w:color w:val="000000"/>
                <w:kern w:val="0"/>
                <w:sz w:val="22"/>
                <w:szCs w:val="22"/>
                <w14:ligatures w14:val="none"/>
              </w:rPr>
              <w:t>umeric</w:t>
            </w:r>
          </w:p>
        </w:tc>
        <w:tc>
          <w:tcPr>
            <w:tcW w:w="1157"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82"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100.00</w:t>
            </w:r>
          </w:p>
        </w:tc>
        <w:tc>
          <w:tcPr>
            <w:tcW w:w="897"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790"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0.01</w:t>
            </w:r>
          </w:p>
        </w:tc>
        <w:tc>
          <w:tcPr>
            <w:tcW w:w="1197"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3</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102</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046</w:t>
            </w:r>
          </w:p>
        </w:tc>
        <w:tc>
          <w:tcPr>
            <w:tcW w:w="1320" w:type="dxa"/>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922.44</w:t>
            </w:r>
          </w:p>
        </w:tc>
        <w:tc>
          <w:tcPr>
            <w:tcW w:w="922" w:type="dxa"/>
            <w:noWrap/>
            <w:hideMark/>
          </w:tcPr>
          <w:p w:rsidR="00B5574B" w:rsidRPr="00B5574B" w:rsidRDefault="00B5574B"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424.29</w:t>
            </w:r>
          </w:p>
        </w:tc>
        <w:tc>
          <w:tcPr>
            <w:tcW w:w="1256" w:type="dxa"/>
            <w:noWrap/>
            <w:hideMark/>
          </w:tcPr>
          <w:p w:rsidR="00B5574B" w:rsidRPr="00B5574B" w:rsidRDefault="00B5574B" w:rsidP="00B5574B">
            <w:pPr>
              <w:jc w:val="right"/>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3.62</w:t>
            </w:r>
          </w:p>
        </w:tc>
      </w:tr>
    </w:tbl>
    <w:p w:rsidR="003A60F1" w:rsidRPr="00DD76C7" w:rsidRDefault="003A60F1">
      <w:pPr>
        <w:rPr>
          <w:rFonts w:ascii="Georgia" w:hAnsi="Georgia"/>
        </w:rPr>
      </w:pPr>
    </w:p>
    <w:p w:rsidR="008B55C7" w:rsidRPr="00B5574B" w:rsidRDefault="008B55C7" w:rsidP="008B55C7">
      <w:pPr>
        <w:spacing w:before="100" w:beforeAutospacing="1" w:after="100" w:afterAutospacing="1"/>
        <w:rPr>
          <w:rFonts w:ascii="Georgia" w:eastAsia="Times New Roman" w:hAnsi="Georgia" w:cs="Times New Roman"/>
          <w:b/>
          <w:bCs/>
          <w:kern w:val="0"/>
          <w14:ligatures w14:val="none"/>
        </w:rPr>
      </w:pPr>
      <w:r w:rsidRPr="00514E28">
        <w:rPr>
          <w:rFonts w:ascii="Georgia" w:eastAsia="Times New Roman" w:hAnsi="Georgia" w:cs="Times New Roman"/>
          <w:b/>
          <w:bCs/>
          <w:kern w:val="0"/>
          <w14:ligatures w14:val="none"/>
        </w:rPr>
        <w:t>Categorical</w:t>
      </w:r>
      <w:r w:rsidRPr="008B55C7">
        <w:rPr>
          <w:rFonts w:ascii="Georgia" w:eastAsia="Times New Roman" w:hAnsi="Georgia" w:cs="Times New Roman"/>
          <w:b/>
          <w:bCs/>
          <w:kern w:val="0"/>
          <w14:ligatures w14:val="none"/>
        </w:rPr>
        <w:t xml:space="preserve"> Fields Summary</w:t>
      </w:r>
    </w:p>
    <w:p w:rsidR="008B55C7" w:rsidRPr="00DD76C7" w:rsidRDefault="008B55C7">
      <w:pPr>
        <w:rPr>
          <w:rFonts w:ascii="Georgia" w:hAnsi="Georgia"/>
        </w:rPr>
      </w:pPr>
    </w:p>
    <w:tbl>
      <w:tblPr>
        <w:tblStyle w:val="GridTable1Light"/>
        <w:tblW w:w="10045" w:type="dxa"/>
        <w:jc w:val="center"/>
        <w:tblLook w:val="04A0" w:firstRow="1" w:lastRow="0" w:firstColumn="1" w:lastColumn="0" w:noHBand="0" w:noVBand="1"/>
      </w:tblPr>
      <w:tblGrid>
        <w:gridCol w:w="1912"/>
        <w:gridCol w:w="1370"/>
        <w:gridCol w:w="1217"/>
        <w:gridCol w:w="1370"/>
        <w:gridCol w:w="1217"/>
        <w:gridCol w:w="1217"/>
        <w:gridCol w:w="1785"/>
      </w:tblGrid>
      <w:tr w:rsidR="00B5574B" w:rsidRPr="00B5574B" w:rsidTr="00514E28">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B5574B" w:rsidRPr="00B5574B" w:rsidRDefault="00B5574B" w:rsidP="00B5574B">
            <w:pPr>
              <w:jc w:val="center"/>
              <w:rPr>
                <w:rFonts w:ascii="Georgia" w:eastAsia="Times New Roman" w:hAnsi="Georgia" w:cs="Calibri"/>
                <w:b/>
                <w:bCs/>
                <w:kern w:val="0"/>
                <w:sz w:val="22"/>
                <w:szCs w:val="22"/>
                <w14:ligatures w14:val="none"/>
              </w:rPr>
            </w:pPr>
            <w:r w:rsidRPr="00B5574B">
              <w:rPr>
                <w:rFonts w:ascii="Georgia" w:eastAsia="Times New Roman" w:hAnsi="Georgia" w:cs="Calibri"/>
                <w:b/>
                <w:bCs/>
                <w:kern w:val="0"/>
                <w:sz w:val="22"/>
                <w:szCs w:val="22"/>
                <w14:ligatures w14:val="none"/>
              </w:rPr>
              <w:t>Field Name</w:t>
            </w:r>
          </w:p>
        </w:tc>
        <w:tc>
          <w:tcPr>
            <w:tcW w:w="1370" w:type="dxa"/>
            <w:noWrap/>
            <w:hideMark/>
          </w:tcPr>
          <w:p w:rsidR="00B5574B" w:rsidRPr="00B5574B" w:rsidRDefault="00B5574B" w:rsidP="00B5574B">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Field Type</w:t>
            </w:r>
          </w:p>
        </w:tc>
        <w:tc>
          <w:tcPr>
            <w:tcW w:w="1217" w:type="dxa"/>
            <w:noWrap/>
            <w:hideMark/>
          </w:tcPr>
          <w:p w:rsidR="00B5574B" w:rsidRPr="00B5574B" w:rsidRDefault="00B5574B" w:rsidP="00B5574B">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xml:space="preserve"># Records </w:t>
            </w:r>
            <w:r w:rsidR="00864098" w:rsidRPr="00DD76C7">
              <w:rPr>
                <w:rFonts w:ascii="Georgia" w:eastAsia="Times New Roman" w:hAnsi="Georgia" w:cs="Calibri"/>
                <w:kern w:val="0"/>
                <w:sz w:val="22"/>
                <w:szCs w:val="22"/>
                <w14:ligatures w14:val="none"/>
              </w:rPr>
              <w:t>with</w:t>
            </w:r>
            <w:r w:rsidRPr="00B5574B">
              <w:rPr>
                <w:rFonts w:ascii="Georgia" w:eastAsia="Times New Roman" w:hAnsi="Georgia" w:cs="Calibri"/>
                <w:kern w:val="0"/>
                <w:sz w:val="22"/>
                <w:szCs w:val="22"/>
                <w14:ligatures w14:val="none"/>
              </w:rPr>
              <w:t xml:space="preserve"> Values</w:t>
            </w:r>
          </w:p>
        </w:tc>
        <w:tc>
          <w:tcPr>
            <w:tcW w:w="1327" w:type="dxa"/>
            <w:noWrap/>
            <w:hideMark/>
          </w:tcPr>
          <w:p w:rsidR="00B5574B" w:rsidRPr="00B5574B" w:rsidRDefault="00B5574B" w:rsidP="00B5574B">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Populated</w:t>
            </w:r>
          </w:p>
        </w:tc>
        <w:tc>
          <w:tcPr>
            <w:tcW w:w="1217" w:type="dxa"/>
            <w:noWrap/>
            <w:hideMark/>
          </w:tcPr>
          <w:p w:rsidR="00B5574B" w:rsidRPr="00B5574B" w:rsidRDefault="00B5574B" w:rsidP="00B5574B">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Zeros</w:t>
            </w:r>
          </w:p>
        </w:tc>
        <w:tc>
          <w:tcPr>
            <w:tcW w:w="1217" w:type="dxa"/>
            <w:noWrap/>
            <w:hideMark/>
          </w:tcPr>
          <w:p w:rsidR="00B5574B" w:rsidRPr="00B5574B" w:rsidRDefault="00B5574B" w:rsidP="00B5574B">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 Unique Values</w:t>
            </w:r>
          </w:p>
        </w:tc>
        <w:tc>
          <w:tcPr>
            <w:tcW w:w="1785" w:type="dxa"/>
            <w:noWrap/>
            <w:hideMark/>
          </w:tcPr>
          <w:p w:rsidR="00B5574B" w:rsidRPr="00B5574B" w:rsidRDefault="00B5574B" w:rsidP="00B5574B">
            <w:pPr>
              <w:jc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kern w:val="0"/>
                <w:sz w:val="22"/>
                <w:szCs w:val="22"/>
                <w14:ligatures w14:val="none"/>
              </w:rPr>
            </w:pPr>
            <w:r w:rsidRPr="00B5574B">
              <w:rPr>
                <w:rFonts w:ascii="Georgia" w:eastAsia="Times New Roman" w:hAnsi="Georgia" w:cs="Calibri"/>
                <w:kern w:val="0"/>
                <w:sz w:val="22"/>
                <w:szCs w:val="22"/>
                <w14:ligatures w14:val="none"/>
              </w:rPr>
              <w:t>Most Common</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b w:val="0"/>
                <w:bCs w:val="0"/>
                <w:color w:val="000000"/>
                <w:kern w:val="0"/>
                <w:sz w:val="22"/>
                <w:szCs w:val="22"/>
                <w14:ligatures w14:val="none"/>
              </w:rPr>
            </w:pPr>
            <w:r w:rsidRPr="00B5574B">
              <w:rPr>
                <w:rFonts w:ascii="Georgia" w:eastAsia="Times New Roman" w:hAnsi="Georgia" w:cs="Calibri"/>
                <w:b w:val="0"/>
                <w:bCs w:val="0"/>
                <w:color w:val="000000"/>
                <w:kern w:val="0"/>
                <w:sz w:val="22"/>
                <w:szCs w:val="22"/>
                <w14:ligatures w14:val="none"/>
              </w:rPr>
              <w:t>Merch description</w:t>
            </w:r>
          </w:p>
        </w:tc>
        <w:tc>
          <w:tcPr>
            <w:tcW w:w="1370"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100.00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13</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126</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GSA-FSS-ADV</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color w:val="000000"/>
                <w:kern w:val="0"/>
                <w:sz w:val="22"/>
                <w:szCs w:val="22"/>
                <w14:ligatures w14:val="none"/>
              </w:rPr>
            </w:pPr>
            <w:proofErr w:type="spellStart"/>
            <w:r w:rsidRPr="00B5574B">
              <w:rPr>
                <w:rFonts w:ascii="Georgia" w:eastAsia="Times New Roman" w:hAnsi="Georgia" w:cs="Calibri"/>
                <w:color w:val="000000"/>
                <w:kern w:val="0"/>
                <w:sz w:val="22"/>
                <w:szCs w:val="22"/>
                <w14:ligatures w14:val="none"/>
              </w:rPr>
              <w:t>Recnum</w:t>
            </w:r>
            <w:proofErr w:type="spellEnd"/>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100.00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1</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b w:val="0"/>
                <w:bCs w:val="0"/>
                <w:color w:val="000000"/>
                <w:kern w:val="0"/>
                <w:sz w:val="22"/>
                <w:szCs w:val="22"/>
                <w14:ligatures w14:val="none"/>
              </w:rPr>
            </w:pPr>
            <w:proofErr w:type="spellStart"/>
            <w:r w:rsidRPr="00B5574B">
              <w:rPr>
                <w:rFonts w:ascii="Georgia" w:eastAsia="Times New Roman" w:hAnsi="Georgia" w:cs="Calibri"/>
                <w:b w:val="0"/>
                <w:bCs w:val="0"/>
                <w:color w:val="000000"/>
                <w:kern w:val="0"/>
                <w:sz w:val="22"/>
                <w:szCs w:val="22"/>
                <w14:ligatures w14:val="none"/>
              </w:rPr>
              <w:t>Cardnum</w:t>
            </w:r>
            <w:proofErr w:type="spellEnd"/>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100.00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1</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645</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DD76C7">
              <w:rPr>
                <w:rFonts w:ascii="Georgia" w:eastAsia="Times New Roman" w:hAnsi="Georgia" w:cs="Calibri"/>
                <w:color w:val="000000"/>
                <w:kern w:val="0"/>
                <w:sz w:val="22"/>
                <w:szCs w:val="22"/>
                <w14:ligatures w14:val="none"/>
              </w:rPr>
              <w:t>5142148452</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b w:val="0"/>
                <w:bCs w:val="0"/>
                <w:color w:val="000000"/>
                <w:kern w:val="0"/>
                <w:sz w:val="22"/>
                <w:szCs w:val="22"/>
                <w14:ligatures w14:val="none"/>
              </w:rPr>
            </w:pPr>
            <w:proofErr w:type="spellStart"/>
            <w:r w:rsidRPr="00B5574B">
              <w:rPr>
                <w:rFonts w:ascii="Georgia" w:eastAsia="Times New Roman" w:hAnsi="Georgia" w:cs="Calibri"/>
                <w:b w:val="0"/>
                <w:bCs w:val="0"/>
                <w:color w:val="000000"/>
                <w:kern w:val="0"/>
                <w:sz w:val="22"/>
                <w:szCs w:val="22"/>
                <w14:ligatures w14:val="none"/>
              </w:rPr>
              <w:t>Merchnum</w:t>
            </w:r>
            <w:proofErr w:type="spellEnd"/>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94</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970</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96.52</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13</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091</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930090121224</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Merch state</w:t>
            </w:r>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97</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181</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98.77</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227</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TN</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Date</w:t>
            </w:r>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100.00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365</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DD76C7">
              <w:rPr>
                <w:rFonts w:ascii="Georgia" w:eastAsia="Times New Roman" w:hAnsi="Georgia" w:cs="Calibri"/>
                <w:color w:val="000000"/>
                <w:kern w:val="0"/>
                <w:sz w:val="22"/>
                <w:szCs w:val="22"/>
                <w14:ligatures w14:val="none"/>
              </w:rPr>
              <w:t>2/28/</w:t>
            </w:r>
            <w:proofErr w:type="gramStart"/>
            <w:r w:rsidRPr="00DD76C7">
              <w:rPr>
                <w:rFonts w:ascii="Georgia" w:eastAsia="Times New Roman" w:hAnsi="Georgia" w:cs="Calibri"/>
                <w:color w:val="000000"/>
                <w:kern w:val="0"/>
                <w:sz w:val="22"/>
                <w:szCs w:val="22"/>
                <w14:ligatures w14:val="none"/>
              </w:rPr>
              <w:t>2010  12:00:00</w:t>
            </w:r>
            <w:proofErr w:type="gramEnd"/>
            <w:r w:rsidRPr="00DD76C7">
              <w:rPr>
                <w:rFonts w:ascii="Georgia" w:eastAsia="Times New Roman" w:hAnsi="Georgia" w:cs="Calibri"/>
                <w:color w:val="000000"/>
                <w:kern w:val="0"/>
                <w:sz w:val="22"/>
                <w:szCs w:val="22"/>
                <w14:ligatures w14:val="none"/>
              </w:rPr>
              <w:t xml:space="preserve"> AM</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b w:val="0"/>
                <w:bCs w:val="0"/>
                <w:color w:val="000000"/>
                <w:kern w:val="0"/>
                <w:sz w:val="22"/>
                <w:szCs w:val="22"/>
                <w14:ligatures w14:val="none"/>
              </w:rPr>
            </w:pPr>
            <w:proofErr w:type="spellStart"/>
            <w:r w:rsidRPr="00B5574B">
              <w:rPr>
                <w:rFonts w:ascii="Georgia" w:eastAsia="Times New Roman" w:hAnsi="Georgia" w:cs="Calibri"/>
                <w:b w:val="0"/>
                <w:bCs w:val="0"/>
                <w:color w:val="000000"/>
                <w:kern w:val="0"/>
                <w:sz w:val="22"/>
                <w:szCs w:val="22"/>
                <w14:ligatures w14:val="none"/>
              </w:rPr>
              <w:t>Transtype</w:t>
            </w:r>
            <w:proofErr w:type="spellEnd"/>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100.00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4</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P</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Fraud</w:t>
            </w:r>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98</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393</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100.00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95</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901</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2</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r>
      <w:tr w:rsidR="00864098" w:rsidRPr="00B5574B" w:rsidTr="00514E28">
        <w:trPr>
          <w:trHeight w:val="342"/>
          <w:jc w:val="center"/>
        </w:trPr>
        <w:tc>
          <w:tcPr>
            <w:cnfStyle w:val="001000000000" w:firstRow="0" w:lastRow="0" w:firstColumn="1" w:lastColumn="0" w:oddVBand="0" w:evenVBand="0" w:oddHBand="0" w:evenHBand="0" w:firstRowFirstColumn="0" w:firstRowLastColumn="0" w:lastRowFirstColumn="0" w:lastRowLastColumn="0"/>
            <w:tcW w:w="1912" w:type="dxa"/>
            <w:noWrap/>
            <w:hideMark/>
          </w:tcPr>
          <w:p w:rsidR="00864098" w:rsidRPr="00B5574B" w:rsidRDefault="00864098" w:rsidP="0064777C">
            <w:pPr>
              <w:rPr>
                <w:rFonts w:ascii="Georgia" w:eastAsia="Times New Roman" w:hAnsi="Georgia" w:cs="Calibri"/>
                <w:b w:val="0"/>
                <w:bCs w:val="0"/>
                <w:color w:val="000000"/>
                <w:kern w:val="0"/>
                <w:sz w:val="22"/>
                <w:szCs w:val="22"/>
                <w14:ligatures w14:val="none"/>
              </w:rPr>
            </w:pPr>
            <w:r w:rsidRPr="00B5574B">
              <w:rPr>
                <w:rFonts w:ascii="Georgia" w:eastAsia="Times New Roman" w:hAnsi="Georgia" w:cs="Calibri"/>
                <w:b w:val="0"/>
                <w:bCs w:val="0"/>
                <w:color w:val="000000"/>
                <w:kern w:val="0"/>
                <w:sz w:val="22"/>
                <w:szCs w:val="22"/>
                <w14:ligatures w14:val="none"/>
              </w:rPr>
              <w:t>Merch zip</w:t>
            </w:r>
          </w:p>
        </w:tc>
        <w:tc>
          <w:tcPr>
            <w:tcW w:w="1370" w:type="dxa"/>
            <w:noWrap/>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rPr>
            </w:pPr>
            <w:r w:rsidRPr="00DD76C7">
              <w:rPr>
                <w:rFonts w:ascii="Georgia" w:eastAsia="Times New Roman" w:hAnsi="Georgia" w:cs="Calibri"/>
                <w:color w:val="000000"/>
                <w:kern w:val="0"/>
                <w:sz w:val="22"/>
                <w:szCs w:val="22"/>
                <w14:ligatures w14:val="none"/>
              </w:rPr>
              <w:t>C</w:t>
            </w:r>
            <w:r w:rsidRPr="00B5574B">
              <w:rPr>
                <w:rFonts w:ascii="Georgia" w:eastAsia="Times New Roman" w:hAnsi="Georgia" w:cs="Calibri"/>
                <w:color w:val="000000"/>
                <w:kern w:val="0"/>
                <w:sz w:val="22"/>
                <w:szCs w:val="22"/>
                <w14:ligatures w14:val="none"/>
              </w:rPr>
              <w:t>ategorical</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93</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664</w:t>
            </w:r>
          </w:p>
        </w:tc>
        <w:tc>
          <w:tcPr>
            <w:tcW w:w="1327" w:type="dxa"/>
            <w:noWrap/>
            <w:vAlign w:val="bottom"/>
            <w:hideMark/>
          </w:tcPr>
          <w:p w:rsidR="00864098" w:rsidRPr="00DD76C7" w:rsidRDefault="00864098" w:rsidP="0064777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22"/>
                <w:szCs w:val="22"/>
              </w:rPr>
            </w:pPr>
            <w:r w:rsidRPr="00DD76C7">
              <w:rPr>
                <w:rFonts w:ascii="Georgia" w:hAnsi="Georgia" w:cs="Calibri"/>
                <w:color w:val="000000"/>
                <w:sz w:val="22"/>
                <w:szCs w:val="22"/>
              </w:rPr>
              <w:t>95.19</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0</w:t>
            </w:r>
          </w:p>
        </w:tc>
        <w:tc>
          <w:tcPr>
            <w:tcW w:w="1217"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4</w:t>
            </w:r>
            <w:r w:rsidRPr="00DD76C7">
              <w:rPr>
                <w:rFonts w:ascii="Georgia" w:eastAsia="Times New Roman" w:hAnsi="Georgia" w:cs="Calibri"/>
                <w:color w:val="000000"/>
                <w:kern w:val="0"/>
                <w:sz w:val="22"/>
                <w:szCs w:val="22"/>
                <w14:ligatures w14:val="none"/>
              </w:rPr>
              <w:t>,</w:t>
            </w:r>
            <w:r w:rsidRPr="00B5574B">
              <w:rPr>
                <w:rFonts w:ascii="Georgia" w:eastAsia="Times New Roman" w:hAnsi="Georgia" w:cs="Calibri"/>
                <w:color w:val="000000"/>
                <w:kern w:val="0"/>
                <w:sz w:val="22"/>
                <w:szCs w:val="22"/>
                <w14:ligatures w14:val="none"/>
              </w:rPr>
              <w:t>567</w:t>
            </w:r>
          </w:p>
        </w:tc>
        <w:tc>
          <w:tcPr>
            <w:tcW w:w="1785" w:type="dxa"/>
            <w:noWrap/>
            <w:hideMark/>
          </w:tcPr>
          <w:p w:rsidR="00864098" w:rsidRPr="00B5574B" w:rsidRDefault="00864098" w:rsidP="0064777C">
            <w:pP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color w:val="000000"/>
                <w:kern w:val="0"/>
                <w:sz w:val="22"/>
                <w:szCs w:val="22"/>
                <w14:ligatures w14:val="none"/>
              </w:rPr>
            </w:pPr>
            <w:r w:rsidRPr="00B5574B">
              <w:rPr>
                <w:rFonts w:ascii="Georgia" w:eastAsia="Times New Roman" w:hAnsi="Georgia" w:cs="Calibri"/>
                <w:color w:val="000000"/>
                <w:kern w:val="0"/>
                <w:sz w:val="22"/>
                <w:szCs w:val="22"/>
                <w14:ligatures w14:val="none"/>
              </w:rPr>
              <w:t>38118</w:t>
            </w:r>
          </w:p>
        </w:tc>
      </w:tr>
    </w:tbl>
    <w:p w:rsidR="00B5574B" w:rsidRPr="00DD76C7" w:rsidRDefault="00B5574B">
      <w:pPr>
        <w:rPr>
          <w:rFonts w:ascii="Georgia" w:hAnsi="Georgia"/>
        </w:rPr>
      </w:pPr>
    </w:p>
    <w:p w:rsidR="00864098" w:rsidRPr="00DD76C7" w:rsidRDefault="00864098">
      <w:pPr>
        <w:rPr>
          <w:rFonts w:ascii="Georgia" w:hAnsi="Georgia"/>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053C99" w:rsidRDefault="00053C99">
      <w:pPr>
        <w:rPr>
          <w:rFonts w:ascii="Georgia" w:hAnsi="Georgia"/>
          <w:b/>
          <w:bCs/>
        </w:rPr>
      </w:pPr>
    </w:p>
    <w:p w:rsidR="001A14DE" w:rsidRDefault="004E1732">
      <w:pPr>
        <w:rPr>
          <w:rFonts w:ascii="Georgia" w:hAnsi="Georgia"/>
          <w:b/>
          <w:bCs/>
          <w:sz w:val="28"/>
          <w:szCs w:val="28"/>
        </w:rPr>
      </w:pPr>
      <w:r w:rsidRPr="00053C99">
        <w:rPr>
          <w:rFonts w:ascii="Georgia" w:hAnsi="Georgia"/>
          <w:b/>
          <w:bCs/>
          <w:sz w:val="28"/>
          <w:szCs w:val="28"/>
        </w:rPr>
        <w:lastRenderedPageBreak/>
        <w:t>Distribution Plots</w:t>
      </w:r>
    </w:p>
    <w:p w:rsidR="00053C99" w:rsidRDefault="00053C99">
      <w:pPr>
        <w:rPr>
          <w:rFonts w:ascii="Georgia" w:hAnsi="Georgia"/>
          <w:b/>
          <w:bCs/>
          <w:sz w:val="28"/>
          <w:szCs w:val="28"/>
        </w:rPr>
      </w:pPr>
    </w:p>
    <w:p w:rsidR="00053C99" w:rsidRPr="00053C99" w:rsidRDefault="00053C99">
      <w:pPr>
        <w:rPr>
          <w:rFonts w:ascii="Georgia" w:hAnsi="Georgia"/>
          <w:b/>
          <w:bCs/>
          <w:sz w:val="28"/>
          <w:szCs w:val="28"/>
        </w:rPr>
      </w:pPr>
    </w:p>
    <w:p w:rsidR="00CD5B5F" w:rsidRPr="00DD76C7" w:rsidRDefault="00CD5B5F" w:rsidP="00514E28">
      <w:pPr>
        <w:jc w:val="center"/>
        <w:rPr>
          <w:rFonts w:ascii="Georgia" w:hAnsi="Georgia"/>
        </w:rPr>
      </w:pPr>
      <w:r w:rsidRPr="00DD76C7">
        <w:rPr>
          <w:rFonts w:ascii="Georgia" w:hAnsi="Georgia"/>
        </w:rPr>
        <w:drawing>
          <wp:inline distT="0" distB="0" distL="0" distR="0" wp14:anchorId="43E9A6A6" wp14:editId="11646127">
            <wp:extent cx="7124702" cy="1781175"/>
            <wp:effectExtent l="0" t="0" r="0" b="0"/>
            <wp:docPr id="2037144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44073" name=""/>
                    <pic:cNvPicPr/>
                  </pic:nvPicPr>
                  <pic:blipFill>
                    <a:blip r:embed="rId5"/>
                    <a:stretch>
                      <a:fillRect/>
                    </a:stretch>
                  </pic:blipFill>
                  <pic:spPr>
                    <a:xfrm>
                      <a:off x="0" y="0"/>
                      <a:ext cx="7470152" cy="1867538"/>
                    </a:xfrm>
                    <a:prstGeom prst="rect">
                      <a:avLst/>
                    </a:prstGeom>
                  </pic:spPr>
                </pic:pic>
              </a:graphicData>
            </a:graphic>
          </wp:inline>
        </w:drawing>
      </w:r>
    </w:p>
    <w:p w:rsidR="00514E28" w:rsidRDefault="004E1732" w:rsidP="00DD76C7">
      <w:pPr>
        <w:pStyle w:val="Heading3"/>
        <w:rPr>
          <w:rStyle w:val="Strong"/>
          <w:rFonts w:ascii="Georgia" w:hAnsi="Georgia"/>
        </w:rPr>
      </w:pPr>
      <w:r w:rsidRPr="00514E28">
        <w:rPr>
          <w:rStyle w:val="Strong"/>
          <w:rFonts w:ascii="Georgia" w:hAnsi="Georgia"/>
        </w:rPr>
        <w:t>Figure 1. Field: Amount</w:t>
      </w:r>
    </w:p>
    <w:p w:rsidR="00DD76C7" w:rsidRPr="00514E28" w:rsidRDefault="004E1732" w:rsidP="00DD76C7">
      <w:pPr>
        <w:pStyle w:val="Heading3"/>
        <w:rPr>
          <w:rFonts w:ascii="Georgia" w:hAnsi="Georgia"/>
          <w:b/>
          <w:bCs/>
          <w:color w:val="1F3864" w:themeColor="accent1" w:themeShade="80"/>
        </w:rPr>
      </w:pPr>
      <w:r w:rsidRPr="00514E28">
        <w:rPr>
          <w:rFonts w:ascii="Georgia" w:hAnsi="Georgia"/>
          <w:color w:val="1F3864" w:themeColor="accent1" w:themeShade="80"/>
        </w:rPr>
        <w:t>Distribution of transaction amounts, segmented into normal (≤ $3,000), outlier ($3,000–$50,000), and extreme outlier (&gt; $50,000) transactions.</w:t>
      </w:r>
    </w:p>
    <w:p w:rsidR="00053C99" w:rsidRPr="00DD76C7" w:rsidRDefault="00053C99" w:rsidP="00DD76C7"/>
    <w:tbl>
      <w:tblPr>
        <w:tblStyle w:val="TableGrid"/>
        <w:tblpPr w:leftFromText="180" w:rightFromText="180" w:vertAnchor="text" w:horzAnchor="margin" w:tblpXSpec="center" w:tblpY="23"/>
        <w:tblOverlap w:val="never"/>
        <w:tblW w:w="11113" w:type="dxa"/>
        <w:tblLook w:val="04A0" w:firstRow="1" w:lastRow="0" w:firstColumn="1" w:lastColumn="0" w:noHBand="0" w:noVBand="1"/>
      </w:tblPr>
      <w:tblGrid>
        <w:gridCol w:w="1101"/>
        <w:gridCol w:w="1072"/>
        <w:gridCol w:w="1944"/>
        <w:gridCol w:w="1393"/>
        <w:gridCol w:w="903"/>
        <w:gridCol w:w="903"/>
        <w:gridCol w:w="1284"/>
        <w:gridCol w:w="1743"/>
        <w:gridCol w:w="855"/>
      </w:tblGrid>
      <w:tr w:rsidR="00DD76C7" w:rsidRPr="00DD76C7" w:rsidTr="00514E28">
        <w:trPr>
          <w:trHeight w:val="241"/>
        </w:trPr>
        <w:tc>
          <w:tcPr>
            <w:tcW w:w="1016"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proofErr w:type="spellStart"/>
            <w:r w:rsidRPr="00D63832">
              <w:rPr>
                <w:rFonts w:ascii="Georgia" w:eastAsia="Times New Roman" w:hAnsi="Georgia" w:cs="Calibri"/>
                <w:color w:val="000000"/>
                <w:kern w:val="0"/>
                <w14:ligatures w14:val="none"/>
              </w:rPr>
              <w:t>Recnum</w:t>
            </w:r>
            <w:proofErr w:type="spellEnd"/>
          </w:p>
        </w:tc>
        <w:tc>
          <w:tcPr>
            <w:tcW w:w="1072"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Date</w:t>
            </w:r>
          </w:p>
        </w:tc>
        <w:tc>
          <w:tcPr>
            <w:tcW w:w="1944"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Merch description</w:t>
            </w:r>
          </w:p>
        </w:tc>
        <w:tc>
          <w:tcPr>
            <w:tcW w:w="1393"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proofErr w:type="spellStart"/>
            <w:r w:rsidRPr="00D63832">
              <w:rPr>
                <w:rFonts w:ascii="Georgia" w:eastAsia="Times New Roman" w:hAnsi="Georgia" w:cs="Calibri"/>
                <w:color w:val="000000"/>
                <w:kern w:val="0"/>
                <w14:ligatures w14:val="none"/>
              </w:rPr>
              <w:t>Merchnum</w:t>
            </w:r>
            <w:proofErr w:type="spellEnd"/>
          </w:p>
        </w:tc>
        <w:tc>
          <w:tcPr>
            <w:tcW w:w="903"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Merch state</w:t>
            </w:r>
          </w:p>
        </w:tc>
        <w:tc>
          <w:tcPr>
            <w:tcW w:w="903"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Merch zip</w:t>
            </w:r>
          </w:p>
        </w:tc>
        <w:tc>
          <w:tcPr>
            <w:tcW w:w="1284"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proofErr w:type="spellStart"/>
            <w:r w:rsidRPr="00D63832">
              <w:rPr>
                <w:rFonts w:ascii="Georgia" w:eastAsia="Times New Roman" w:hAnsi="Georgia" w:cs="Calibri"/>
                <w:color w:val="000000"/>
                <w:kern w:val="0"/>
                <w14:ligatures w14:val="none"/>
              </w:rPr>
              <w:t>Transtype</w:t>
            </w:r>
            <w:proofErr w:type="spellEnd"/>
          </w:p>
        </w:tc>
        <w:tc>
          <w:tcPr>
            <w:tcW w:w="1743"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Amount</w:t>
            </w:r>
          </w:p>
        </w:tc>
        <w:tc>
          <w:tcPr>
            <w:tcW w:w="855" w:type="dxa"/>
            <w:noWrap/>
            <w:hideMark/>
          </w:tcPr>
          <w:p w:rsidR="00DD76C7" w:rsidRPr="00D63832" w:rsidRDefault="00DD76C7" w:rsidP="00514E28">
            <w:pPr>
              <w:spacing w:after="240"/>
              <w:jc w:val="center"/>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Fraud</w:t>
            </w:r>
          </w:p>
        </w:tc>
      </w:tr>
      <w:tr w:rsidR="00DD76C7" w:rsidRPr="00DD76C7" w:rsidTr="00514E28">
        <w:trPr>
          <w:trHeight w:val="241"/>
        </w:trPr>
        <w:tc>
          <w:tcPr>
            <w:tcW w:w="1016" w:type="dxa"/>
            <w:noWrap/>
            <w:hideMark/>
          </w:tcPr>
          <w:p w:rsidR="00DD76C7" w:rsidRPr="00D63832" w:rsidRDefault="00DD76C7" w:rsidP="00514E28">
            <w:pPr>
              <w:spacing w:after="240"/>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53492</w:t>
            </w:r>
          </w:p>
        </w:tc>
        <w:tc>
          <w:tcPr>
            <w:tcW w:w="1072" w:type="dxa"/>
            <w:noWrap/>
            <w:hideMark/>
          </w:tcPr>
          <w:p w:rsidR="00DD76C7" w:rsidRPr="00D63832" w:rsidRDefault="00DD76C7" w:rsidP="00514E28">
            <w:pPr>
              <w:spacing w:after="240"/>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7/13/10</w:t>
            </w:r>
          </w:p>
        </w:tc>
        <w:tc>
          <w:tcPr>
            <w:tcW w:w="1944" w:type="dxa"/>
            <w:noWrap/>
            <w:hideMark/>
          </w:tcPr>
          <w:p w:rsidR="00DD76C7" w:rsidRPr="00D63832" w:rsidRDefault="00DD76C7" w:rsidP="00514E28">
            <w:pPr>
              <w:spacing w:after="240"/>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INTERMEXICO</w:t>
            </w:r>
          </w:p>
        </w:tc>
        <w:tc>
          <w:tcPr>
            <w:tcW w:w="1393" w:type="dxa"/>
            <w:noWrap/>
            <w:hideMark/>
          </w:tcPr>
          <w:p w:rsidR="00DD76C7" w:rsidRPr="00D63832" w:rsidRDefault="00DD76C7" w:rsidP="00514E28">
            <w:pPr>
              <w:spacing w:after="240"/>
              <w:rPr>
                <w:rFonts w:ascii="Georgia" w:eastAsia="Times New Roman" w:hAnsi="Georgia" w:cs="Calibri"/>
                <w:color w:val="000000"/>
                <w:kern w:val="0"/>
                <w14:ligatures w14:val="none"/>
              </w:rPr>
            </w:pPr>
          </w:p>
        </w:tc>
        <w:tc>
          <w:tcPr>
            <w:tcW w:w="903" w:type="dxa"/>
            <w:noWrap/>
            <w:hideMark/>
          </w:tcPr>
          <w:p w:rsidR="00DD76C7" w:rsidRPr="00D63832" w:rsidRDefault="00DD76C7" w:rsidP="00514E28">
            <w:pPr>
              <w:spacing w:after="240"/>
              <w:rPr>
                <w:rFonts w:ascii="Georgia" w:eastAsia="Times New Roman" w:hAnsi="Georgia" w:cs="Times New Roman"/>
                <w:kern w:val="0"/>
                <w:sz w:val="20"/>
                <w:szCs w:val="20"/>
                <w14:ligatures w14:val="none"/>
              </w:rPr>
            </w:pPr>
          </w:p>
        </w:tc>
        <w:tc>
          <w:tcPr>
            <w:tcW w:w="903" w:type="dxa"/>
            <w:noWrap/>
            <w:hideMark/>
          </w:tcPr>
          <w:p w:rsidR="00DD76C7" w:rsidRPr="00D63832" w:rsidRDefault="00DD76C7" w:rsidP="00514E28">
            <w:pPr>
              <w:spacing w:after="240"/>
              <w:rPr>
                <w:rFonts w:ascii="Georgia" w:eastAsia="Times New Roman" w:hAnsi="Georgia" w:cs="Times New Roman"/>
                <w:kern w:val="0"/>
                <w:sz w:val="20"/>
                <w:szCs w:val="20"/>
                <w14:ligatures w14:val="none"/>
              </w:rPr>
            </w:pPr>
          </w:p>
        </w:tc>
        <w:tc>
          <w:tcPr>
            <w:tcW w:w="1284" w:type="dxa"/>
            <w:noWrap/>
            <w:hideMark/>
          </w:tcPr>
          <w:p w:rsidR="00DD76C7" w:rsidRPr="00D63832" w:rsidRDefault="00DD76C7" w:rsidP="00514E28">
            <w:pPr>
              <w:spacing w:after="240"/>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P</w:t>
            </w:r>
          </w:p>
        </w:tc>
        <w:tc>
          <w:tcPr>
            <w:tcW w:w="1743" w:type="dxa"/>
            <w:noWrap/>
            <w:hideMark/>
          </w:tcPr>
          <w:p w:rsidR="00DD76C7" w:rsidRPr="00D63832" w:rsidRDefault="00DD76C7" w:rsidP="00514E28">
            <w:pPr>
              <w:spacing w:after="240"/>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$3,102,045.53</w:t>
            </w:r>
          </w:p>
        </w:tc>
        <w:tc>
          <w:tcPr>
            <w:tcW w:w="855" w:type="dxa"/>
            <w:noWrap/>
            <w:hideMark/>
          </w:tcPr>
          <w:p w:rsidR="00DD76C7" w:rsidRPr="00D63832" w:rsidRDefault="00DD76C7" w:rsidP="00514E28">
            <w:pPr>
              <w:spacing w:after="240"/>
              <w:rPr>
                <w:rFonts w:ascii="Georgia" w:eastAsia="Times New Roman" w:hAnsi="Georgia" w:cs="Calibri"/>
                <w:color w:val="000000"/>
                <w:kern w:val="0"/>
                <w14:ligatures w14:val="none"/>
              </w:rPr>
            </w:pPr>
            <w:r w:rsidRPr="00D63832">
              <w:rPr>
                <w:rFonts w:ascii="Georgia" w:eastAsia="Times New Roman" w:hAnsi="Georgia" w:cs="Calibri"/>
                <w:color w:val="000000"/>
                <w:kern w:val="0"/>
                <w14:ligatures w14:val="none"/>
              </w:rPr>
              <w:t>0</w:t>
            </w:r>
          </w:p>
        </w:tc>
      </w:tr>
    </w:tbl>
    <w:p w:rsidR="00514E28" w:rsidRPr="00514E28" w:rsidRDefault="00D63832" w:rsidP="00514E28">
      <w:pPr>
        <w:spacing w:before="240"/>
        <w:rPr>
          <w:rStyle w:val="Strong"/>
          <w:rFonts w:ascii="Georgia" w:hAnsi="Georgia"/>
          <w:b w:val="0"/>
          <w:bCs w:val="0"/>
          <w:color w:val="1F3864" w:themeColor="accent1" w:themeShade="80"/>
        </w:rPr>
      </w:pPr>
      <w:r w:rsidRPr="00DD76C7">
        <w:rPr>
          <w:rFonts w:ascii="Georgia" w:hAnsi="Georgia"/>
          <w:b/>
          <w:bCs/>
          <w:color w:val="1F3864" w:themeColor="accent1" w:themeShade="80"/>
        </w:rPr>
        <w:t xml:space="preserve">Table </w:t>
      </w:r>
      <w:r w:rsidRPr="00DD76C7">
        <w:rPr>
          <w:rFonts w:ascii="Georgia" w:hAnsi="Georgia"/>
          <w:b/>
          <w:bCs/>
          <w:color w:val="1F3864" w:themeColor="accent1" w:themeShade="80"/>
        </w:rPr>
        <w:t>2</w:t>
      </w:r>
      <w:r w:rsidRPr="00DD76C7">
        <w:rPr>
          <w:rFonts w:ascii="Georgia" w:hAnsi="Georgia"/>
          <w:b/>
          <w:bCs/>
          <w:color w:val="1F3864" w:themeColor="accent1" w:themeShade="80"/>
        </w:rPr>
        <w:t>.</w:t>
      </w:r>
      <w:r w:rsidRPr="00DD76C7">
        <w:rPr>
          <w:rFonts w:ascii="Georgia" w:hAnsi="Georgia"/>
          <w:color w:val="1F3864" w:themeColor="accent1" w:themeShade="80"/>
        </w:rPr>
        <w:t xml:space="preserve"> Summary of the transaction with the maximum recorded amount ($3,102,045.53)</w:t>
      </w:r>
      <w:r w:rsidR="00DD76C7">
        <w:rPr>
          <w:rFonts w:ascii="Georgia" w:hAnsi="Georgia"/>
          <w:color w:val="1F3864" w:themeColor="accent1" w:themeShade="80"/>
        </w:rPr>
        <w:t>.</w:t>
      </w:r>
      <w:r w:rsidR="00514E28">
        <w:rPr>
          <w:rFonts w:ascii="Georgia" w:hAnsi="Georgia"/>
          <w:color w:val="1F3864" w:themeColor="accent1" w:themeShade="80"/>
        </w:rPr>
        <w:t xml:space="preserve"> </w:t>
      </w:r>
      <w:r w:rsidRPr="00514E28">
        <w:rPr>
          <w:rFonts w:ascii="Georgia" w:hAnsi="Georgia"/>
          <w:color w:val="1F3864" w:themeColor="accent1" w:themeShade="80"/>
        </w:rPr>
        <w:t>This transaction occurred in July 2010, was not labeled as fraud, and is missing key merchant fields.</w:t>
      </w:r>
    </w:p>
    <w:p w:rsidR="008D23F0" w:rsidRPr="00DD76C7" w:rsidRDefault="008D23F0" w:rsidP="004E1732">
      <w:pPr>
        <w:spacing w:before="100" w:beforeAutospacing="1" w:after="100" w:afterAutospacing="1"/>
        <w:rPr>
          <w:rFonts w:ascii="Georgia" w:hAnsi="Georgia"/>
        </w:rPr>
      </w:pPr>
      <w:r w:rsidRPr="00DD76C7">
        <w:rPr>
          <w:rStyle w:val="Strong"/>
          <w:rFonts w:ascii="Georgia" w:hAnsi="Georgia"/>
        </w:rPr>
        <w:t>Outlier Transaction – Field: Amount</w:t>
      </w:r>
      <w:r w:rsidRPr="00DD76C7">
        <w:rPr>
          <w:rFonts w:ascii="Georgia" w:hAnsi="Georgia"/>
        </w:rPr>
        <w:br/>
        <w:t xml:space="preserve">The transaction with the highest recorded amount ($3,102,046.53) occurred on July 13, 2010 and was associated with the merchant </w:t>
      </w:r>
      <w:r w:rsidRPr="00DD76C7">
        <w:rPr>
          <w:rStyle w:val="HTMLCode"/>
          <w:rFonts w:ascii="Georgia" w:eastAsiaTheme="majorEastAsia" w:hAnsi="Georgia"/>
        </w:rPr>
        <w:t>"INTERMEXICO"</w:t>
      </w:r>
      <w:r w:rsidRPr="00DD76C7">
        <w:rPr>
          <w:rFonts w:ascii="Georgia" w:hAnsi="Georgia"/>
        </w:rPr>
        <w:t>. This transaction was not flagged as fraudulent, but notably, it is missing several key merchant fields (</w:t>
      </w:r>
      <w:proofErr w:type="spellStart"/>
      <w:r w:rsidRPr="00DD76C7">
        <w:rPr>
          <w:rStyle w:val="HTMLCode"/>
          <w:rFonts w:ascii="Georgia" w:eastAsiaTheme="majorEastAsia" w:hAnsi="Georgia"/>
        </w:rPr>
        <w:t>Merchnum</w:t>
      </w:r>
      <w:proofErr w:type="spellEnd"/>
      <w:r w:rsidRPr="00DD76C7">
        <w:rPr>
          <w:rFonts w:ascii="Georgia" w:hAnsi="Georgia"/>
        </w:rPr>
        <w:t xml:space="preserve">, </w:t>
      </w:r>
      <w:r w:rsidRPr="00DD76C7">
        <w:rPr>
          <w:rStyle w:val="HTMLCode"/>
          <w:rFonts w:ascii="Georgia" w:eastAsiaTheme="majorEastAsia" w:hAnsi="Georgia"/>
        </w:rPr>
        <w:t>Merch state</w:t>
      </w:r>
      <w:r w:rsidRPr="00DD76C7">
        <w:rPr>
          <w:rFonts w:ascii="Georgia" w:hAnsi="Georgia"/>
        </w:rPr>
        <w:t xml:space="preserve">, and </w:t>
      </w:r>
      <w:r w:rsidRPr="00DD76C7">
        <w:rPr>
          <w:rStyle w:val="HTMLCode"/>
          <w:rFonts w:ascii="Georgia" w:eastAsiaTheme="majorEastAsia" w:hAnsi="Georgia"/>
        </w:rPr>
        <w:t>Merch zip</w:t>
      </w:r>
      <w:r w:rsidRPr="00DD76C7">
        <w:rPr>
          <w:rFonts w:ascii="Georgia" w:hAnsi="Georgia"/>
        </w:rPr>
        <w:t>). The date falls in mid-summer, consistent with the overall seasonal spike in transaction volume. The incompleteness of this record, despite its unusually high value, may warrant further review.</w:t>
      </w:r>
    </w:p>
    <w:p w:rsidR="00D63832" w:rsidRPr="00DD76C7" w:rsidRDefault="00D63832" w:rsidP="004E1732">
      <w:pPr>
        <w:spacing w:before="100" w:beforeAutospacing="1" w:after="100" w:afterAutospacing="1"/>
        <w:rPr>
          <w:rFonts w:ascii="Georgia" w:hAnsi="Georgia"/>
        </w:rPr>
      </w:pPr>
      <w:r w:rsidRPr="00DD76C7">
        <w:rPr>
          <w:rStyle w:val="Strong"/>
          <w:rFonts w:ascii="Georgia" w:hAnsi="Georgia"/>
        </w:rPr>
        <w:t>Fraud vs. Transaction Amount</w:t>
      </w:r>
      <w:r w:rsidRPr="00DD76C7">
        <w:rPr>
          <w:rFonts w:ascii="Georgia" w:hAnsi="Georgia"/>
        </w:rPr>
        <w:br/>
        <w:t xml:space="preserve">The overall fraud rate in the dataset is 2.53%. However, among transactions greater than $5,000, the fraud rate jumps to 40.45% — more than 16 times higher. This highlights </w:t>
      </w:r>
      <w:r w:rsidRPr="00DD76C7">
        <w:rPr>
          <w:rStyle w:val="HTMLCode"/>
          <w:rFonts w:ascii="Georgia" w:eastAsiaTheme="majorEastAsia" w:hAnsi="Georgia"/>
        </w:rPr>
        <w:t>Amount</w:t>
      </w:r>
      <w:r w:rsidRPr="00DD76C7">
        <w:rPr>
          <w:rFonts w:ascii="Georgia" w:hAnsi="Georgia"/>
        </w:rPr>
        <w:t xml:space="preserve"> as a highly predictive feature and suggests that high-value transactions may be subject to tighter scrutiny or automated risk scoring.</w:t>
      </w:r>
    </w:p>
    <w:p w:rsidR="0064777C" w:rsidRPr="00DD76C7" w:rsidRDefault="0064777C" w:rsidP="00053C99">
      <w:pPr>
        <w:spacing w:before="100" w:beforeAutospacing="1" w:after="100" w:afterAutospacing="1"/>
        <w:jc w:val="center"/>
        <w:rPr>
          <w:rFonts w:ascii="Georgia" w:hAnsi="Georgia"/>
        </w:rPr>
      </w:pPr>
      <w:r w:rsidRPr="00DD76C7">
        <w:rPr>
          <w:rFonts w:ascii="Georgia" w:hAnsi="Georgia"/>
        </w:rPr>
        <w:lastRenderedPageBreak/>
        <w:drawing>
          <wp:inline distT="0" distB="0" distL="0" distR="0" wp14:anchorId="0D022C53" wp14:editId="53C8D3BD">
            <wp:extent cx="4864100" cy="2959100"/>
            <wp:effectExtent l="0" t="0" r="0" b="0"/>
            <wp:docPr id="13757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90855" name=""/>
                    <pic:cNvPicPr/>
                  </pic:nvPicPr>
                  <pic:blipFill>
                    <a:blip r:embed="rId6"/>
                    <a:stretch>
                      <a:fillRect/>
                    </a:stretch>
                  </pic:blipFill>
                  <pic:spPr>
                    <a:xfrm>
                      <a:off x="0" y="0"/>
                      <a:ext cx="4864100" cy="2959100"/>
                    </a:xfrm>
                    <a:prstGeom prst="rect">
                      <a:avLst/>
                    </a:prstGeom>
                  </pic:spPr>
                </pic:pic>
              </a:graphicData>
            </a:graphic>
          </wp:inline>
        </w:drawing>
      </w:r>
    </w:p>
    <w:p w:rsidR="0064777C" w:rsidRPr="00DD76C7" w:rsidRDefault="0064777C" w:rsidP="004E1732">
      <w:pPr>
        <w:spacing w:before="100" w:beforeAutospacing="1" w:after="100" w:afterAutospacing="1"/>
        <w:rPr>
          <w:rFonts w:ascii="Georgia" w:hAnsi="Georgia"/>
        </w:rPr>
      </w:pPr>
      <w:r w:rsidRPr="00514E28">
        <w:rPr>
          <w:rStyle w:val="Strong"/>
          <w:rFonts w:ascii="Georgia" w:hAnsi="Georgia"/>
          <w:color w:val="1F3864" w:themeColor="accent1" w:themeShade="80"/>
        </w:rPr>
        <w:t xml:space="preserve">Figure </w:t>
      </w:r>
      <w:r w:rsidR="00514E28" w:rsidRPr="00514E28">
        <w:rPr>
          <w:rStyle w:val="Strong"/>
          <w:rFonts w:ascii="Georgia" w:hAnsi="Georgia"/>
          <w:color w:val="1F3864" w:themeColor="accent1" w:themeShade="80"/>
        </w:rPr>
        <w:t>2</w:t>
      </w:r>
      <w:r w:rsidRPr="00514E28">
        <w:rPr>
          <w:rStyle w:val="Strong"/>
          <w:rFonts w:ascii="Georgia" w:hAnsi="Georgia"/>
          <w:color w:val="1F3864" w:themeColor="accent1" w:themeShade="80"/>
        </w:rPr>
        <w:t>. Fraud Rate Comparison: Overall vs. High-Value Transactions</w:t>
      </w:r>
      <w:r w:rsidRPr="00DD76C7">
        <w:rPr>
          <w:rFonts w:ascii="Georgia" w:hAnsi="Georgia"/>
        </w:rPr>
        <w:br/>
        <w:t xml:space="preserve">The fraud rate increases sharply for transactions over $5,000, jumping from 2.53% overall to 40.45%. This highlights the </w:t>
      </w:r>
      <w:r w:rsidRPr="00DD76C7">
        <w:rPr>
          <w:rStyle w:val="HTMLCode"/>
          <w:rFonts w:ascii="Georgia" w:eastAsiaTheme="majorEastAsia" w:hAnsi="Georgia"/>
        </w:rPr>
        <w:t>Amount</w:t>
      </w:r>
      <w:r w:rsidRPr="00DD76C7">
        <w:rPr>
          <w:rFonts w:ascii="Georgia" w:hAnsi="Georgia"/>
        </w:rPr>
        <w:t xml:space="preserve"> field as a highly predictive feature and reinforces the importance of value-based thresholds in fraud modeling.</w:t>
      </w:r>
    </w:p>
    <w:p w:rsidR="001A14DE" w:rsidRPr="00DD76C7" w:rsidRDefault="001A14DE" w:rsidP="001A14DE">
      <w:pPr>
        <w:jc w:val="center"/>
        <w:rPr>
          <w:rFonts w:ascii="Georgia" w:hAnsi="Georgia"/>
        </w:rPr>
      </w:pPr>
    </w:p>
    <w:p w:rsidR="00EF5386" w:rsidRPr="00DD76C7" w:rsidRDefault="00EF5386" w:rsidP="001A14DE">
      <w:pPr>
        <w:jc w:val="center"/>
        <w:rPr>
          <w:rFonts w:ascii="Georgia" w:hAnsi="Georgia"/>
          <w:u w:val="single"/>
        </w:rPr>
      </w:pPr>
    </w:p>
    <w:p w:rsidR="00EF5386" w:rsidRPr="00DD76C7" w:rsidRDefault="00EF5386" w:rsidP="001A14DE">
      <w:pPr>
        <w:jc w:val="center"/>
        <w:rPr>
          <w:rFonts w:ascii="Georgia" w:hAnsi="Georgia"/>
          <w:b/>
          <w:bCs/>
          <w:u w:val="single"/>
        </w:rPr>
      </w:pPr>
      <w:r w:rsidRPr="00DD76C7">
        <w:rPr>
          <w:rFonts w:ascii="Georgia" w:hAnsi="Georgia"/>
          <w:b/>
          <w:bCs/>
          <w:u w:val="single"/>
        </w:rPr>
        <w:drawing>
          <wp:inline distT="0" distB="0" distL="0" distR="0" wp14:anchorId="0471B1E1" wp14:editId="76D450EF">
            <wp:extent cx="6858000" cy="3126740"/>
            <wp:effectExtent l="0" t="0" r="0" b="0"/>
            <wp:docPr id="126692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28961" name=""/>
                    <pic:cNvPicPr/>
                  </pic:nvPicPr>
                  <pic:blipFill>
                    <a:blip r:embed="rId7"/>
                    <a:stretch>
                      <a:fillRect/>
                    </a:stretch>
                  </pic:blipFill>
                  <pic:spPr>
                    <a:xfrm>
                      <a:off x="0" y="0"/>
                      <a:ext cx="6858000" cy="3126740"/>
                    </a:xfrm>
                    <a:prstGeom prst="rect">
                      <a:avLst/>
                    </a:prstGeom>
                  </pic:spPr>
                </pic:pic>
              </a:graphicData>
            </a:graphic>
          </wp:inline>
        </w:drawing>
      </w:r>
    </w:p>
    <w:p w:rsidR="003177C2" w:rsidRPr="00DD76C7" w:rsidRDefault="003177C2" w:rsidP="001A14DE">
      <w:pPr>
        <w:jc w:val="center"/>
        <w:rPr>
          <w:rFonts w:ascii="Georgia" w:hAnsi="Georgia"/>
          <w:b/>
          <w:bCs/>
          <w:u w:val="single"/>
        </w:rPr>
      </w:pPr>
    </w:p>
    <w:p w:rsidR="00514E28" w:rsidRDefault="004E1732" w:rsidP="00514E28">
      <w:pPr>
        <w:pStyle w:val="Heading3"/>
        <w:rPr>
          <w:rStyle w:val="Strong"/>
          <w:rFonts w:ascii="Georgia" w:hAnsi="Georgia"/>
        </w:rPr>
      </w:pPr>
      <w:r w:rsidRPr="00514E28">
        <w:rPr>
          <w:rStyle w:val="Strong"/>
          <w:rFonts w:ascii="Georgia" w:hAnsi="Georgia"/>
        </w:rPr>
        <w:t xml:space="preserve">Figure </w:t>
      </w:r>
      <w:r w:rsidR="00514E28">
        <w:rPr>
          <w:rStyle w:val="Strong"/>
          <w:rFonts w:ascii="Georgia" w:hAnsi="Georgia"/>
        </w:rPr>
        <w:t>3</w:t>
      </w:r>
      <w:r w:rsidRPr="00514E28">
        <w:rPr>
          <w:rStyle w:val="Strong"/>
          <w:rFonts w:ascii="Georgia" w:hAnsi="Georgia"/>
        </w:rPr>
        <w:t>. Field: Fraud</w:t>
      </w:r>
    </w:p>
    <w:p w:rsidR="004E1732" w:rsidRPr="00DD76C7" w:rsidRDefault="004E1732" w:rsidP="00514E28">
      <w:pPr>
        <w:pStyle w:val="Heading3"/>
        <w:rPr>
          <w:rFonts w:ascii="Georgia" w:hAnsi="Georgia"/>
        </w:rPr>
      </w:pPr>
      <w:r w:rsidRPr="00DD76C7">
        <w:rPr>
          <w:rFonts w:ascii="Georgia" w:hAnsi="Georgia"/>
        </w:rPr>
        <w:t>Distribution of the Fraud field, showing heavy class imbalance with very few fraudulent transactions (label = 1).</w:t>
      </w:r>
    </w:p>
    <w:p w:rsidR="003177C2" w:rsidRPr="00DD76C7" w:rsidRDefault="003177C2" w:rsidP="001A14DE">
      <w:pPr>
        <w:jc w:val="center"/>
        <w:rPr>
          <w:rFonts w:ascii="Georgia" w:hAnsi="Georgia"/>
          <w:b/>
          <w:bCs/>
          <w:u w:val="single"/>
        </w:rPr>
      </w:pPr>
    </w:p>
    <w:p w:rsidR="00001FF8" w:rsidRPr="00DD76C7" w:rsidRDefault="00001FF8" w:rsidP="001A14DE">
      <w:pPr>
        <w:jc w:val="center"/>
        <w:rPr>
          <w:rFonts w:ascii="Georgia" w:hAnsi="Georgia"/>
          <w:b/>
          <w:bCs/>
          <w:u w:val="single"/>
        </w:rPr>
      </w:pPr>
    </w:p>
    <w:p w:rsidR="00CF7660" w:rsidRPr="00DD76C7" w:rsidRDefault="00CF7660" w:rsidP="001A14DE">
      <w:pPr>
        <w:jc w:val="center"/>
        <w:rPr>
          <w:rFonts w:ascii="Georgia" w:hAnsi="Georgia"/>
          <w:b/>
          <w:bCs/>
          <w:u w:val="single"/>
        </w:rPr>
      </w:pPr>
    </w:p>
    <w:p w:rsidR="001622CA" w:rsidRPr="00DD76C7" w:rsidRDefault="001622CA" w:rsidP="001A14DE">
      <w:pPr>
        <w:jc w:val="center"/>
        <w:rPr>
          <w:rFonts w:ascii="Georgia" w:hAnsi="Georgia"/>
          <w:b/>
          <w:bCs/>
          <w:u w:val="single"/>
        </w:rPr>
      </w:pPr>
    </w:p>
    <w:p w:rsidR="004774E4" w:rsidRPr="00DD76C7" w:rsidRDefault="004774E4" w:rsidP="004E1732">
      <w:pPr>
        <w:pStyle w:val="Heading3"/>
        <w:rPr>
          <w:rStyle w:val="Strong"/>
          <w:rFonts w:ascii="Georgia" w:hAnsi="Georgia"/>
          <w:b w:val="0"/>
          <w:bCs w:val="0"/>
        </w:rPr>
      </w:pPr>
    </w:p>
    <w:p w:rsidR="004774E4" w:rsidRPr="00DD76C7" w:rsidRDefault="004774E4" w:rsidP="00053C99">
      <w:pPr>
        <w:jc w:val="center"/>
        <w:rPr>
          <w:rFonts w:ascii="Georgia" w:hAnsi="Georgia"/>
        </w:rPr>
      </w:pPr>
      <w:r w:rsidRPr="00DD76C7">
        <w:rPr>
          <w:rFonts w:ascii="Georgia" w:hAnsi="Georgia"/>
        </w:rPr>
        <w:drawing>
          <wp:inline distT="0" distB="0" distL="0" distR="0" wp14:anchorId="2BC9BE61" wp14:editId="14872DCF">
            <wp:extent cx="6350000" cy="3175000"/>
            <wp:effectExtent l="0" t="0" r="0" b="0"/>
            <wp:docPr id="30761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14655" name=""/>
                    <pic:cNvPicPr/>
                  </pic:nvPicPr>
                  <pic:blipFill>
                    <a:blip r:embed="rId8"/>
                    <a:stretch>
                      <a:fillRect/>
                    </a:stretch>
                  </pic:blipFill>
                  <pic:spPr>
                    <a:xfrm>
                      <a:off x="0" y="0"/>
                      <a:ext cx="6350000" cy="3175000"/>
                    </a:xfrm>
                    <a:prstGeom prst="rect">
                      <a:avLst/>
                    </a:prstGeom>
                  </pic:spPr>
                </pic:pic>
              </a:graphicData>
            </a:graphic>
          </wp:inline>
        </w:drawing>
      </w:r>
    </w:p>
    <w:p w:rsidR="00514E28" w:rsidRDefault="004E1732" w:rsidP="00514E28">
      <w:pPr>
        <w:pStyle w:val="Heading3"/>
        <w:rPr>
          <w:rStyle w:val="Strong"/>
          <w:rFonts w:ascii="Georgia" w:hAnsi="Georgia"/>
        </w:rPr>
      </w:pPr>
      <w:r w:rsidRPr="00514E28">
        <w:rPr>
          <w:rStyle w:val="Strong"/>
          <w:rFonts w:ascii="Georgia" w:hAnsi="Georgia"/>
        </w:rPr>
        <w:t xml:space="preserve">Figure </w:t>
      </w:r>
      <w:r w:rsidR="00514E28">
        <w:rPr>
          <w:rStyle w:val="Strong"/>
          <w:rFonts w:ascii="Georgia" w:hAnsi="Georgia"/>
        </w:rPr>
        <w:t>4</w:t>
      </w:r>
      <w:r w:rsidRPr="00514E28">
        <w:rPr>
          <w:rStyle w:val="Strong"/>
          <w:rFonts w:ascii="Georgia" w:hAnsi="Georgia"/>
        </w:rPr>
        <w:t xml:space="preserve">. Field: </w:t>
      </w:r>
      <w:proofErr w:type="spellStart"/>
      <w:r w:rsidRPr="00514E28">
        <w:rPr>
          <w:rStyle w:val="Strong"/>
          <w:rFonts w:ascii="Georgia" w:hAnsi="Georgia"/>
        </w:rPr>
        <w:t>Transtype</w:t>
      </w:r>
      <w:proofErr w:type="spellEnd"/>
    </w:p>
    <w:p w:rsidR="004E1732" w:rsidRPr="00DD76C7" w:rsidRDefault="004E1732" w:rsidP="00514E28">
      <w:pPr>
        <w:pStyle w:val="Heading3"/>
        <w:rPr>
          <w:rFonts w:ascii="Georgia" w:hAnsi="Georgia"/>
        </w:rPr>
      </w:pPr>
      <w:r w:rsidRPr="00DD76C7">
        <w:rPr>
          <w:rFonts w:ascii="Georgia" w:hAnsi="Georgia"/>
        </w:rPr>
        <w:t>Distribution of transaction types. Most transactions are type 'P', with very few of other types.</w:t>
      </w:r>
    </w:p>
    <w:p w:rsidR="008229FB" w:rsidRPr="00DD76C7" w:rsidRDefault="008229FB" w:rsidP="001A14DE">
      <w:pPr>
        <w:jc w:val="center"/>
        <w:rPr>
          <w:rFonts w:ascii="Georgia" w:hAnsi="Georgia"/>
          <w:b/>
          <w:bCs/>
          <w:u w:val="single"/>
        </w:rPr>
      </w:pPr>
    </w:p>
    <w:p w:rsidR="008229FB" w:rsidRPr="00DD76C7" w:rsidRDefault="004E1732" w:rsidP="001A14DE">
      <w:pPr>
        <w:jc w:val="center"/>
        <w:rPr>
          <w:rFonts w:ascii="Georgia" w:hAnsi="Georgia"/>
          <w:b/>
          <w:bCs/>
          <w:u w:val="single"/>
        </w:rPr>
      </w:pPr>
      <w:r w:rsidRPr="00DD76C7">
        <w:rPr>
          <w:rFonts w:ascii="Georgia" w:hAnsi="Georgia"/>
          <w:b/>
          <w:bCs/>
          <w:u w:val="single"/>
        </w:rPr>
        <w:drawing>
          <wp:inline distT="0" distB="0" distL="0" distR="0" wp14:anchorId="65D80D51" wp14:editId="2C83DB22">
            <wp:extent cx="6858000" cy="2939415"/>
            <wp:effectExtent l="0" t="0" r="0" b="0"/>
            <wp:docPr id="105256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64354" name=""/>
                    <pic:cNvPicPr/>
                  </pic:nvPicPr>
                  <pic:blipFill>
                    <a:blip r:embed="rId9"/>
                    <a:stretch>
                      <a:fillRect/>
                    </a:stretch>
                  </pic:blipFill>
                  <pic:spPr>
                    <a:xfrm>
                      <a:off x="0" y="0"/>
                      <a:ext cx="6858000" cy="2939415"/>
                    </a:xfrm>
                    <a:prstGeom prst="rect">
                      <a:avLst/>
                    </a:prstGeom>
                  </pic:spPr>
                </pic:pic>
              </a:graphicData>
            </a:graphic>
          </wp:inline>
        </w:drawing>
      </w:r>
    </w:p>
    <w:p w:rsidR="00514E28" w:rsidRDefault="004E1732" w:rsidP="00514E28">
      <w:pPr>
        <w:pStyle w:val="Heading3"/>
        <w:rPr>
          <w:rStyle w:val="Strong"/>
          <w:rFonts w:ascii="Georgia" w:hAnsi="Georgia"/>
        </w:rPr>
      </w:pPr>
      <w:r w:rsidRPr="00514E28">
        <w:rPr>
          <w:rStyle w:val="Strong"/>
          <w:rFonts w:ascii="Georgia" w:hAnsi="Georgia"/>
        </w:rPr>
        <w:t xml:space="preserve">Figure </w:t>
      </w:r>
      <w:r w:rsidR="00514E28">
        <w:rPr>
          <w:rStyle w:val="Strong"/>
          <w:rFonts w:ascii="Georgia" w:hAnsi="Georgia"/>
        </w:rPr>
        <w:t>5</w:t>
      </w:r>
      <w:r w:rsidRPr="00514E28">
        <w:rPr>
          <w:rStyle w:val="Strong"/>
          <w:rFonts w:ascii="Georgia" w:hAnsi="Georgia"/>
        </w:rPr>
        <w:t>. Field: Merch state</w:t>
      </w:r>
    </w:p>
    <w:p w:rsidR="004E1732" w:rsidRPr="00DD76C7" w:rsidRDefault="004E1732" w:rsidP="00514E28">
      <w:pPr>
        <w:pStyle w:val="Heading3"/>
        <w:rPr>
          <w:rFonts w:ascii="Georgia" w:hAnsi="Georgia"/>
        </w:rPr>
      </w:pPr>
      <w:r w:rsidRPr="00DD76C7">
        <w:rPr>
          <w:rFonts w:ascii="Georgia" w:hAnsi="Georgia"/>
        </w:rPr>
        <w:t>Top 20 most frequent merchant states, showing concentration in a few regions like TN, VA, and CA.</w:t>
      </w:r>
    </w:p>
    <w:p w:rsidR="008D23F0" w:rsidRPr="008D23F0" w:rsidRDefault="008D23F0" w:rsidP="008D23F0">
      <w:pPr>
        <w:spacing w:before="100" w:beforeAutospacing="1" w:after="100" w:afterAutospacing="1"/>
        <w:rPr>
          <w:rFonts w:ascii="Georgia" w:hAnsi="Georgia"/>
        </w:rPr>
      </w:pPr>
      <w:r w:rsidRPr="008D23F0">
        <w:rPr>
          <w:rFonts w:ascii="Georgia" w:hAnsi="Georgia"/>
          <w:b/>
          <w:bCs/>
        </w:rPr>
        <w:t>Data Quality Note – Field: Merch state</w:t>
      </w:r>
      <w:r w:rsidRPr="008D23F0">
        <w:rPr>
          <w:rFonts w:ascii="Georgia" w:hAnsi="Georgia"/>
        </w:rPr>
        <w:br/>
        <w:t xml:space="preserve">The Merch state field contains significant data quality issues. Of the entries identified as malformed (i.e., not valid 2-letter U.S. state codes), </w:t>
      </w:r>
      <w:r w:rsidRPr="008D23F0">
        <w:rPr>
          <w:rFonts w:ascii="Georgia" w:hAnsi="Georgia"/>
          <w:b/>
          <w:bCs/>
        </w:rPr>
        <w:t>87% are missing</w:t>
      </w:r>
      <w:r w:rsidRPr="008D23F0">
        <w:rPr>
          <w:rFonts w:ascii="Georgia" w:hAnsi="Georgia"/>
        </w:rPr>
        <w:t xml:space="preserve">, and the remaining </w:t>
      </w:r>
      <w:r w:rsidRPr="008D23F0">
        <w:rPr>
          <w:rFonts w:ascii="Georgia" w:hAnsi="Georgia"/>
          <w:b/>
          <w:bCs/>
        </w:rPr>
        <w:t>168 distinct values</w:t>
      </w:r>
      <w:r w:rsidRPr="008D23F0">
        <w:rPr>
          <w:rFonts w:ascii="Georgia" w:hAnsi="Georgia"/>
        </w:rPr>
        <w:t xml:space="preserve"> include numeric strings such as 696, 610, and 022. These values are not valid state abbreviations and may represent misclassified zip codes or vendor codes. This subset should be cleaned or excluded prior to modeling to ensure the geographic information used is meaningful and reliable.</w:t>
      </w:r>
    </w:p>
    <w:p w:rsidR="008D23F0" w:rsidRPr="00DD76C7" w:rsidRDefault="008D23F0" w:rsidP="00053C99">
      <w:pPr>
        <w:spacing w:before="100" w:beforeAutospacing="1" w:after="100" w:afterAutospacing="1"/>
        <w:jc w:val="center"/>
        <w:rPr>
          <w:rFonts w:ascii="Georgia" w:hAnsi="Georgia"/>
        </w:rPr>
      </w:pPr>
      <w:r w:rsidRPr="00DD76C7">
        <w:rPr>
          <w:rFonts w:ascii="Georgia" w:hAnsi="Georgia"/>
        </w:rPr>
        <w:lastRenderedPageBreak/>
        <w:drawing>
          <wp:inline distT="0" distB="0" distL="0" distR="0" wp14:anchorId="4C070D9C" wp14:editId="545009C9">
            <wp:extent cx="6858000" cy="3313430"/>
            <wp:effectExtent l="0" t="0" r="0" b="1270"/>
            <wp:docPr id="99117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72239" name=""/>
                    <pic:cNvPicPr/>
                  </pic:nvPicPr>
                  <pic:blipFill>
                    <a:blip r:embed="rId10"/>
                    <a:stretch>
                      <a:fillRect/>
                    </a:stretch>
                  </pic:blipFill>
                  <pic:spPr>
                    <a:xfrm>
                      <a:off x="0" y="0"/>
                      <a:ext cx="6858000" cy="3313430"/>
                    </a:xfrm>
                    <a:prstGeom prst="rect">
                      <a:avLst/>
                    </a:prstGeom>
                  </pic:spPr>
                </pic:pic>
              </a:graphicData>
            </a:graphic>
          </wp:inline>
        </w:drawing>
      </w:r>
    </w:p>
    <w:p w:rsidR="00514E28" w:rsidRDefault="008D23F0" w:rsidP="00514E28">
      <w:pPr>
        <w:pStyle w:val="Heading3"/>
        <w:rPr>
          <w:rStyle w:val="Strong"/>
          <w:rFonts w:ascii="Georgia" w:hAnsi="Georgia"/>
        </w:rPr>
      </w:pPr>
      <w:r w:rsidRPr="00514E28">
        <w:rPr>
          <w:rStyle w:val="Strong"/>
          <w:rFonts w:ascii="Georgia" w:hAnsi="Georgia"/>
        </w:rPr>
        <w:t xml:space="preserve">Figure </w:t>
      </w:r>
      <w:r w:rsidR="00514E28">
        <w:rPr>
          <w:rStyle w:val="Strong"/>
          <w:rFonts w:ascii="Georgia" w:hAnsi="Georgia"/>
        </w:rPr>
        <w:t>6</w:t>
      </w:r>
      <w:r w:rsidRPr="00514E28">
        <w:rPr>
          <w:rStyle w:val="Strong"/>
          <w:rFonts w:ascii="Georgia" w:hAnsi="Georgia"/>
        </w:rPr>
        <w:t>. Field: Merch state (Malformed Values)</w:t>
      </w:r>
    </w:p>
    <w:p w:rsidR="008D23F0" w:rsidRPr="00DD76C7" w:rsidRDefault="008D23F0" w:rsidP="00514E28">
      <w:pPr>
        <w:pStyle w:val="Heading3"/>
        <w:rPr>
          <w:rFonts w:ascii="Georgia" w:hAnsi="Georgia"/>
        </w:rPr>
      </w:pPr>
      <w:r w:rsidRPr="00DD76C7">
        <w:rPr>
          <w:rFonts w:ascii="Georgia" w:hAnsi="Georgia"/>
        </w:rPr>
        <w:t xml:space="preserve">Top 10 malformed entries in the </w:t>
      </w:r>
      <w:r w:rsidRPr="00DD76C7">
        <w:rPr>
          <w:rStyle w:val="HTMLCode"/>
          <w:rFonts w:ascii="Georgia" w:eastAsiaTheme="majorEastAsia" w:hAnsi="Georgia"/>
        </w:rPr>
        <w:t>Merch state</w:t>
      </w:r>
      <w:r w:rsidRPr="00DD76C7">
        <w:rPr>
          <w:rFonts w:ascii="Georgia" w:hAnsi="Georgia"/>
        </w:rPr>
        <w:t xml:space="preserve"> field. These values are not valid U.S. state codes and appear to be numeric placeholders or misclassified fields (e.g., vendor codes or truncated zip codes). This subset contains 168 unique values, 87% of which are missing. Cleaning or exclusion is recommended.</w:t>
      </w:r>
    </w:p>
    <w:p w:rsidR="008D23F0" w:rsidRPr="00DD76C7" w:rsidRDefault="008D23F0" w:rsidP="004E1732">
      <w:pPr>
        <w:spacing w:before="100" w:beforeAutospacing="1" w:after="100" w:afterAutospacing="1"/>
        <w:rPr>
          <w:rFonts w:ascii="Georgia" w:hAnsi="Georgia"/>
        </w:rPr>
      </w:pPr>
    </w:p>
    <w:p w:rsidR="008229FB" w:rsidRPr="00DD76C7" w:rsidRDefault="008229FB" w:rsidP="001A14DE">
      <w:pPr>
        <w:jc w:val="center"/>
        <w:rPr>
          <w:rFonts w:ascii="Georgia" w:hAnsi="Georgia"/>
          <w:b/>
          <w:bCs/>
          <w:u w:val="single"/>
        </w:rPr>
      </w:pPr>
    </w:p>
    <w:p w:rsidR="008229FB" w:rsidRPr="00DD76C7" w:rsidRDefault="008229FB" w:rsidP="001A14DE">
      <w:pPr>
        <w:jc w:val="center"/>
        <w:rPr>
          <w:rFonts w:ascii="Georgia" w:hAnsi="Georgia"/>
          <w:b/>
          <w:bCs/>
          <w:u w:val="single"/>
        </w:rPr>
      </w:pPr>
      <w:r w:rsidRPr="00DD76C7">
        <w:rPr>
          <w:rFonts w:ascii="Georgia" w:hAnsi="Georgia"/>
          <w:b/>
          <w:bCs/>
          <w:u w:val="single"/>
        </w:rPr>
        <w:lastRenderedPageBreak/>
        <w:drawing>
          <wp:inline distT="0" distB="0" distL="0" distR="0" wp14:anchorId="5F89B517" wp14:editId="3A69AA5F">
            <wp:extent cx="6858000" cy="4572000"/>
            <wp:effectExtent l="0" t="0" r="0" b="0"/>
            <wp:docPr id="157781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17331" name=""/>
                    <pic:cNvPicPr/>
                  </pic:nvPicPr>
                  <pic:blipFill>
                    <a:blip r:embed="rId11"/>
                    <a:stretch>
                      <a:fillRect/>
                    </a:stretch>
                  </pic:blipFill>
                  <pic:spPr>
                    <a:xfrm>
                      <a:off x="0" y="0"/>
                      <a:ext cx="6858000" cy="4572000"/>
                    </a:xfrm>
                    <a:prstGeom prst="rect">
                      <a:avLst/>
                    </a:prstGeom>
                  </pic:spPr>
                </pic:pic>
              </a:graphicData>
            </a:graphic>
          </wp:inline>
        </w:drawing>
      </w:r>
    </w:p>
    <w:p w:rsidR="00514E28" w:rsidRDefault="004E1732" w:rsidP="00514E28">
      <w:pPr>
        <w:pStyle w:val="Heading3"/>
        <w:rPr>
          <w:rStyle w:val="Strong"/>
          <w:rFonts w:ascii="Georgia" w:hAnsi="Georgia"/>
        </w:rPr>
      </w:pPr>
      <w:r w:rsidRPr="00514E28">
        <w:rPr>
          <w:rStyle w:val="Strong"/>
          <w:rFonts w:ascii="Georgia" w:hAnsi="Georgia"/>
        </w:rPr>
        <w:t xml:space="preserve">Figure </w:t>
      </w:r>
      <w:r w:rsidR="00514E28">
        <w:rPr>
          <w:rStyle w:val="Strong"/>
          <w:rFonts w:ascii="Georgia" w:hAnsi="Georgia"/>
        </w:rPr>
        <w:t>7</w:t>
      </w:r>
      <w:r w:rsidRPr="00514E28">
        <w:rPr>
          <w:rStyle w:val="Strong"/>
          <w:rFonts w:ascii="Georgia" w:hAnsi="Georgia"/>
        </w:rPr>
        <w:t>. Field: Merch description</w:t>
      </w:r>
    </w:p>
    <w:p w:rsidR="004E1732" w:rsidRPr="00DD76C7" w:rsidRDefault="004E1732" w:rsidP="00514E28">
      <w:pPr>
        <w:pStyle w:val="Heading3"/>
        <w:rPr>
          <w:rFonts w:ascii="Georgia" w:hAnsi="Georgia"/>
        </w:rPr>
      </w:pPr>
      <w:r w:rsidRPr="00DD76C7">
        <w:rPr>
          <w:rFonts w:ascii="Georgia" w:hAnsi="Georgia"/>
        </w:rPr>
        <w:t>Top 20 merchant descriptions by transaction count. Most transactions are associated with a small number of high-volume vendors.</w:t>
      </w:r>
    </w:p>
    <w:p w:rsidR="00E57FAE" w:rsidRPr="00DD76C7" w:rsidRDefault="00E57FAE" w:rsidP="00053C99">
      <w:pPr>
        <w:spacing w:before="100" w:beforeAutospacing="1" w:after="100" w:afterAutospacing="1"/>
        <w:jc w:val="center"/>
        <w:rPr>
          <w:rFonts w:ascii="Georgia" w:hAnsi="Georgia"/>
        </w:rPr>
      </w:pPr>
      <w:r w:rsidRPr="00DD76C7">
        <w:rPr>
          <w:rFonts w:ascii="Georgia" w:hAnsi="Georgia"/>
        </w:rPr>
        <w:drawing>
          <wp:inline distT="0" distB="0" distL="0" distR="0" wp14:anchorId="3BB09704" wp14:editId="5D968553">
            <wp:extent cx="6858000" cy="3329305"/>
            <wp:effectExtent l="0" t="0" r="0" b="0"/>
            <wp:docPr id="173609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99820" name=""/>
                    <pic:cNvPicPr/>
                  </pic:nvPicPr>
                  <pic:blipFill>
                    <a:blip r:embed="rId12"/>
                    <a:stretch>
                      <a:fillRect/>
                    </a:stretch>
                  </pic:blipFill>
                  <pic:spPr>
                    <a:xfrm>
                      <a:off x="0" y="0"/>
                      <a:ext cx="6858000" cy="3329305"/>
                    </a:xfrm>
                    <a:prstGeom prst="rect">
                      <a:avLst/>
                    </a:prstGeom>
                  </pic:spPr>
                </pic:pic>
              </a:graphicData>
            </a:graphic>
          </wp:inline>
        </w:drawing>
      </w:r>
    </w:p>
    <w:p w:rsidR="00E57FAE" w:rsidRPr="00514E28" w:rsidRDefault="00E57FAE" w:rsidP="004E1732">
      <w:pPr>
        <w:spacing w:before="100" w:beforeAutospacing="1" w:after="100" w:afterAutospacing="1"/>
        <w:rPr>
          <w:rFonts w:ascii="Georgia" w:hAnsi="Georgia"/>
          <w:b/>
          <w:bCs/>
          <w:color w:val="1F3864" w:themeColor="accent1" w:themeShade="80"/>
        </w:rPr>
      </w:pPr>
      <w:r w:rsidRPr="00514E28">
        <w:rPr>
          <w:rFonts w:ascii="Georgia" w:hAnsi="Georgia"/>
          <w:b/>
          <w:bCs/>
          <w:color w:val="1F3864" w:themeColor="accent1" w:themeShade="80"/>
        </w:rPr>
        <w:t xml:space="preserve">Figure </w:t>
      </w:r>
      <w:r w:rsidR="00514E28" w:rsidRPr="00514E28">
        <w:rPr>
          <w:rFonts w:ascii="Georgia" w:hAnsi="Georgia"/>
          <w:b/>
          <w:bCs/>
          <w:color w:val="1F3864" w:themeColor="accent1" w:themeShade="80"/>
        </w:rPr>
        <w:t>8</w:t>
      </w:r>
      <w:r w:rsidRPr="00514E28">
        <w:rPr>
          <w:rFonts w:ascii="Georgia" w:hAnsi="Georgia"/>
          <w:b/>
          <w:bCs/>
          <w:color w:val="1F3864" w:themeColor="accent1" w:themeShade="80"/>
        </w:rPr>
        <w:t xml:space="preserve">: </w:t>
      </w:r>
      <w:r w:rsidRPr="00514E28">
        <w:rPr>
          <w:rFonts w:ascii="Georgia" w:hAnsi="Georgia"/>
          <w:b/>
          <w:bCs/>
          <w:color w:val="1F3864" w:themeColor="accent1" w:themeShade="80"/>
        </w:rPr>
        <w:t xml:space="preserve">Top 20 merchant zip codes by transaction volume. </w:t>
      </w:r>
    </w:p>
    <w:p w:rsidR="00E57FAE" w:rsidRPr="00DD76C7" w:rsidRDefault="00E57FAE" w:rsidP="004E1732">
      <w:pPr>
        <w:spacing w:before="100" w:beforeAutospacing="1" w:after="100" w:afterAutospacing="1"/>
        <w:rPr>
          <w:rFonts w:ascii="Georgia" w:hAnsi="Georgia"/>
        </w:rPr>
      </w:pPr>
      <w:r w:rsidRPr="00DD76C7">
        <w:rPr>
          <w:rStyle w:val="Strong"/>
          <w:rFonts w:ascii="Georgia" w:hAnsi="Georgia"/>
        </w:rPr>
        <w:lastRenderedPageBreak/>
        <w:t>Field: Merch zip</w:t>
      </w:r>
      <w:r w:rsidRPr="00DD76C7">
        <w:rPr>
          <w:rFonts w:ascii="Georgia" w:hAnsi="Georgia"/>
        </w:rPr>
        <w:br/>
        <w:t xml:space="preserve">The </w:t>
      </w:r>
      <w:proofErr w:type="gramStart"/>
      <w:r w:rsidRPr="00DD76C7">
        <w:rPr>
          <w:rStyle w:val="HTMLCode"/>
          <w:rFonts w:ascii="Georgia" w:eastAsiaTheme="majorEastAsia" w:hAnsi="Georgia"/>
        </w:rPr>
        <w:t>38118</w:t>
      </w:r>
      <w:r w:rsidRPr="00DD76C7">
        <w:rPr>
          <w:rFonts w:ascii="Georgia" w:hAnsi="Georgia"/>
        </w:rPr>
        <w:t xml:space="preserve"> zip</w:t>
      </w:r>
      <w:proofErr w:type="gramEnd"/>
      <w:r w:rsidRPr="00DD76C7">
        <w:rPr>
          <w:rFonts w:ascii="Georgia" w:hAnsi="Georgia"/>
        </w:rPr>
        <w:t xml:space="preserve"> code dominates the transaction volume, with 12,071 transactions, accounting for </w:t>
      </w:r>
      <w:r w:rsidRPr="00DD76C7">
        <w:rPr>
          <w:rStyle w:val="Strong"/>
          <w:rFonts w:ascii="Georgia" w:hAnsi="Georgia"/>
        </w:rPr>
        <w:t>12.9%</w:t>
      </w:r>
      <w:r w:rsidRPr="00DD76C7">
        <w:rPr>
          <w:rFonts w:ascii="Georgia" w:hAnsi="Georgia"/>
        </w:rPr>
        <w:t xml:space="preserve"> of the dataset. The remaining zip codes show much smaller transaction volumes, with the next most frequent being </w:t>
      </w:r>
      <w:r w:rsidRPr="00DD76C7">
        <w:rPr>
          <w:rStyle w:val="HTMLCode"/>
          <w:rFonts w:ascii="Georgia" w:eastAsiaTheme="minorHAnsi" w:hAnsi="Georgia"/>
        </w:rPr>
        <w:t>63103</w:t>
      </w:r>
      <w:r w:rsidRPr="00DD76C7">
        <w:rPr>
          <w:rFonts w:ascii="Georgia" w:hAnsi="Georgia"/>
        </w:rPr>
        <w:t xml:space="preserve"> (1.8%). This is likely due to </w:t>
      </w:r>
      <w:r w:rsidRPr="00DD76C7">
        <w:rPr>
          <w:rStyle w:val="Strong"/>
          <w:rFonts w:ascii="Georgia" w:hAnsi="Georgia"/>
        </w:rPr>
        <w:t>concentration of vendor activity</w:t>
      </w:r>
      <w:r w:rsidRPr="00DD76C7">
        <w:rPr>
          <w:rFonts w:ascii="Georgia" w:hAnsi="Georgia"/>
        </w:rPr>
        <w:t xml:space="preserve"> or a </w:t>
      </w:r>
      <w:r w:rsidRPr="00DD76C7">
        <w:rPr>
          <w:rStyle w:val="Strong"/>
          <w:rFonts w:ascii="Georgia" w:hAnsi="Georgia"/>
        </w:rPr>
        <w:t>centralized processing location</w:t>
      </w:r>
      <w:r w:rsidRPr="00DD76C7">
        <w:rPr>
          <w:rFonts w:ascii="Georgia" w:hAnsi="Georgia"/>
        </w:rPr>
        <w:t xml:space="preserve"> tied to a specific region (e.g., Memphis, TN). This heavy skew should be considered when performing any geographic or transaction pattern analysis, as it may not represent the broader national or regional distribution.</w:t>
      </w:r>
    </w:p>
    <w:p w:rsidR="004E1732" w:rsidRPr="00DD76C7" w:rsidRDefault="004E1732" w:rsidP="00053C99">
      <w:pPr>
        <w:jc w:val="center"/>
        <w:rPr>
          <w:rFonts w:ascii="Georgia" w:hAnsi="Georgia"/>
          <w:b/>
          <w:bCs/>
          <w:u w:val="single"/>
        </w:rPr>
      </w:pPr>
      <w:r w:rsidRPr="00DD76C7">
        <w:rPr>
          <w:rFonts w:ascii="Georgia" w:hAnsi="Georgia"/>
          <w:b/>
          <w:bCs/>
          <w:u w:val="single"/>
        </w:rPr>
        <w:drawing>
          <wp:inline distT="0" distB="0" distL="0" distR="0" wp14:anchorId="20AC1C4F" wp14:editId="05C6B475">
            <wp:extent cx="6858000" cy="2939415"/>
            <wp:effectExtent l="0" t="0" r="0" b="0"/>
            <wp:docPr id="16442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8413" name=""/>
                    <pic:cNvPicPr/>
                  </pic:nvPicPr>
                  <pic:blipFill>
                    <a:blip r:embed="rId13"/>
                    <a:stretch>
                      <a:fillRect/>
                    </a:stretch>
                  </pic:blipFill>
                  <pic:spPr>
                    <a:xfrm>
                      <a:off x="0" y="0"/>
                      <a:ext cx="6858000" cy="2939415"/>
                    </a:xfrm>
                    <a:prstGeom prst="rect">
                      <a:avLst/>
                    </a:prstGeom>
                  </pic:spPr>
                </pic:pic>
              </a:graphicData>
            </a:graphic>
          </wp:inline>
        </w:drawing>
      </w:r>
    </w:p>
    <w:p w:rsidR="00514E28" w:rsidRDefault="004E1732" w:rsidP="00514E28">
      <w:pPr>
        <w:pStyle w:val="Heading3"/>
        <w:rPr>
          <w:rStyle w:val="Strong"/>
          <w:rFonts w:ascii="Georgia" w:hAnsi="Georgia"/>
        </w:rPr>
      </w:pPr>
      <w:r w:rsidRPr="00514E28">
        <w:rPr>
          <w:rStyle w:val="Strong"/>
          <w:rFonts w:ascii="Georgia" w:hAnsi="Georgia"/>
        </w:rPr>
        <w:t xml:space="preserve">Figure </w:t>
      </w:r>
      <w:r w:rsidR="00514E28">
        <w:rPr>
          <w:rStyle w:val="Strong"/>
          <w:rFonts w:ascii="Georgia" w:hAnsi="Georgia"/>
        </w:rPr>
        <w:t>9</w:t>
      </w:r>
      <w:r w:rsidRPr="00514E28">
        <w:rPr>
          <w:rStyle w:val="Strong"/>
          <w:rFonts w:ascii="Georgia" w:hAnsi="Georgia"/>
        </w:rPr>
        <w:t>. Field: Date</w:t>
      </w:r>
    </w:p>
    <w:p w:rsidR="00DD76C7" w:rsidRPr="00DD76C7" w:rsidRDefault="00DD76C7" w:rsidP="00514E28">
      <w:pPr>
        <w:pStyle w:val="Heading3"/>
        <w:rPr>
          <w:rFonts w:ascii="Georgia" w:hAnsi="Georgia"/>
        </w:rPr>
      </w:pPr>
      <w:r w:rsidRPr="00DD76C7">
        <w:rPr>
          <w:rFonts w:ascii="Georgia" w:hAnsi="Georgia"/>
        </w:rPr>
        <w:t>Monthly frequency of transactions with seasonal grouping. Transaction volume peaks in August, consistent with end-of-fiscal-year procurement cycles.</w:t>
      </w:r>
    </w:p>
    <w:p w:rsidR="004774E4" w:rsidRPr="00DD76C7" w:rsidRDefault="004774E4" w:rsidP="008D23F0">
      <w:pPr>
        <w:spacing w:beforeAutospacing="1" w:afterAutospacing="1"/>
        <w:rPr>
          <w:rFonts w:ascii="Georgia" w:hAnsi="Georgia"/>
        </w:rPr>
      </w:pPr>
      <w:r w:rsidRPr="00DD76C7">
        <w:rPr>
          <w:rFonts w:ascii="Georgia" w:hAnsi="Georgia"/>
        </w:rPr>
        <w:t xml:space="preserve">The dataset shows </w:t>
      </w:r>
      <w:r w:rsidRPr="00DD76C7">
        <w:rPr>
          <w:rStyle w:val="Strong"/>
          <w:rFonts w:ascii="Georgia" w:hAnsi="Georgia"/>
        </w:rPr>
        <w:t>continuous daily transaction activity</w:t>
      </w:r>
      <w:r w:rsidRPr="00DD76C7">
        <w:rPr>
          <w:rFonts w:ascii="Georgia" w:hAnsi="Georgia"/>
        </w:rPr>
        <w:t xml:space="preserve"> with </w:t>
      </w:r>
      <w:r w:rsidRPr="00DD76C7">
        <w:rPr>
          <w:rStyle w:val="Strong"/>
          <w:rFonts w:ascii="Georgia" w:hAnsi="Georgia"/>
        </w:rPr>
        <w:t>no gaps</w:t>
      </w:r>
      <w:r w:rsidRPr="00DD76C7">
        <w:rPr>
          <w:rFonts w:ascii="Georgia" w:hAnsi="Georgia"/>
        </w:rPr>
        <w:t>. This suggests that the system records at least one transaction per day, potentially due to automated charges, system pings, or a very active account base.</w:t>
      </w:r>
      <w:r w:rsidRPr="00DD76C7">
        <w:rPr>
          <w:rFonts w:ascii="Georgia" w:hAnsi="Georgia"/>
        </w:rPr>
        <w:t xml:space="preserve"> </w:t>
      </w:r>
      <w:r w:rsidRPr="00DD76C7">
        <w:rPr>
          <w:rFonts w:ascii="Georgia" w:hAnsi="Georgia"/>
        </w:rPr>
        <w:t xml:space="preserve">Transactions are recorded on </w:t>
      </w:r>
      <w:r w:rsidRPr="00DD76C7">
        <w:rPr>
          <w:rStyle w:val="Strong"/>
          <w:rFonts w:ascii="Georgia" w:hAnsi="Georgia"/>
        </w:rPr>
        <w:t>all seven days of the week</w:t>
      </w:r>
      <w:r w:rsidRPr="00DD76C7">
        <w:rPr>
          <w:rFonts w:ascii="Georgia" w:hAnsi="Georgia"/>
        </w:rPr>
        <w:t>, indicating continuous system operation, including weekends. This suggests a mix of automated and business-as-usual processes, with no inactive days across the dataset.</w:t>
      </w:r>
    </w:p>
    <w:p w:rsidR="009322D3" w:rsidRPr="00DD76C7" w:rsidRDefault="009322D3" w:rsidP="009322D3">
      <w:pPr>
        <w:spacing w:beforeAutospacing="1" w:afterAutospacing="1"/>
        <w:rPr>
          <w:rFonts w:ascii="Georgia" w:eastAsia="Times New Roman" w:hAnsi="Georgia" w:cs="Times New Roman"/>
          <w:kern w:val="0"/>
          <w14:ligatures w14:val="none"/>
        </w:rPr>
      </w:pPr>
      <w:r w:rsidRPr="00DD76C7">
        <w:rPr>
          <w:rStyle w:val="Strong"/>
          <w:rFonts w:ascii="Georgia" w:hAnsi="Georgia"/>
        </w:rPr>
        <w:t>Time Component – Field: Date</w:t>
      </w:r>
      <w:r w:rsidRPr="00DD76C7">
        <w:rPr>
          <w:rFonts w:ascii="Georgia" w:hAnsi="Georgia"/>
        </w:rPr>
        <w:br/>
        <w:t xml:space="preserve">All transactions are timestamped at </w:t>
      </w:r>
      <w:r w:rsidRPr="00DD76C7">
        <w:rPr>
          <w:rStyle w:val="HTMLCode"/>
          <w:rFonts w:ascii="Georgia" w:eastAsiaTheme="majorEastAsia" w:hAnsi="Georgia"/>
        </w:rPr>
        <w:t>00:00:00</w:t>
      </w:r>
      <w:r w:rsidRPr="00DD76C7">
        <w:rPr>
          <w:rFonts w:ascii="Georgia" w:hAnsi="Georgia"/>
        </w:rPr>
        <w:t>, indicating that time-of-day data is unavailable. This suggests that either the time was not recorded or was stripped/reset during data processing. As a result, temporal analysis in this dataset is limited to the date level only.</w:t>
      </w:r>
    </w:p>
    <w:p w:rsidR="003F59B7" w:rsidRPr="00DD76C7" w:rsidRDefault="003F59B7" w:rsidP="008D23F0">
      <w:pPr>
        <w:rPr>
          <w:rFonts w:ascii="Georgia" w:hAnsi="Georgia"/>
        </w:rPr>
      </w:pPr>
      <w:r w:rsidRPr="00DD76C7">
        <w:rPr>
          <w:rStyle w:val="Strong"/>
          <w:rFonts w:ascii="Georgia" w:hAnsi="Georgia"/>
        </w:rPr>
        <w:t>Unusual Concentration – Field: Date</w:t>
      </w:r>
      <w:r w:rsidRPr="00DD76C7">
        <w:rPr>
          <w:rFonts w:ascii="Georgia" w:hAnsi="Georgia"/>
        </w:rPr>
        <w:br/>
        <w:t xml:space="preserve">The most common transaction date is </w:t>
      </w:r>
      <w:r w:rsidRPr="00DD76C7">
        <w:rPr>
          <w:rStyle w:val="Strong"/>
          <w:rFonts w:ascii="Georgia" w:hAnsi="Georgia"/>
        </w:rPr>
        <w:t>February 28, 2010</w:t>
      </w:r>
      <w:r w:rsidRPr="00DD76C7">
        <w:rPr>
          <w:rFonts w:ascii="Georgia" w:hAnsi="Georgia"/>
        </w:rPr>
        <w:t xml:space="preserve">, with 691 transactions — approximately </w:t>
      </w:r>
      <w:r w:rsidRPr="00DD76C7">
        <w:rPr>
          <w:rStyle w:val="Strong"/>
          <w:rFonts w:ascii="Georgia" w:hAnsi="Georgia"/>
        </w:rPr>
        <w:t>0.70% of all records</w:t>
      </w:r>
      <w:r w:rsidRPr="00DD76C7">
        <w:rPr>
          <w:rFonts w:ascii="Georgia" w:hAnsi="Georgia"/>
        </w:rPr>
        <w:t xml:space="preserve">. While not far above other high-volume days (e.g., August 10 with 610), the consistency of vendors on this date (e.g., FedEx, Sigma-Aldrich) and the low fraud rate (1%) suggest a potential </w:t>
      </w:r>
      <w:r w:rsidRPr="00DD76C7">
        <w:rPr>
          <w:rStyle w:val="Strong"/>
          <w:rFonts w:ascii="Georgia" w:hAnsi="Georgia"/>
        </w:rPr>
        <w:t>batch posting</w:t>
      </w:r>
      <w:r w:rsidRPr="00DD76C7">
        <w:rPr>
          <w:rFonts w:ascii="Georgia" w:hAnsi="Georgia"/>
        </w:rPr>
        <w:t xml:space="preserve"> or </w:t>
      </w:r>
      <w:r w:rsidRPr="00DD76C7">
        <w:rPr>
          <w:rStyle w:val="Strong"/>
          <w:rFonts w:ascii="Georgia" w:hAnsi="Georgia"/>
        </w:rPr>
        <w:t>end-of-month reconciliation</w:t>
      </w:r>
      <w:r w:rsidRPr="00DD76C7">
        <w:rPr>
          <w:rFonts w:ascii="Georgia" w:hAnsi="Georgia"/>
        </w:rPr>
        <w:t>. This date may act as a placeholder or represent grouped transactions processed on the same day.</w:t>
      </w:r>
    </w:p>
    <w:p w:rsidR="003F59B7" w:rsidRPr="00DD76C7" w:rsidRDefault="003F59B7" w:rsidP="008D23F0">
      <w:pPr>
        <w:spacing w:beforeAutospacing="1" w:afterAutospacing="1"/>
        <w:rPr>
          <w:rFonts w:ascii="Georgia" w:hAnsi="Georgia"/>
        </w:rPr>
      </w:pPr>
      <w:r w:rsidRPr="00DD76C7">
        <w:rPr>
          <w:rStyle w:val="Strong"/>
          <w:rFonts w:ascii="Georgia" w:hAnsi="Georgia"/>
        </w:rPr>
        <w:t>Day-of-Week Pattern – Field: Date</w:t>
      </w:r>
      <w:r w:rsidRPr="00DD76C7">
        <w:rPr>
          <w:rFonts w:ascii="Georgia" w:hAnsi="Georgia"/>
        </w:rPr>
        <w:br/>
        <w:t xml:space="preserve">Among the top transaction days, a clear pattern emerges: </w:t>
      </w:r>
      <w:r w:rsidRPr="00DD76C7">
        <w:rPr>
          <w:rStyle w:val="Strong"/>
          <w:rFonts w:ascii="Georgia" w:hAnsi="Georgia"/>
        </w:rPr>
        <w:t>Tuesdays</w:t>
      </w:r>
      <w:r w:rsidRPr="00DD76C7">
        <w:rPr>
          <w:rFonts w:ascii="Georgia" w:hAnsi="Georgia"/>
        </w:rPr>
        <w:t xml:space="preserve"> are the most frequent transaction day (2,763 records), followed by </w:t>
      </w:r>
      <w:r w:rsidRPr="00DD76C7">
        <w:rPr>
          <w:rStyle w:val="Strong"/>
          <w:rFonts w:ascii="Georgia" w:hAnsi="Georgia"/>
        </w:rPr>
        <w:t>Mondays</w:t>
      </w:r>
      <w:r w:rsidRPr="00DD76C7">
        <w:rPr>
          <w:rFonts w:ascii="Georgia" w:hAnsi="Georgia"/>
        </w:rPr>
        <w:t xml:space="preserve"> and </w:t>
      </w:r>
      <w:r w:rsidRPr="00DD76C7">
        <w:rPr>
          <w:rStyle w:val="Strong"/>
          <w:rFonts w:ascii="Georgia" w:hAnsi="Georgia"/>
        </w:rPr>
        <w:t>Sundays</w:t>
      </w:r>
      <w:r w:rsidRPr="00DD76C7">
        <w:rPr>
          <w:rFonts w:ascii="Georgia" w:hAnsi="Georgia"/>
        </w:rPr>
        <w:t>.</w:t>
      </w:r>
    </w:p>
    <w:p w:rsidR="003F59B7" w:rsidRPr="00DD76C7" w:rsidRDefault="003F59B7" w:rsidP="00053C99">
      <w:pPr>
        <w:spacing w:beforeAutospacing="1" w:afterAutospacing="1"/>
        <w:jc w:val="center"/>
        <w:rPr>
          <w:rFonts w:ascii="Georgia" w:eastAsia="Times New Roman" w:hAnsi="Georgia" w:cs="Times New Roman"/>
          <w:kern w:val="0"/>
          <w14:ligatures w14:val="none"/>
        </w:rPr>
      </w:pPr>
      <w:r w:rsidRPr="00DD76C7">
        <w:rPr>
          <w:rFonts w:ascii="Georgia" w:eastAsia="Times New Roman" w:hAnsi="Georgia" w:cs="Times New Roman"/>
          <w:kern w:val="0"/>
          <w14:ligatures w14:val="none"/>
        </w:rPr>
        <w:lastRenderedPageBreak/>
        <w:drawing>
          <wp:inline distT="0" distB="0" distL="0" distR="0" wp14:anchorId="48B8C0BE" wp14:editId="5BBB1EFB">
            <wp:extent cx="4864100" cy="2959100"/>
            <wp:effectExtent l="0" t="0" r="0" b="0"/>
            <wp:docPr id="201441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19961" name=""/>
                    <pic:cNvPicPr/>
                  </pic:nvPicPr>
                  <pic:blipFill>
                    <a:blip r:embed="rId14"/>
                    <a:stretch>
                      <a:fillRect/>
                    </a:stretch>
                  </pic:blipFill>
                  <pic:spPr>
                    <a:xfrm>
                      <a:off x="0" y="0"/>
                      <a:ext cx="4864100" cy="2959100"/>
                    </a:xfrm>
                    <a:prstGeom prst="rect">
                      <a:avLst/>
                    </a:prstGeom>
                  </pic:spPr>
                </pic:pic>
              </a:graphicData>
            </a:graphic>
          </wp:inline>
        </w:drawing>
      </w:r>
    </w:p>
    <w:p w:rsidR="003F59B7" w:rsidRPr="00DD76C7" w:rsidRDefault="003F59B7" w:rsidP="003F59B7">
      <w:pPr>
        <w:spacing w:beforeAutospacing="1" w:afterAutospacing="1"/>
        <w:rPr>
          <w:rFonts w:ascii="Georgia" w:eastAsia="Times New Roman" w:hAnsi="Georgia" w:cs="Times New Roman"/>
          <w:kern w:val="0"/>
          <w14:ligatures w14:val="none"/>
        </w:rPr>
      </w:pPr>
      <w:r w:rsidRPr="003F59B7">
        <w:rPr>
          <w:rFonts w:ascii="Georgia" w:eastAsia="Times New Roman" w:hAnsi="Georgia" w:cs="Times New Roman"/>
          <w:b/>
          <w:bCs/>
          <w:color w:val="1F3864" w:themeColor="accent1" w:themeShade="80"/>
          <w:kern w:val="0"/>
          <w14:ligatures w14:val="none"/>
        </w:rPr>
        <w:t xml:space="preserve">Figure </w:t>
      </w:r>
      <w:r w:rsidR="00514E28" w:rsidRPr="00514E28">
        <w:rPr>
          <w:rFonts w:ascii="Georgia" w:eastAsia="Times New Roman" w:hAnsi="Georgia" w:cs="Times New Roman"/>
          <w:b/>
          <w:bCs/>
          <w:color w:val="1F3864" w:themeColor="accent1" w:themeShade="80"/>
          <w:kern w:val="0"/>
          <w14:ligatures w14:val="none"/>
        </w:rPr>
        <w:t>10</w:t>
      </w:r>
      <w:r w:rsidRPr="003F59B7">
        <w:rPr>
          <w:rFonts w:ascii="Georgia" w:eastAsia="Times New Roman" w:hAnsi="Georgia" w:cs="Times New Roman"/>
          <w:b/>
          <w:bCs/>
          <w:color w:val="1F3864" w:themeColor="accent1" w:themeShade="80"/>
          <w:kern w:val="0"/>
          <w14:ligatures w14:val="none"/>
        </w:rPr>
        <w:t>. Transaction Volume by Day of Week (Top 10 Transaction Dates)</w:t>
      </w:r>
      <w:r w:rsidRPr="003F59B7">
        <w:rPr>
          <w:rFonts w:ascii="Georgia" w:eastAsia="Times New Roman" w:hAnsi="Georgia" w:cs="Times New Roman"/>
          <w:color w:val="1F3864" w:themeColor="accent1" w:themeShade="80"/>
          <w:kern w:val="0"/>
          <w14:ligatures w14:val="none"/>
        </w:rPr>
        <w:br/>
      </w:r>
      <w:r w:rsidRPr="003F59B7">
        <w:rPr>
          <w:rFonts w:ascii="Georgia" w:eastAsia="Times New Roman" w:hAnsi="Georgia" w:cs="Times New Roman"/>
          <w:kern w:val="0"/>
          <w14:ligatures w14:val="none"/>
        </w:rPr>
        <w:t>Among the top transaction days, most fall on Mondays and Tuesdays. This suggests that transaction activity is concentrated early in the workweek, likely due to batch processing or scheduled uploads following weekends.</w:t>
      </w:r>
    </w:p>
    <w:p w:rsidR="002244D5" w:rsidRPr="00DD76C7" w:rsidRDefault="002244D5" w:rsidP="002244D5">
      <w:pPr>
        <w:jc w:val="center"/>
        <w:rPr>
          <w:rFonts w:ascii="Georgia" w:hAnsi="Georgia"/>
          <w:b/>
          <w:bCs/>
          <w:u w:val="single"/>
        </w:rPr>
      </w:pPr>
    </w:p>
    <w:p w:rsidR="00514E28" w:rsidRDefault="002244D5" w:rsidP="002244D5">
      <w:pPr>
        <w:spacing w:before="100" w:beforeAutospacing="1" w:after="100" w:afterAutospacing="1"/>
        <w:rPr>
          <w:rFonts w:ascii="Georgia" w:eastAsia="Times New Roman" w:hAnsi="Georgia" w:cs="Times New Roman"/>
          <w:kern w:val="0"/>
          <w14:ligatures w14:val="none"/>
        </w:rPr>
      </w:pPr>
      <w:r w:rsidRPr="00DD76C7">
        <w:rPr>
          <w:rFonts w:ascii="Georgia" w:eastAsia="Times New Roman" w:hAnsi="Georgia" w:cs="Times New Roman"/>
          <w:b/>
          <w:bCs/>
          <w:kern w:val="0"/>
          <w14:ligatures w14:val="none"/>
        </w:rPr>
        <w:t>E</w:t>
      </w:r>
      <w:r w:rsidRPr="004E1732">
        <w:rPr>
          <w:rFonts w:ascii="Georgia" w:eastAsia="Times New Roman" w:hAnsi="Georgia" w:cs="Times New Roman"/>
          <w:b/>
          <w:bCs/>
          <w:kern w:val="0"/>
          <w14:ligatures w14:val="none"/>
        </w:rPr>
        <w:t xml:space="preserve">xcluded </w:t>
      </w:r>
      <w:r w:rsidRPr="00DD76C7">
        <w:rPr>
          <w:rFonts w:ascii="Georgia" w:eastAsia="Times New Roman" w:hAnsi="Georgia" w:cs="Times New Roman"/>
          <w:b/>
          <w:bCs/>
          <w:kern w:val="0"/>
          <w14:ligatures w14:val="none"/>
        </w:rPr>
        <w:t>F</w:t>
      </w:r>
      <w:r w:rsidRPr="004E1732">
        <w:rPr>
          <w:rFonts w:ascii="Georgia" w:eastAsia="Times New Roman" w:hAnsi="Georgia" w:cs="Times New Roman"/>
          <w:b/>
          <w:bCs/>
          <w:kern w:val="0"/>
          <w14:ligatures w14:val="none"/>
        </w:rPr>
        <w:t>ields</w:t>
      </w:r>
    </w:p>
    <w:p w:rsidR="002244D5" w:rsidRPr="004E1732" w:rsidRDefault="002244D5" w:rsidP="002244D5">
      <w:pPr>
        <w:spacing w:before="100" w:beforeAutospacing="1" w:after="100" w:afterAutospacing="1"/>
        <w:rPr>
          <w:rFonts w:ascii="Georgia" w:eastAsia="Times New Roman" w:hAnsi="Georgia" w:cs="Times New Roman"/>
          <w:b/>
          <w:bCs/>
          <w:kern w:val="0"/>
          <w14:ligatures w14:val="none"/>
        </w:rPr>
      </w:pPr>
      <w:r w:rsidRPr="004E1732">
        <w:rPr>
          <w:rFonts w:ascii="Georgia" w:eastAsia="Times New Roman" w:hAnsi="Georgia" w:cs="Times New Roman"/>
          <w:kern w:val="0"/>
          <w14:ligatures w14:val="none"/>
        </w:rPr>
        <w:t>The following fields were excluded from distribution plots due to their nature:</w:t>
      </w:r>
    </w:p>
    <w:p w:rsidR="002244D5" w:rsidRPr="004E1732" w:rsidRDefault="002244D5" w:rsidP="002244D5">
      <w:pPr>
        <w:numPr>
          <w:ilvl w:val="0"/>
          <w:numId w:val="1"/>
        </w:numPr>
        <w:spacing w:before="100" w:beforeAutospacing="1" w:after="100" w:afterAutospacing="1"/>
        <w:rPr>
          <w:rFonts w:ascii="Georgia" w:eastAsia="Times New Roman" w:hAnsi="Georgia" w:cs="Times New Roman"/>
          <w:kern w:val="0"/>
          <w14:ligatures w14:val="none"/>
        </w:rPr>
      </w:pPr>
      <w:proofErr w:type="spellStart"/>
      <w:r w:rsidRPr="004E1732">
        <w:rPr>
          <w:rFonts w:ascii="Georgia" w:eastAsia="Times New Roman" w:hAnsi="Georgia" w:cs="Courier New"/>
          <w:kern w:val="0"/>
          <w:sz w:val="20"/>
          <w:szCs w:val="20"/>
          <w14:ligatures w14:val="none"/>
        </w:rPr>
        <w:t>Recnum</w:t>
      </w:r>
      <w:proofErr w:type="spellEnd"/>
      <w:r w:rsidRPr="004E1732">
        <w:rPr>
          <w:rFonts w:ascii="Georgia" w:eastAsia="Times New Roman" w:hAnsi="Georgia" w:cs="Times New Roman"/>
          <w:kern w:val="0"/>
          <w14:ligatures w14:val="none"/>
        </w:rPr>
        <w:t xml:space="preserve">, </w:t>
      </w:r>
      <w:proofErr w:type="spellStart"/>
      <w:r w:rsidRPr="004E1732">
        <w:rPr>
          <w:rFonts w:ascii="Georgia" w:eastAsia="Times New Roman" w:hAnsi="Georgia" w:cs="Courier New"/>
          <w:kern w:val="0"/>
          <w:sz w:val="20"/>
          <w:szCs w:val="20"/>
          <w14:ligatures w14:val="none"/>
        </w:rPr>
        <w:t>Cardnum</w:t>
      </w:r>
      <w:proofErr w:type="spellEnd"/>
      <w:r w:rsidRPr="004E1732">
        <w:rPr>
          <w:rFonts w:ascii="Georgia" w:eastAsia="Times New Roman" w:hAnsi="Georgia" w:cs="Times New Roman"/>
          <w:kern w:val="0"/>
          <w14:ligatures w14:val="none"/>
        </w:rPr>
        <w:t xml:space="preserve">, and </w:t>
      </w:r>
      <w:proofErr w:type="spellStart"/>
      <w:r w:rsidRPr="004E1732">
        <w:rPr>
          <w:rFonts w:ascii="Georgia" w:eastAsia="Times New Roman" w:hAnsi="Georgia" w:cs="Courier New"/>
          <w:kern w:val="0"/>
          <w:sz w:val="20"/>
          <w:szCs w:val="20"/>
          <w14:ligatures w14:val="none"/>
        </w:rPr>
        <w:t>Merchnum</w:t>
      </w:r>
      <w:proofErr w:type="spellEnd"/>
      <w:r w:rsidRPr="004E1732">
        <w:rPr>
          <w:rFonts w:ascii="Georgia" w:eastAsia="Times New Roman" w:hAnsi="Georgia" w:cs="Times New Roman"/>
          <w:kern w:val="0"/>
          <w14:ligatures w14:val="none"/>
        </w:rPr>
        <w:t>: Identifier fields with high cardinality or all-unique values.</w:t>
      </w:r>
    </w:p>
    <w:p w:rsidR="008D23F0" w:rsidRPr="00DD76C7" w:rsidRDefault="008D23F0" w:rsidP="004E1732">
      <w:pPr>
        <w:spacing w:before="100" w:beforeAutospacing="1" w:after="100" w:afterAutospacing="1"/>
        <w:rPr>
          <w:rFonts w:ascii="Georgia" w:hAnsi="Georgia"/>
        </w:rPr>
      </w:pPr>
    </w:p>
    <w:p w:rsidR="004E1732" w:rsidRPr="00DD76C7" w:rsidRDefault="004E1732" w:rsidP="002244D5">
      <w:pPr>
        <w:rPr>
          <w:rFonts w:ascii="Georgia" w:hAnsi="Georgia"/>
          <w:b/>
          <w:bCs/>
          <w:u w:val="single"/>
        </w:rPr>
      </w:pPr>
    </w:p>
    <w:sectPr w:rsidR="004E1732" w:rsidRPr="00DD76C7" w:rsidSect="00D400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8228B"/>
    <w:multiLevelType w:val="multilevel"/>
    <w:tmpl w:val="EB06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43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4B"/>
    <w:rsid w:val="00001FF8"/>
    <w:rsid w:val="00053C99"/>
    <w:rsid w:val="001622CA"/>
    <w:rsid w:val="001A14DE"/>
    <w:rsid w:val="002244D5"/>
    <w:rsid w:val="003177C2"/>
    <w:rsid w:val="003A60F1"/>
    <w:rsid w:val="003F59B7"/>
    <w:rsid w:val="004774E4"/>
    <w:rsid w:val="004E1732"/>
    <w:rsid w:val="00514E28"/>
    <w:rsid w:val="00592B7C"/>
    <w:rsid w:val="0064777C"/>
    <w:rsid w:val="006C6A7E"/>
    <w:rsid w:val="008229FB"/>
    <w:rsid w:val="00864098"/>
    <w:rsid w:val="008664AC"/>
    <w:rsid w:val="008B55C7"/>
    <w:rsid w:val="008D23F0"/>
    <w:rsid w:val="009322D3"/>
    <w:rsid w:val="00B5574B"/>
    <w:rsid w:val="00B717AC"/>
    <w:rsid w:val="00B92EC4"/>
    <w:rsid w:val="00C051B6"/>
    <w:rsid w:val="00CD5B5F"/>
    <w:rsid w:val="00CF7660"/>
    <w:rsid w:val="00D40080"/>
    <w:rsid w:val="00D63832"/>
    <w:rsid w:val="00DD76C7"/>
    <w:rsid w:val="00E57FAE"/>
    <w:rsid w:val="00ED33DF"/>
    <w:rsid w:val="00EF5386"/>
    <w:rsid w:val="00F8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1F5F0"/>
  <w15:chartTrackingRefBased/>
  <w15:docId w15:val="{B93244FF-D505-6E43-AB88-47F1192B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173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14E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574B"/>
    <w:rPr>
      <w:b/>
      <w:bCs/>
    </w:rPr>
  </w:style>
  <w:style w:type="table" w:styleId="GridTable1Light">
    <w:name w:val="Grid Table 1 Light"/>
    <w:basedOn w:val="TableNormal"/>
    <w:uiPriority w:val="46"/>
    <w:rsid w:val="00B5574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664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173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4E1732"/>
    <w:rPr>
      <w:rFonts w:ascii="Courier New" w:eastAsia="Times New Roman" w:hAnsi="Courier New" w:cs="Courier New"/>
      <w:sz w:val="20"/>
      <w:szCs w:val="20"/>
    </w:rPr>
  </w:style>
  <w:style w:type="table" w:styleId="TableGrid">
    <w:name w:val="Table Grid"/>
    <w:basedOn w:val="TableNormal"/>
    <w:uiPriority w:val="39"/>
    <w:rsid w:val="00D63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14E2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14E28"/>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514E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455">
      <w:bodyDiv w:val="1"/>
      <w:marLeft w:val="0"/>
      <w:marRight w:val="0"/>
      <w:marTop w:val="0"/>
      <w:marBottom w:val="0"/>
      <w:divBdr>
        <w:top w:val="none" w:sz="0" w:space="0" w:color="auto"/>
        <w:left w:val="none" w:sz="0" w:space="0" w:color="auto"/>
        <w:bottom w:val="none" w:sz="0" w:space="0" w:color="auto"/>
        <w:right w:val="none" w:sz="0" w:space="0" w:color="auto"/>
      </w:divBdr>
      <w:divsChild>
        <w:div w:id="40515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68382">
      <w:bodyDiv w:val="1"/>
      <w:marLeft w:val="0"/>
      <w:marRight w:val="0"/>
      <w:marTop w:val="0"/>
      <w:marBottom w:val="0"/>
      <w:divBdr>
        <w:top w:val="none" w:sz="0" w:space="0" w:color="auto"/>
        <w:left w:val="none" w:sz="0" w:space="0" w:color="auto"/>
        <w:bottom w:val="none" w:sz="0" w:space="0" w:color="auto"/>
        <w:right w:val="none" w:sz="0" w:space="0" w:color="auto"/>
      </w:divBdr>
      <w:divsChild>
        <w:div w:id="1564214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979452">
      <w:bodyDiv w:val="1"/>
      <w:marLeft w:val="0"/>
      <w:marRight w:val="0"/>
      <w:marTop w:val="0"/>
      <w:marBottom w:val="0"/>
      <w:divBdr>
        <w:top w:val="none" w:sz="0" w:space="0" w:color="auto"/>
        <w:left w:val="none" w:sz="0" w:space="0" w:color="auto"/>
        <w:bottom w:val="none" w:sz="0" w:space="0" w:color="auto"/>
        <w:right w:val="none" w:sz="0" w:space="0" w:color="auto"/>
      </w:divBdr>
      <w:divsChild>
        <w:div w:id="154104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665322">
      <w:bodyDiv w:val="1"/>
      <w:marLeft w:val="0"/>
      <w:marRight w:val="0"/>
      <w:marTop w:val="0"/>
      <w:marBottom w:val="0"/>
      <w:divBdr>
        <w:top w:val="none" w:sz="0" w:space="0" w:color="auto"/>
        <w:left w:val="none" w:sz="0" w:space="0" w:color="auto"/>
        <w:bottom w:val="none" w:sz="0" w:space="0" w:color="auto"/>
        <w:right w:val="none" w:sz="0" w:space="0" w:color="auto"/>
      </w:divBdr>
      <w:divsChild>
        <w:div w:id="19074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667">
      <w:bodyDiv w:val="1"/>
      <w:marLeft w:val="0"/>
      <w:marRight w:val="0"/>
      <w:marTop w:val="0"/>
      <w:marBottom w:val="0"/>
      <w:divBdr>
        <w:top w:val="none" w:sz="0" w:space="0" w:color="auto"/>
        <w:left w:val="none" w:sz="0" w:space="0" w:color="auto"/>
        <w:bottom w:val="none" w:sz="0" w:space="0" w:color="auto"/>
        <w:right w:val="none" w:sz="0" w:space="0" w:color="auto"/>
      </w:divBdr>
      <w:divsChild>
        <w:div w:id="1840656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80367">
      <w:bodyDiv w:val="1"/>
      <w:marLeft w:val="0"/>
      <w:marRight w:val="0"/>
      <w:marTop w:val="0"/>
      <w:marBottom w:val="0"/>
      <w:divBdr>
        <w:top w:val="none" w:sz="0" w:space="0" w:color="auto"/>
        <w:left w:val="none" w:sz="0" w:space="0" w:color="auto"/>
        <w:bottom w:val="none" w:sz="0" w:space="0" w:color="auto"/>
        <w:right w:val="none" w:sz="0" w:space="0" w:color="auto"/>
      </w:divBdr>
    </w:div>
    <w:div w:id="788201711">
      <w:bodyDiv w:val="1"/>
      <w:marLeft w:val="0"/>
      <w:marRight w:val="0"/>
      <w:marTop w:val="0"/>
      <w:marBottom w:val="0"/>
      <w:divBdr>
        <w:top w:val="none" w:sz="0" w:space="0" w:color="auto"/>
        <w:left w:val="none" w:sz="0" w:space="0" w:color="auto"/>
        <w:bottom w:val="none" w:sz="0" w:space="0" w:color="auto"/>
        <w:right w:val="none" w:sz="0" w:space="0" w:color="auto"/>
      </w:divBdr>
    </w:div>
    <w:div w:id="804541311">
      <w:bodyDiv w:val="1"/>
      <w:marLeft w:val="0"/>
      <w:marRight w:val="0"/>
      <w:marTop w:val="0"/>
      <w:marBottom w:val="0"/>
      <w:divBdr>
        <w:top w:val="none" w:sz="0" w:space="0" w:color="auto"/>
        <w:left w:val="none" w:sz="0" w:space="0" w:color="auto"/>
        <w:bottom w:val="none" w:sz="0" w:space="0" w:color="auto"/>
        <w:right w:val="none" w:sz="0" w:space="0" w:color="auto"/>
      </w:divBdr>
    </w:div>
    <w:div w:id="810443260">
      <w:bodyDiv w:val="1"/>
      <w:marLeft w:val="0"/>
      <w:marRight w:val="0"/>
      <w:marTop w:val="0"/>
      <w:marBottom w:val="0"/>
      <w:divBdr>
        <w:top w:val="none" w:sz="0" w:space="0" w:color="auto"/>
        <w:left w:val="none" w:sz="0" w:space="0" w:color="auto"/>
        <w:bottom w:val="none" w:sz="0" w:space="0" w:color="auto"/>
        <w:right w:val="none" w:sz="0" w:space="0" w:color="auto"/>
      </w:divBdr>
      <w:divsChild>
        <w:div w:id="210403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36491">
      <w:bodyDiv w:val="1"/>
      <w:marLeft w:val="0"/>
      <w:marRight w:val="0"/>
      <w:marTop w:val="0"/>
      <w:marBottom w:val="0"/>
      <w:divBdr>
        <w:top w:val="none" w:sz="0" w:space="0" w:color="auto"/>
        <w:left w:val="none" w:sz="0" w:space="0" w:color="auto"/>
        <w:bottom w:val="none" w:sz="0" w:space="0" w:color="auto"/>
        <w:right w:val="none" w:sz="0" w:space="0" w:color="auto"/>
      </w:divBdr>
    </w:div>
    <w:div w:id="1061518443">
      <w:bodyDiv w:val="1"/>
      <w:marLeft w:val="0"/>
      <w:marRight w:val="0"/>
      <w:marTop w:val="0"/>
      <w:marBottom w:val="0"/>
      <w:divBdr>
        <w:top w:val="none" w:sz="0" w:space="0" w:color="auto"/>
        <w:left w:val="none" w:sz="0" w:space="0" w:color="auto"/>
        <w:bottom w:val="none" w:sz="0" w:space="0" w:color="auto"/>
        <w:right w:val="none" w:sz="0" w:space="0" w:color="auto"/>
      </w:divBdr>
      <w:divsChild>
        <w:div w:id="158264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496441">
      <w:bodyDiv w:val="1"/>
      <w:marLeft w:val="0"/>
      <w:marRight w:val="0"/>
      <w:marTop w:val="0"/>
      <w:marBottom w:val="0"/>
      <w:divBdr>
        <w:top w:val="none" w:sz="0" w:space="0" w:color="auto"/>
        <w:left w:val="none" w:sz="0" w:space="0" w:color="auto"/>
        <w:bottom w:val="none" w:sz="0" w:space="0" w:color="auto"/>
        <w:right w:val="none" w:sz="0" w:space="0" w:color="auto"/>
      </w:divBdr>
    </w:div>
    <w:div w:id="1403024249">
      <w:bodyDiv w:val="1"/>
      <w:marLeft w:val="0"/>
      <w:marRight w:val="0"/>
      <w:marTop w:val="0"/>
      <w:marBottom w:val="0"/>
      <w:divBdr>
        <w:top w:val="none" w:sz="0" w:space="0" w:color="auto"/>
        <w:left w:val="none" w:sz="0" w:space="0" w:color="auto"/>
        <w:bottom w:val="none" w:sz="0" w:space="0" w:color="auto"/>
        <w:right w:val="none" w:sz="0" w:space="0" w:color="auto"/>
      </w:divBdr>
    </w:div>
    <w:div w:id="1408922093">
      <w:bodyDiv w:val="1"/>
      <w:marLeft w:val="0"/>
      <w:marRight w:val="0"/>
      <w:marTop w:val="0"/>
      <w:marBottom w:val="0"/>
      <w:divBdr>
        <w:top w:val="none" w:sz="0" w:space="0" w:color="auto"/>
        <w:left w:val="none" w:sz="0" w:space="0" w:color="auto"/>
        <w:bottom w:val="none" w:sz="0" w:space="0" w:color="auto"/>
        <w:right w:val="none" w:sz="0" w:space="0" w:color="auto"/>
      </w:divBdr>
    </w:div>
    <w:div w:id="1641180957">
      <w:bodyDiv w:val="1"/>
      <w:marLeft w:val="0"/>
      <w:marRight w:val="0"/>
      <w:marTop w:val="0"/>
      <w:marBottom w:val="0"/>
      <w:divBdr>
        <w:top w:val="none" w:sz="0" w:space="0" w:color="auto"/>
        <w:left w:val="none" w:sz="0" w:space="0" w:color="auto"/>
        <w:bottom w:val="none" w:sz="0" w:space="0" w:color="auto"/>
        <w:right w:val="none" w:sz="0" w:space="0" w:color="auto"/>
      </w:divBdr>
    </w:div>
    <w:div w:id="1889762640">
      <w:bodyDiv w:val="1"/>
      <w:marLeft w:val="0"/>
      <w:marRight w:val="0"/>
      <w:marTop w:val="0"/>
      <w:marBottom w:val="0"/>
      <w:divBdr>
        <w:top w:val="none" w:sz="0" w:space="0" w:color="auto"/>
        <w:left w:val="none" w:sz="0" w:space="0" w:color="auto"/>
        <w:bottom w:val="none" w:sz="0" w:space="0" w:color="auto"/>
        <w:right w:val="none" w:sz="0" w:space="0" w:color="auto"/>
      </w:divBdr>
      <w:divsChild>
        <w:div w:id="6970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7127209">
      <w:bodyDiv w:val="1"/>
      <w:marLeft w:val="0"/>
      <w:marRight w:val="0"/>
      <w:marTop w:val="0"/>
      <w:marBottom w:val="0"/>
      <w:divBdr>
        <w:top w:val="none" w:sz="0" w:space="0" w:color="auto"/>
        <w:left w:val="none" w:sz="0" w:space="0" w:color="auto"/>
        <w:bottom w:val="none" w:sz="0" w:space="0" w:color="auto"/>
        <w:right w:val="none" w:sz="0" w:space="0" w:color="auto"/>
      </w:divBdr>
      <w:divsChild>
        <w:div w:id="1180777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999">
      <w:bodyDiv w:val="1"/>
      <w:marLeft w:val="0"/>
      <w:marRight w:val="0"/>
      <w:marTop w:val="0"/>
      <w:marBottom w:val="0"/>
      <w:divBdr>
        <w:top w:val="none" w:sz="0" w:space="0" w:color="auto"/>
        <w:left w:val="none" w:sz="0" w:space="0" w:color="auto"/>
        <w:bottom w:val="none" w:sz="0" w:space="0" w:color="auto"/>
        <w:right w:val="none" w:sz="0" w:space="0" w:color="auto"/>
      </w:divBdr>
      <w:divsChild>
        <w:div w:id="132601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3624">
      <w:bodyDiv w:val="1"/>
      <w:marLeft w:val="0"/>
      <w:marRight w:val="0"/>
      <w:marTop w:val="0"/>
      <w:marBottom w:val="0"/>
      <w:divBdr>
        <w:top w:val="none" w:sz="0" w:space="0" w:color="auto"/>
        <w:left w:val="none" w:sz="0" w:space="0" w:color="auto"/>
        <w:bottom w:val="none" w:sz="0" w:space="0" w:color="auto"/>
        <w:right w:val="none" w:sz="0" w:space="0" w:color="auto"/>
      </w:divBdr>
      <w:divsChild>
        <w:div w:id="828597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Unus, Nujoum</dc:creator>
  <cp:keywords/>
  <dc:description/>
  <cp:lastModifiedBy>Unus, Nujoum</cp:lastModifiedBy>
  <cp:revision>4</cp:revision>
  <dcterms:created xsi:type="dcterms:W3CDTF">2025-04-09T03:36:00Z</dcterms:created>
  <dcterms:modified xsi:type="dcterms:W3CDTF">2025-04-09T13:02:00Z</dcterms:modified>
</cp:coreProperties>
</file>