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200"/>
            </w:pPr>
          </w:p>
          <w:p>
            <w:pPr>
              <w:pBdr>
                <w:bottom w:val="single" w:color="529286" w:sz="6" w:space="8"/>
              </w:pBdr>
              <w:spacing w:after="500"/>
              <w:ind w:left="1200" w:right="800"/>
            </w:pPr>
            <w:r>
              <w:rPr>
                <w:rFonts w:ascii="Calibri" w:cs="Nirmala UI" w:eastAsia="Calibri"/>
                <w:color w:val="529286"/>
                <w:spacing w:val="40"/>
                <w:sz w:val="18"/>
                <w:szCs w:val="18"/>
              </w:rPr>
              <w:t xml:space="preserve">P  R  E  O  N  E    E  N  T  E  R  P  R  I  S  E</w:t>
            </w:r>
          </w:p>
          <w:p>
            <w:pPr>
              <w:spacing w:after="100" w:line="828" w:lineRule="atLeast"/>
              <w:ind w:left="1200"/>
            </w:pPr>
            <w:r>
              <w:rPr>
                <w:rFonts w:ascii="Calibri" w:cs="Nirmala UI" w:eastAsia="Calibri"/>
                <w:b/>
                <w:bCs/>
                <w:color w:val="FFFFFF"/>
                <w:sz w:val="72"/>
                <w:szCs w:val="72"/>
              </w:rPr>
              <w:t xml:space="preserve">PreOne Engineering</w:t>
            </w:r>
          </w:p>
          <w:p>
            <w:pPr>
              <w:spacing w:after="300" w:line="828" w:lineRule="atLeast"/>
              <w:ind w:left="1200"/>
            </w:pPr>
            <w:r>
              <w:rPr>
                <w:rFonts w:ascii="Calibri" w:cs="Nirmala UI" w:eastAsia="Calibri"/>
                <w:b/>
                <w:bCs/>
                <w:color w:val="FFFFFF"/>
                <w:sz w:val="72"/>
                <w:szCs w:val="72"/>
              </w:rPr>
              <w:t xml:space="preserve">Standards</w:t>
            </w:r>
          </w:p>
          <w:p>
            <w:pPr>
              <w:spacing w:after="800" w:line="360" w:lineRule="atLeast"/>
              <w:ind w:left="1200"/>
            </w:pPr>
            <w:r>
              <w:rPr>
                <w:rFonts w:ascii="Calibri" w:cs="Nirmala UI" w:eastAsia="Calibri"/>
                <w:color w:val="B0B8C0"/>
                <w:sz w:val="24"/>
                <w:szCs w:val="24"/>
              </w:rPr>
              <w:t xml:space="preserve">Engineering Standards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Document Version: 1.0</w:t>
            </w:r>
          </w:p>
          <w:p>
            <w:pPr>
              <w:pBdr>
                <w:left w:val="single" w:color="529286" w:sz="8" w:space="12"/>
              </w:pBdr>
              <w:spacing w:after="80" w:line="312"/>
              <w:ind w:left="1400"/>
            </w:pPr>
            <w:r>
              <w:rPr>
                <w:rFonts w:ascii="Calibri" w:cs="Nirmala UI" w:eastAsia="Calibri"/>
                <w:color w:val="90989F"/>
                <w:sz w:val="22"/>
                <w:szCs w:val="22"/>
              </w:rPr>
              <w:t xml:space="preserve">Status: Engineering Freeze</w:t>
            </w:r>
          </w:p>
          <w:p>
            <w:pPr>
              <w:pBdr>
                <w:left w:val="single" w:color="529286" w:sz="8" w:space="12"/>
              </w:pBdr>
              <w:spacing w:after="80" w:line="312"/>
              <w:ind w:left="1400"/>
            </w:pPr>
            <w:r>
              <w:rPr>
                <w:rFonts w:ascii="Calibri" w:cs="Nirmala UI" w:eastAsia="Calibri"/>
                <w:color w:val="90989F"/>
                <w:sz w:val="22"/>
                <w:szCs w:val="22"/>
              </w:rPr>
              <w:t xml:space="preserve">Date: 2026-07-13</w:t>
            </w:r>
          </w:p>
          <w:p>
            <w:pPr>
              <w:pBdr>
                <w:left w:val="single" w:color="529286" w:sz="8" w:space="12"/>
              </w:pBdr>
              <w:spacing w:after="80" w:line="312"/>
              <w:ind w:left="1400"/>
            </w:pPr>
            <w:r>
              <w:rPr>
                <w:rFonts w:ascii="Calibri" w:cs="Nirmala UI" w:eastAsia="Calibri"/>
                <w:color w:val="90989F"/>
                <w:sz w:val="22"/>
                <w:szCs w:val="22"/>
              </w:rPr>
              <w:t xml:space="preserve">Product: PreOne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Predecessor: Vision v1.0, ADR v1.0, DDD v1.0, Master PRD v1.0</w:t>
            </w:r>
          </w:p>
          <w:p>
            <w:pPr>
              <w:pBdr>
                <w:left w:val="single" w:color="529286" w:sz="8" w:space="12"/>
              </w:pBdr>
              <w:spacing w:after="80" w:line="312"/>
              <w:ind w:left="1400"/>
            </w:pPr>
            <w:r>
              <w:rPr>
                <w:rFonts w:ascii="Calibri" w:cs="Nirmala UI" w:eastAsia="Calibri"/>
                <w:color w:val="90989F"/>
                <w:sz w:val="22"/>
                <w:szCs w:val="22"/>
              </w:rPr>
              <w:t xml:space="preserve">Successor: Coding Guidelines, CI/CD Pipeline, QA Standards, DevOps Standards</w:t>
            </w:r>
          </w:p>
          <w:p>
            <w:pPr>
              <w:pBdr>
                <w:left w:val="single" w:color="529286" w:sz="8" w:space="12"/>
              </w:pBdr>
              <w:spacing w:after="80" w:line="312"/>
              <w:ind w:left="1400"/>
            </w:pPr>
            <w:r>
              <w:rPr>
                <w:rFonts w:ascii="Calibri" w:cs="Nirmala UI" w:eastAsia="Calibri"/>
                <w:color w:val="90989F"/>
                <w:sz w:val="22"/>
                <w:szCs w:val="22"/>
              </w:rPr>
              <w:t xml:space="preserve">Classification: Internal Engineering Reference</w:t>
            </w:r>
          </w:p>
          <w:p>
            <w:pPr>
              <w:pBdr>
                <w:left w:val="single" w:color="529286" w:sz="8" w:space="12"/>
              </w:pBdr>
              <w:spacing w:after="80" w:line="312"/>
              <w:ind w:left="1400"/>
            </w:pPr>
            <w:r>
              <w:rPr>
                <w:rFonts w:ascii="Calibri" w:cs="Nirmala UI" w:eastAsia="Calibri"/>
                <w:color w:val="90989F"/>
                <w:sz w:val="22"/>
                <w:szCs w:val="22"/>
              </w:rPr>
              <w:t xml:space="preserve">Prepared by: PreOne Architecture &amp; Engineering Team</w:t>
            </w:r>
          </w:p>
          <w:p>
            <w:pPr>
              <w:spacing w:before="2200"/>
            </w:pPr>
          </w:p>
          <w:p>
            <w:pPr>
              <w:pBdr>
                <w:top w:val="single" w:color="529286" w:sz="2" w:space="8"/>
              </w:pBdr>
              <w:spacing w:before="200"/>
              <w:ind w:left="1200" w:right="800"/>
            </w:pPr>
            <w:r>
              <w:rPr>
                <w:rFonts w:ascii="Calibri" w:cs="Nirmala UI" w:eastAsia="Calibri"/>
                <w:color w:val="687078"/>
                <w:sz w:val="16"/>
                <w:szCs w:val="16"/>
              </w:rPr>
              <w:t xml:space="preserve">PreOne Platform</w:t>
            </w:r>
            <w:r>
              <w:t xml:space="preserve">                                        </w:t>
            </w:r>
            <w:r>
              <w:rPr>
                <w:rFonts w:ascii="Calibri" w:cs="Nirmala UI" w:eastAsia="Calibri"/>
                <w:color w:val="687078"/>
                <w:sz w:val="16"/>
                <w:szCs w:val="16"/>
              </w:rPr>
              <w:t xml:space="preserve">ENG v1.0</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cs="Nirmala UI" w:eastAsia="Calibri"/>
          <w:b/>
          <w:bCs/>
          <w:color w:val="0B1C2C"/>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Introduction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Document Purpose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Scope &amp; Applicability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How to Use This Document</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Document Hierarchy</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Standards Series Overview</w:t>
            </w:r>
            <w:r>
              <w:tab/>
            </w:r>
            <w:r>
              <w:fldChar w:fldCharType="begin"/>
            </w:r>
            <w:r>
              <w:instrText xml:space="preserve"> PAGEREF _Toc100005 \h </w:instrText>
            </w:r>
            <w:r>
              <w:fldChar w:fldCharType="separate"/>
            </w:r>
            <w:r>
              <w:t>2</w:t>
            </w:r>
            <w:r>
              <w:fldChar w:fldCharType="end"/>
            </w:r>
          </w:hyperlink>
        </w:p>
        <w:p>
          <w:pPr>
            <w:pStyle w:val="9"/>
            <w:tabs>
              <w:tab w:val="right" w:leader="dot" w:pos="9026"/>
            </w:tabs>
            <w:spacing w:before="120" w:after="60"/>
          </w:pPr>
          <w:hyperlink w:anchor="_Toc100006" w:history="1">
            <w:r>
              <w:rPr>
                <w:rStyle w:val="Hyperlink"/>
              </w:rPr>
              <w:t>ENG-001: Engineering Principles &amp; Architecture Standards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Core Philosophy</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Six Engineering Priorities</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Ten Engineering Rules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Layered Architecture</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Forbidden Architecture Patterns</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Domain-Driven Design Alignment</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Project Structure Standards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Per-Aggregate File Structure</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ENG-002: Coding &amp; Naming Standards</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Language &amp; Framework Stack</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Code Size Limits</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Forbidden Patterns</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Naming Standards</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ESLint Rules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Prettier Configuration</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ENG-003: API &amp; Database Standards</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API Design Principles</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HTTP Methods</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Standard Response Format</w:t>
            </w:r>
            <w:r>
              <w:tab/>
            </w:r>
            <w:r>
              <w:fldChar w:fldCharType="begin"/>
            </w:r>
            <w:r>
              <w:instrText xml:space="preserve"> PAGEREF _Toc100025 \h </w:instrText>
            </w:r>
            <w:r>
              <w:fldChar w:fldCharType="separate"/>
            </w:r>
            <w:r>
              <w:t>10</w:t>
            </w:r>
            <w:r>
              <w:fldChar w:fldCharType="end"/>
            </w:r>
          </w:hyperlink>
        </w:p>
        <w:p>
          <w:pPr>
            <w:pStyle w:val="12"/>
            <w:ind w:left="720"/>
            <w:tabs>
              <w:tab w:val="right" w:leader="dot" w:pos="9026"/>
            </w:tabs>
            <w:spacing w:before="120" w:after="60"/>
          </w:pPr>
          <w:hyperlink w:anchor="_Toc100026" w:history="1">
            <w:r>
              <w:rPr>
                <w:rStyle w:val="Hyperlink"/>
              </w:rPr>
              <w:t>Success Response Example</w:t>
            </w:r>
            <w:r>
              <w:tab/>
            </w:r>
            <w:r>
              <w:fldChar w:fldCharType="begin"/>
            </w:r>
            <w:r>
              <w:instrText xml:space="preserve"> PAGEREF _Toc100026 \h </w:instrText>
            </w:r>
            <w:r>
              <w:fldChar w:fldCharType="separate"/>
            </w:r>
            <w:r>
              <w:t>10</w:t>
            </w:r>
            <w:r>
              <w:fldChar w:fldCharType="end"/>
            </w:r>
          </w:hyperlink>
        </w:p>
        <w:p>
          <w:pPr>
            <w:pStyle w:val="12"/>
            <w:ind w:left="720"/>
            <w:tabs>
              <w:tab w:val="right" w:leader="dot" w:pos="9026"/>
            </w:tabs>
            <w:spacing w:before="120" w:after="60"/>
          </w:pPr>
          <w:hyperlink w:anchor="_Toc100027" w:history="1">
            <w:r>
              <w:rPr>
                <w:rStyle w:val="Hyperlink"/>
              </w:rPr>
              <w:t>Error Response Example</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Error Code Taxonomy</w:t>
            </w:r>
            <w:r>
              <w:tab/>
            </w:r>
            <w:r>
              <w:fldChar w:fldCharType="begin"/>
            </w:r>
            <w:r>
              <w:instrText xml:space="preserve"> PAGEREF _Toc100028 \h </w:instrText>
            </w:r>
            <w:r>
              <w:fldChar w:fldCharType="separate"/>
            </w:r>
            <w:r>
              <w:t>13</w:t>
            </w:r>
            <w:r>
              <w:fldChar w:fldCharType="end"/>
            </w:r>
          </w:hyperlink>
        </w:p>
        <w:p>
          <w:pPr>
            <w:pStyle w:val="11"/>
            <w:ind w:left="360"/>
            <w:tabs>
              <w:tab w:val="right" w:leader="dot" w:pos="9026"/>
            </w:tabs>
            <w:spacing w:before="120" w:after="60"/>
          </w:pPr>
          <w:hyperlink w:anchor="_Toc100029" w:history="1">
            <w:r>
              <w:rPr>
                <w:rStyle w:val="Hyperlink"/>
              </w:rPr>
              <w:t>API Versioning</w:t>
            </w:r>
            <w:r>
              <w:tab/>
            </w:r>
            <w:r>
              <w:fldChar w:fldCharType="begin"/>
            </w:r>
            <w:r>
              <w:instrText xml:space="preserve"> PAGEREF _Toc100029 \h </w:instrText>
            </w:r>
            <w:r>
              <w:fldChar w:fldCharType="separate"/>
            </w:r>
            <w:r>
              <w:t>13</w:t>
            </w:r>
            <w:r>
              <w:fldChar w:fldCharType="end"/>
            </w:r>
          </w:hyperlink>
        </w:p>
        <w:p>
          <w:pPr>
            <w:pStyle w:val="11"/>
            <w:ind w:left="360"/>
            <w:tabs>
              <w:tab w:val="right" w:leader="dot" w:pos="9026"/>
            </w:tabs>
            <w:spacing w:before="120" w:after="60"/>
          </w:pPr>
          <w:hyperlink w:anchor="_Toc100030" w:history="1">
            <w:r>
              <w:rPr>
                <w:rStyle w:val="Hyperlink"/>
              </w:rPr>
              <w:t>Database Standards</w:t>
            </w:r>
            <w:r>
              <w:tab/>
            </w:r>
            <w:r>
              <w:fldChar w:fldCharType="begin"/>
            </w:r>
            <w:r>
              <w:instrText xml:space="preserve"> PAGEREF _Toc100030 \h </w:instrText>
            </w:r>
            <w:r>
              <w:fldChar w:fldCharType="separate"/>
            </w:r>
            <w:r>
              <w:t>13</w:t>
            </w:r>
            <w:r>
              <w:fldChar w:fldCharType="end"/>
            </w:r>
          </w:hyperlink>
        </w:p>
        <w:p>
          <w:pPr>
            <w:pStyle w:val="11"/>
            <w:ind w:left="360"/>
            <w:tabs>
              <w:tab w:val="right" w:leader="dot" w:pos="9026"/>
            </w:tabs>
            <w:spacing w:before="120" w:after="60"/>
          </w:pPr>
          <w:hyperlink w:anchor="_Toc100031" w:history="1">
            <w:r>
              <w:rPr>
                <w:rStyle w:val="Hyperlink"/>
              </w:rPr>
              <w:t>Indexing Standards</w:t>
            </w:r>
            <w:r>
              <w:tab/>
            </w:r>
            <w:r>
              <w:fldChar w:fldCharType="begin"/>
            </w:r>
            <w:r>
              <w:instrText xml:space="preserve"> PAGEREF _Toc100031 \h </w:instrText>
            </w:r>
            <w:r>
              <w:fldChar w:fldCharType="separate"/>
            </w:r>
            <w:r>
              <w:t>14</w:t>
            </w:r>
            <w:r>
              <w:fldChar w:fldCharType="end"/>
            </w:r>
          </w:hyperlink>
        </w:p>
        <w:p>
          <w:pPr>
            <w:pStyle w:val="11"/>
            <w:ind w:left="360"/>
            <w:tabs>
              <w:tab w:val="right" w:leader="dot" w:pos="9026"/>
            </w:tabs>
            <w:spacing w:before="120" w:after="60"/>
          </w:pPr>
          <w:hyperlink w:anchor="_Toc100032" w:history="1">
            <w:r>
              <w:rPr>
                <w:rStyle w:val="Hyperlink"/>
              </w:rPr>
              <w:t>Migration Standards</w:t>
            </w:r>
            <w:r>
              <w:tab/>
            </w:r>
            <w:r>
              <w:fldChar w:fldCharType="begin"/>
            </w:r>
            <w:r>
              <w:instrText xml:space="preserve"> PAGEREF _Toc100032 \h </w:instrText>
            </w:r>
            <w:r>
              <w:fldChar w:fldCharType="separate"/>
            </w:r>
            <w:r>
              <w:t>14</w:t>
            </w:r>
            <w:r>
              <w:fldChar w:fldCharType="end"/>
            </w:r>
          </w:hyperlink>
        </w:p>
        <w:p>
          <w:pPr>
            <w:pStyle w:val="9"/>
            <w:tabs>
              <w:tab w:val="right" w:leader="dot" w:pos="9026"/>
            </w:tabs>
            <w:spacing w:before="120" w:after="60"/>
          </w:pPr>
          <w:hyperlink w:anchor="_Toc100033" w:history="1">
            <w:r>
              <w:rPr>
                <w:rStyle w:val="Hyperlink"/>
              </w:rPr>
              <w:t>ENG-004: Security Engineering Standards</w:t>
            </w:r>
            <w:r>
              <w:tab/>
            </w:r>
            <w:r>
              <w:fldChar w:fldCharType="begin"/>
            </w:r>
            <w:r>
              <w:instrText xml:space="preserve"> PAGEREF _Toc100033 \h </w:instrText>
            </w:r>
            <w:r>
              <w:fldChar w:fldCharType="separate"/>
            </w:r>
            <w:r>
              <w:t>15</w:t>
            </w:r>
            <w:r>
              <w:fldChar w:fldCharType="end"/>
            </w:r>
          </w:hyperlink>
        </w:p>
        <w:p>
          <w:pPr>
            <w:pStyle w:val="11"/>
            <w:ind w:left="360"/>
            <w:tabs>
              <w:tab w:val="right" w:leader="dot" w:pos="9026"/>
            </w:tabs>
            <w:spacing w:before="120" w:after="60"/>
          </w:pPr>
          <w:hyperlink w:anchor="_Toc100034" w:history="1">
            <w:r>
              <w:rPr>
                <w:rStyle w:val="Hyperlink"/>
              </w:rPr>
              <w:t>Authentication Standards</w:t>
            </w:r>
            <w:r>
              <w:tab/>
            </w:r>
            <w:r>
              <w:fldChar w:fldCharType="begin"/>
            </w:r>
            <w:r>
              <w:instrText xml:space="preserve"> PAGEREF _Toc100034 \h </w:instrText>
            </w:r>
            <w:r>
              <w:fldChar w:fldCharType="separate"/>
            </w:r>
            <w:r>
              <w:t>15</w:t>
            </w:r>
            <w:r>
              <w:fldChar w:fldCharType="end"/>
            </w:r>
          </w:hyperlink>
        </w:p>
        <w:p>
          <w:pPr>
            <w:pStyle w:val="11"/>
            <w:ind w:left="360"/>
            <w:tabs>
              <w:tab w:val="right" w:leader="dot" w:pos="9026"/>
            </w:tabs>
            <w:spacing w:before="120" w:after="60"/>
          </w:pPr>
          <w:hyperlink w:anchor="_Toc100035" w:history="1">
            <w:r>
              <w:rPr>
                <w:rStyle w:val="Hyperlink"/>
              </w:rPr>
              <w:t>Authorization Standards</w:t>
            </w:r>
            <w:r>
              <w:tab/>
            </w:r>
            <w:r>
              <w:fldChar w:fldCharType="begin"/>
            </w:r>
            <w:r>
              <w:instrText xml:space="preserve"> PAGEREF _Toc100035 \h </w:instrText>
            </w:r>
            <w:r>
              <w:fldChar w:fldCharType="separate"/>
            </w:r>
            <w:r>
              <w:t>16</w:t>
            </w:r>
            <w:r>
              <w:fldChar w:fldCharType="end"/>
            </w:r>
          </w:hyperlink>
        </w:p>
        <w:p>
          <w:pPr>
            <w:pStyle w:val="11"/>
            <w:ind w:left="360"/>
            <w:tabs>
              <w:tab w:val="right" w:leader="dot" w:pos="9026"/>
            </w:tabs>
            <w:spacing w:before="120" w:after="60"/>
          </w:pPr>
          <w:hyperlink w:anchor="_Toc100036" w:history="1">
            <w:r>
              <w:rPr>
                <w:rStyle w:val="Hyperlink"/>
              </w:rPr>
              <w:t>Secrets Management</w:t>
            </w:r>
            <w:r>
              <w:tab/>
            </w:r>
            <w:r>
              <w:fldChar w:fldCharType="begin"/>
            </w:r>
            <w:r>
              <w:instrText xml:space="preserve"> PAGEREF _Toc100036 \h </w:instrText>
            </w:r>
            <w:r>
              <w:fldChar w:fldCharType="separate"/>
            </w:r>
            <w:r>
              <w:t>16</w:t>
            </w:r>
            <w:r>
              <w:fldChar w:fldCharType="end"/>
            </w:r>
          </w:hyperlink>
        </w:p>
        <w:p>
          <w:pPr>
            <w:pStyle w:val="11"/>
            <w:ind w:left="360"/>
            <w:tabs>
              <w:tab w:val="right" w:leader="dot" w:pos="9026"/>
            </w:tabs>
            <w:spacing w:before="120" w:after="60"/>
          </w:pPr>
          <w:hyperlink w:anchor="_Toc100037" w:history="1">
            <w:r>
              <w:rPr>
                <w:rStyle w:val="Hyperlink"/>
              </w:rPr>
              <w:t>Encryption Standards</w:t>
            </w:r>
            <w:r>
              <w:tab/>
            </w:r>
            <w:r>
              <w:fldChar w:fldCharType="begin"/>
            </w:r>
            <w:r>
              <w:instrText xml:space="preserve"> PAGEREF _Toc100037 \h </w:instrText>
            </w:r>
            <w:r>
              <w:fldChar w:fldCharType="separate"/>
            </w:r>
            <w:r>
              <w:t>16</w:t>
            </w:r>
            <w:r>
              <w:fldChar w:fldCharType="end"/>
            </w:r>
          </w:hyperlink>
        </w:p>
        <w:p>
          <w:pPr>
            <w:pStyle w:val="11"/>
            <w:ind w:left="360"/>
            <w:tabs>
              <w:tab w:val="right" w:leader="dot" w:pos="9026"/>
            </w:tabs>
            <w:spacing w:before="120" w:after="60"/>
          </w:pPr>
          <w:hyperlink w:anchor="_Toc100038" w:history="1">
            <w:r>
              <w:rPr>
                <w:rStyle w:val="Hyperlink"/>
              </w:rPr>
              <w:t>HTTP Security Headers</w:t>
            </w:r>
            <w:r>
              <w:tab/>
            </w:r>
            <w:r>
              <w:fldChar w:fldCharType="begin"/>
            </w:r>
            <w:r>
              <w:instrText xml:space="preserve"> PAGEREF _Toc100038 \h </w:instrText>
            </w:r>
            <w:r>
              <w:fldChar w:fldCharType="separate"/>
            </w:r>
            <w:r>
              <w:t>16</w:t>
            </w:r>
            <w:r>
              <w:fldChar w:fldCharType="end"/>
            </w:r>
          </w:hyperlink>
        </w:p>
        <w:p>
          <w:pPr>
            <w:pStyle w:val="11"/>
            <w:ind w:left="360"/>
            <w:tabs>
              <w:tab w:val="right" w:leader="dot" w:pos="9026"/>
            </w:tabs>
            <w:spacing w:before="120" w:after="60"/>
          </w:pPr>
          <w:hyperlink w:anchor="_Toc100039" w:history="1">
            <w:r>
              <w:rPr>
                <w:rStyle w:val="Hyperlink"/>
              </w:rPr>
              <w:t>Input Protection</w:t>
            </w:r>
            <w:r>
              <w:tab/>
            </w:r>
            <w:r>
              <w:fldChar w:fldCharType="begin"/>
            </w:r>
            <w:r>
              <w:instrText xml:space="preserve"> PAGEREF _Toc100039 \h </w:instrText>
            </w:r>
            <w:r>
              <w:fldChar w:fldCharType="separate"/>
            </w:r>
            <w:r>
              <w:t>17</w:t>
            </w:r>
            <w:r>
              <w:fldChar w:fldCharType="end"/>
            </w:r>
          </w:hyperlink>
        </w:p>
        <w:p>
          <w:pPr>
            <w:pStyle w:val="11"/>
            <w:ind w:left="360"/>
            <w:tabs>
              <w:tab w:val="right" w:leader="dot" w:pos="9026"/>
            </w:tabs>
            <w:spacing w:before="120" w:after="60"/>
          </w:pPr>
          <w:hyperlink w:anchor="_Toc100040" w:history="1">
            <w:r>
              <w:rPr>
                <w:rStyle w:val="Hyperlink"/>
              </w:rPr>
              <w:t>Audit Logging</w:t>
            </w:r>
            <w:r>
              <w:tab/>
            </w:r>
            <w:r>
              <w:fldChar w:fldCharType="begin"/>
            </w:r>
            <w:r>
              <w:instrText xml:space="preserve"> PAGEREF _Toc100040 \h </w:instrText>
            </w:r>
            <w:r>
              <w:fldChar w:fldCharType="separate"/>
            </w:r>
            <w:r>
              <w:t>17</w:t>
            </w:r>
            <w:r>
              <w:fldChar w:fldCharType="end"/>
            </w:r>
          </w:hyperlink>
        </w:p>
        <w:p>
          <w:pPr>
            <w:pStyle w:val="11"/>
            <w:ind w:left="360"/>
            <w:tabs>
              <w:tab w:val="right" w:leader="dot" w:pos="9026"/>
            </w:tabs>
            <w:spacing w:before="120" w:after="60"/>
          </w:pPr>
          <w:hyperlink w:anchor="_Toc100041" w:history="1">
            <w:r>
              <w:rPr>
                <w:rStyle w:val="Hyperlink"/>
              </w:rPr>
              <w:t>Secure Development Lifecycle (SDL)</w:t>
            </w:r>
            <w:r>
              <w:tab/>
            </w:r>
            <w:r>
              <w:fldChar w:fldCharType="begin"/>
            </w:r>
            <w:r>
              <w:instrText xml:space="preserve"> PAGEREF _Toc100041 \h </w:instrText>
            </w:r>
            <w:r>
              <w:fldChar w:fldCharType="separate"/>
            </w:r>
            <w:r>
              <w:t>17</w:t>
            </w:r>
            <w:r>
              <w:fldChar w:fldCharType="end"/>
            </w:r>
          </w:hyperlink>
        </w:p>
        <w:p>
          <w:pPr>
            <w:pStyle w:val="9"/>
            <w:tabs>
              <w:tab w:val="right" w:leader="dot" w:pos="9026"/>
            </w:tabs>
            <w:spacing w:before="120" w:after="60"/>
          </w:pPr>
          <w:hyperlink w:anchor="_Toc100042" w:history="1">
            <w:r>
              <w:rPr>
                <w:rStyle w:val="Hyperlink"/>
              </w:rPr>
              <w:t>ENG-005: Logging &amp; Observability Standards</w:t>
            </w:r>
            <w:r>
              <w:tab/>
            </w:r>
            <w:r>
              <w:fldChar w:fldCharType="begin"/>
            </w:r>
            <w:r>
              <w:instrText xml:space="preserve"> PAGEREF _Toc100042 \h </w:instrText>
            </w:r>
            <w:r>
              <w:fldChar w:fldCharType="separate"/>
            </w:r>
            <w:r>
              <w:t>18</w:t>
            </w:r>
            <w:r>
              <w:fldChar w:fldCharType="end"/>
            </w:r>
          </w:hyperlink>
        </w:p>
        <w:p>
          <w:pPr>
            <w:pStyle w:val="11"/>
            <w:ind w:left="360"/>
            <w:tabs>
              <w:tab w:val="right" w:leader="dot" w:pos="9026"/>
            </w:tabs>
            <w:spacing w:before="120" w:after="60"/>
          </w:pPr>
          <w:hyperlink w:anchor="_Toc100043" w:history="1">
            <w:r>
              <w:rPr>
                <w:rStyle w:val="Hyperlink"/>
              </w:rPr>
              <w:t>Log Levels</w:t>
            </w:r>
            <w:r>
              <w:tab/>
            </w:r>
            <w:r>
              <w:fldChar w:fldCharType="begin"/>
            </w:r>
            <w:r>
              <w:instrText xml:space="preserve"> PAGEREF _Toc100043 \h </w:instrText>
            </w:r>
            <w:r>
              <w:fldChar w:fldCharType="separate"/>
            </w:r>
            <w:r>
              <w:t>18</w:t>
            </w:r>
            <w:r>
              <w:fldChar w:fldCharType="end"/>
            </w:r>
          </w:hyperlink>
        </w:p>
        <w:p>
          <w:pPr>
            <w:pStyle w:val="11"/>
            <w:ind w:left="360"/>
            <w:tabs>
              <w:tab w:val="right" w:leader="dot" w:pos="9026"/>
            </w:tabs>
            <w:spacing w:before="120" w:after="60"/>
          </w:pPr>
          <w:hyperlink w:anchor="_Toc100044" w:history="1">
            <w:r>
              <w:rPr>
                <w:rStyle w:val="Hyperlink"/>
              </w:rPr>
              <w:t>Mandatory Request Fields</w:t>
            </w:r>
            <w:r>
              <w:tab/>
            </w:r>
            <w:r>
              <w:fldChar w:fldCharType="begin"/>
            </w:r>
            <w:r>
              <w:instrText xml:space="preserve"> PAGEREF _Toc100044 \h </w:instrText>
            </w:r>
            <w:r>
              <w:fldChar w:fldCharType="separate"/>
            </w:r>
            <w:r>
              <w:t>18</w:t>
            </w:r>
            <w:r>
              <w:fldChar w:fldCharType="end"/>
            </w:r>
          </w:hyperlink>
        </w:p>
        <w:p>
          <w:pPr>
            <w:pStyle w:val="11"/>
            <w:ind w:left="360"/>
            <w:tabs>
              <w:tab w:val="right" w:leader="dot" w:pos="9026"/>
            </w:tabs>
            <w:spacing w:before="120" w:after="60"/>
          </w:pPr>
          <w:hyperlink w:anchor="_Toc100045" w:history="1">
            <w:r>
              <w:rPr>
                <w:rStyle w:val="Hyperlink"/>
              </w:rPr>
              <w:t>Never Log These</w:t>
            </w:r>
            <w:r>
              <w:tab/>
            </w:r>
            <w:r>
              <w:fldChar w:fldCharType="begin"/>
            </w:r>
            <w:r>
              <w:instrText xml:space="preserve"> PAGEREF _Toc100045 \h </w:instrText>
            </w:r>
            <w:r>
              <w:fldChar w:fldCharType="separate"/>
            </w:r>
            <w:r>
              <w:t>18</w:t>
            </w:r>
            <w:r>
              <w:fldChar w:fldCharType="end"/>
            </w:r>
          </w:hyperlink>
        </w:p>
        <w:p>
          <w:pPr>
            <w:pStyle w:val="11"/>
            <w:ind w:left="360"/>
            <w:tabs>
              <w:tab w:val="right" w:leader="dot" w:pos="9026"/>
            </w:tabs>
            <w:spacing w:before="120" w:after="60"/>
          </w:pPr>
          <w:hyperlink w:anchor="_Toc100046" w:history="1">
            <w:r>
              <w:rPr>
                <w:rStyle w:val="Hyperlink"/>
              </w:rPr>
              <w:t>Structured Log Format</w:t>
            </w:r>
            <w:r>
              <w:tab/>
            </w:r>
            <w:r>
              <w:fldChar w:fldCharType="begin"/>
            </w:r>
            <w:r>
              <w:instrText xml:space="preserve"> PAGEREF _Toc100046 \h </w:instrText>
            </w:r>
            <w:r>
              <w:fldChar w:fldCharType="separate"/>
            </w:r>
            <w:r>
              <w:t>20</w:t>
            </w:r>
            <w:r>
              <w:fldChar w:fldCharType="end"/>
            </w:r>
          </w:hyperlink>
        </w:p>
        <w:p>
          <w:pPr>
            <w:pStyle w:val="11"/>
            <w:ind w:left="360"/>
            <w:tabs>
              <w:tab w:val="right" w:leader="dot" w:pos="9026"/>
            </w:tabs>
            <w:spacing w:before="120" w:after="60"/>
          </w:pPr>
          <w:hyperlink w:anchor="_Toc100047" w:history="1">
            <w:r>
              <w:rPr>
                <w:rStyle w:val="Hyperlink"/>
              </w:rPr>
              <w:t>Metrics Standards</w:t>
            </w:r>
            <w:r>
              <w:tab/>
            </w:r>
            <w:r>
              <w:fldChar w:fldCharType="begin"/>
            </w:r>
            <w:r>
              <w:instrText xml:space="preserve"> PAGEREF _Toc100047 \h </w:instrText>
            </w:r>
            <w:r>
              <w:fldChar w:fldCharType="separate"/>
            </w:r>
            <w:r>
              <w:t>22</w:t>
            </w:r>
            <w:r>
              <w:fldChar w:fldCharType="end"/>
            </w:r>
          </w:hyperlink>
        </w:p>
        <w:p>
          <w:pPr>
            <w:pStyle w:val="11"/>
            <w:ind w:left="360"/>
            <w:tabs>
              <w:tab w:val="right" w:leader="dot" w:pos="9026"/>
            </w:tabs>
            <w:spacing w:before="120" w:after="60"/>
          </w:pPr>
          <w:hyperlink w:anchor="_Toc100048" w:history="1">
            <w:r>
              <w:rPr>
                <w:rStyle w:val="Hyperlink"/>
              </w:rPr>
              <w:t>Distributed Tracing</w:t>
            </w:r>
            <w:r>
              <w:tab/>
            </w:r>
            <w:r>
              <w:fldChar w:fldCharType="begin"/>
            </w:r>
            <w:r>
              <w:instrText xml:space="preserve"> PAGEREF _Toc100048 \h </w:instrText>
            </w:r>
            <w:r>
              <w:fldChar w:fldCharType="separate"/>
            </w:r>
            <w:r>
              <w:t>23</w:t>
            </w:r>
            <w:r>
              <w:fldChar w:fldCharType="end"/>
            </w:r>
          </w:hyperlink>
        </w:p>
        <w:p>
          <w:pPr>
            <w:pStyle w:val="11"/>
            <w:ind w:left="360"/>
            <w:tabs>
              <w:tab w:val="right" w:leader="dot" w:pos="9026"/>
            </w:tabs>
            <w:spacing w:before="120" w:after="60"/>
          </w:pPr>
          <w:hyperlink w:anchor="_Toc100049" w:history="1">
            <w:r>
              <w:rPr>
                <w:rStyle w:val="Hyperlink"/>
              </w:rPr>
              <w:t>Dashboards</w:t>
            </w:r>
            <w:r>
              <w:tab/>
            </w:r>
            <w:r>
              <w:fldChar w:fldCharType="begin"/>
            </w:r>
            <w:r>
              <w:instrText xml:space="preserve"> PAGEREF _Toc100049 \h </w:instrText>
            </w:r>
            <w:r>
              <w:fldChar w:fldCharType="separate"/>
            </w:r>
            <w:r>
              <w:t>23</w:t>
            </w:r>
            <w:r>
              <w:fldChar w:fldCharType="end"/>
            </w:r>
          </w:hyperlink>
        </w:p>
        <w:p>
          <w:pPr>
            <w:pStyle w:val="11"/>
            <w:ind w:left="360"/>
            <w:tabs>
              <w:tab w:val="right" w:leader="dot" w:pos="9026"/>
            </w:tabs>
            <w:spacing w:before="120" w:after="60"/>
          </w:pPr>
          <w:hyperlink w:anchor="_Toc100050" w:history="1">
            <w:r>
              <w:rPr>
                <w:rStyle w:val="Hyperlink"/>
              </w:rPr>
              <w:t>Alerting Standards</w:t>
            </w:r>
            <w:r>
              <w:tab/>
            </w:r>
            <w:r>
              <w:fldChar w:fldCharType="begin"/>
            </w:r>
            <w:r>
              <w:instrText xml:space="preserve"> PAGEREF _Toc100050 \h </w:instrText>
            </w:r>
            <w:r>
              <w:fldChar w:fldCharType="separate"/>
            </w:r>
            <w:r>
              <w:t>23</w:t>
            </w:r>
            <w:r>
              <w:fldChar w:fldCharType="end"/>
            </w:r>
          </w:hyperlink>
        </w:p>
        <w:p>
          <w:pPr>
            <w:pStyle w:val="9"/>
            <w:tabs>
              <w:tab w:val="right" w:leader="dot" w:pos="9026"/>
            </w:tabs>
            <w:spacing w:before="120" w:after="60"/>
          </w:pPr>
          <w:hyperlink w:anchor="_Toc100051" w:history="1">
            <w:r>
              <w:rPr>
                <w:rStyle w:val="Hyperlink"/>
              </w:rPr>
              <w:t>ENG-006: Testing &amp; QA Standards</w:t>
            </w:r>
            <w:r>
              <w:tab/>
            </w:r>
            <w:r>
              <w:fldChar w:fldCharType="begin"/>
            </w:r>
            <w:r>
              <w:instrText xml:space="preserve"> PAGEREF _Toc100051 \h </w:instrText>
            </w:r>
            <w:r>
              <w:fldChar w:fldCharType="separate"/>
            </w:r>
            <w:r>
              <w:t>23</w:t>
            </w:r>
            <w:r>
              <w:fldChar w:fldCharType="end"/>
            </w:r>
          </w:hyperlink>
        </w:p>
        <w:p>
          <w:pPr>
            <w:pStyle w:val="11"/>
            <w:ind w:left="360"/>
            <w:tabs>
              <w:tab w:val="right" w:leader="dot" w:pos="9026"/>
            </w:tabs>
            <w:spacing w:before="120" w:after="60"/>
          </w:pPr>
          <w:hyperlink w:anchor="_Toc100052" w:history="1">
            <w:r>
              <w:rPr>
                <w:rStyle w:val="Hyperlink"/>
              </w:rPr>
              <w:t>Coverage Standards</w:t>
            </w:r>
            <w:r>
              <w:tab/>
            </w:r>
            <w:r>
              <w:fldChar w:fldCharType="begin"/>
            </w:r>
            <w:r>
              <w:instrText xml:space="preserve"> PAGEREF _Toc100052 \h </w:instrText>
            </w:r>
            <w:r>
              <w:fldChar w:fldCharType="separate"/>
            </w:r>
            <w:r>
              <w:t>24</w:t>
            </w:r>
            <w:r>
              <w:fldChar w:fldCharType="end"/>
            </w:r>
          </w:hyperlink>
        </w:p>
        <w:p>
          <w:pPr>
            <w:pStyle w:val="11"/>
            <w:ind w:left="360"/>
            <w:tabs>
              <w:tab w:val="right" w:leader="dot" w:pos="9026"/>
            </w:tabs>
            <w:spacing w:before="120" w:after="60"/>
          </w:pPr>
          <w:hyperlink w:anchor="_Toc100053" w:history="1">
            <w:r>
              <w:rPr>
                <w:rStyle w:val="Hyperlink"/>
              </w:rPr>
              <w:t>Test Pyramid</w:t>
            </w:r>
            <w:r>
              <w:tab/>
            </w:r>
            <w:r>
              <w:fldChar w:fldCharType="begin"/>
            </w:r>
            <w:r>
              <w:instrText xml:space="preserve"> PAGEREF _Toc100053 \h </w:instrText>
            </w:r>
            <w:r>
              <w:fldChar w:fldCharType="separate"/>
            </w:r>
            <w:r>
              <w:t>24</w:t>
            </w:r>
            <w:r>
              <w:fldChar w:fldCharType="end"/>
            </w:r>
          </w:hyperlink>
        </w:p>
        <w:p>
          <w:pPr>
            <w:pStyle w:val="11"/>
            <w:ind w:left="360"/>
            <w:tabs>
              <w:tab w:val="right" w:leader="dot" w:pos="9026"/>
            </w:tabs>
            <w:spacing w:before="120" w:after="60"/>
          </w:pPr>
          <w:hyperlink w:anchor="_Toc100054" w:history="1">
            <w:r>
              <w:rPr>
                <w:rStyle w:val="Hyperlink"/>
              </w:rPr>
              <w:t>Mandatory Test Types</w:t>
            </w:r>
            <w:r>
              <w:tab/>
            </w:r>
            <w:r>
              <w:fldChar w:fldCharType="begin"/>
            </w:r>
            <w:r>
              <w:instrText xml:space="preserve"> PAGEREF _Toc100054 \h </w:instrText>
            </w:r>
            <w:r>
              <w:fldChar w:fldCharType="separate"/>
            </w:r>
            <w:r>
              <w:t>24</w:t>
            </w:r>
            <w:r>
              <w:fldChar w:fldCharType="end"/>
            </w:r>
          </w:hyperlink>
        </w:p>
        <w:p>
          <w:pPr>
            <w:pStyle w:val="11"/>
            <w:ind w:left="360"/>
            <w:tabs>
              <w:tab w:val="right" w:leader="dot" w:pos="9026"/>
            </w:tabs>
            <w:spacing w:before="120" w:after="60"/>
          </w:pPr>
          <w:hyperlink w:anchor="_Toc100055" w:history="1">
            <w:r>
              <w:rPr>
                <w:rStyle w:val="Hyperlink"/>
              </w:rPr>
              <w:t>Forbidden Testing Practices</w:t>
            </w:r>
            <w:r>
              <w:tab/>
            </w:r>
            <w:r>
              <w:fldChar w:fldCharType="begin"/>
            </w:r>
            <w:r>
              <w:instrText xml:space="preserve"> PAGEREF _Toc100055 \h </w:instrText>
            </w:r>
            <w:r>
              <w:fldChar w:fldCharType="separate"/>
            </w:r>
            <w:r>
              <w:t>24</w:t>
            </w:r>
            <w:r>
              <w:fldChar w:fldCharType="end"/>
            </w:r>
          </w:hyperlink>
        </w:p>
        <w:p>
          <w:pPr>
            <w:pStyle w:val="11"/>
            <w:ind w:left="360"/>
            <w:tabs>
              <w:tab w:val="right" w:leader="dot" w:pos="9026"/>
            </w:tabs>
            <w:spacing w:before="120" w:after="60"/>
          </w:pPr>
          <w:hyperlink w:anchor="_Toc100056" w:history="1">
            <w:r>
              <w:rPr>
                <w:rStyle w:val="Hyperlink"/>
              </w:rPr>
              <w:t>Mocking Strategy</w:t>
            </w:r>
            <w:r>
              <w:tab/>
            </w:r>
            <w:r>
              <w:fldChar w:fldCharType="begin"/>
            </w:r>
            <w:r>
              <w:instrText xml:space="preserve"> PAGEREF _Toc100056 \h </w:instrText>
            </w:r>
            <w:r>
              <w:fldChar w:fldCharType="separate"/>
            </w:r>
            <w:r>
              <w:t>26</w:t>
            </w:r>
            <w:r>
              <w:fldChar w:fldCharType="end"/>
            </w:r>
          </w:hyperlink>
        </w:p>
        <w:p>
          <w:pPr>
            <w:pStyle w:val="11"/>
            <w:ind w:left="360"/>
            <w:tabs>
              <w:tab w:val="right" w:leader="dot" w:pos="9026"/>
            </w:tabs>
            <w:spacing w:before="120" w:after="60"/>
          </w:pPr>
          <w:hyperlink w:anchor="_Toc100057" w:history="1">
            <w:r>
              <w:rPr>
                <w:rStyle w:val="Hyperlink"/>
              </w:rPr>
              <w:t>Test Naming Conventions</w:t>
            </w:r>
            <w:r>
              <w:tab/>
            </w:r>
            <w:r>
              <w:fldChar w:fldCharType="begin"/>
            </w:r>
            <w:r>
              <w:instrText xml:space="preserve"> PAGEREF _Toc100057 \h </w:instrText>
            </w:r>
            <w:r>
              <w:fldChar w:fldCharType="separate"/>
            </w:r>
            <w:r>
              <w:t>26</w:t>
            </w:r>
            <w:r>
              <w:fldChar w:fldCharType="end"/>
            </w:r>
          </w:hyperlink>
        </w:p>
        <w:p>
          <w:pPr>
            <w:pStyle w:val="11"/>
            <w:ind w:left="360"/>
            <w:tabs>
              <w:tab w:val="right" w:leader="dot" w:pos="9026"/>
            </w:tabs>
            <w:spacing w:before="120" w:after="60"/>
          </w:pPr>
          <w:hyperlink w:anchor="_Toc100058" w:history="1">
            <w:r>
              <w:rPr>
                <w:rStyle w:val="Hyperlink"/>
              </w:rPr>
              <w:t>QA Gates</w:t>
            </w:r>
            <w:r>
              <w:tab/>
            </w:r>
            <w:r>
              <w:fldChar w:fldCharType="begin"/>
            </w:r>
            <w:r>
              <w:instrText xml:space="preserve"> PAGEREF _Toc100058 \h </w:instrText>
            </w:r>
            <w:r>
              <w:fldChar w:fldCharType="separate"/>
            </w:r>
            <w:r>
              <w:t>26</w:t>
            </w:r>
            <w:r>
              <w:fldChar w:fldCharType="end"/>
            </w:r>
          </w:hyperlink>
        </w:p>
        <w:p>
          <w:pPr>
            <w:pStyle w:val="9"/>
            <w:tabs>
              <w:tab w:val="right" w:leader="dot" w:pos="9026"/>
            </w:tabs>
            <w:spacing w:before="120" w:after="60"/>
          </w:pPr>
          <w:hyperlink w:anchor="_Toc100059" w:history="1">
            <w:r>
              <w:rPr>
                <w:rStyle w:val="Hyperlink"/>
              </w:rPr>
              <w:t>ENG-007: Code Review &amp; Git Standards</w:t>
            </w:r>
            <w:r>
              <w:tab/>
            </w:r>
            <w:r>
              <w:fldChar w:fldCharType="begin"/>
            </w:r>
            <w:r>
              <w:instrText xml:space="preserve"> PAGEREF _Toc100059 \h </w:instrText>
            </w:r>
            <w:r>
              <w:fldChar w:fldCharType="separate"/>
            </w:r>
            <w:r>
              <w:t>26</w:t>
            </w:r>
            <w:r>
              <w:fldChar w:fldCharType="end"/>
            </w:r>
          </w:hyperlink>
        </w:p>
        <w:p>
          <w:pPr>
            <w:pStyle w:val="11"/>
            <w:ind w:left="360"/>
            <w:tabs>
              <w:tab w:val="right" w:leader="dot" w:pos="9026"/>
            </w:tabs>
            <w:spacing w:before="120" w:after="60"/>
          </w:pPr>
          <w:hyperlink w:anchor="_Toc100060" w:history="1">
            <w:r>
              <w:rPr>
                <w:rStyle w:val="Hyperlink"/>
              </w:rPr>
              <w:t>Branch Model</w:t>
            </w:r>
            <w:r>
              <w:tab/>
            </w:r>
            <w:r>
              <w:fldChar w:fldCharType="begin"/>
            </w:r>
            <w:r>
              <w:instrText xml:space="preserve"> PAGEREF _Toc100060 \h </w:instrText>
            </w:r>
            <w:r>
              <w:fldChar w:fldCharType="separate"/>
            </w:r>
            <w:r>
              <w:t>27</w:t>
            </w:r>
            <w:r>
              <w:fldChar w:fldCharType="end"/>
            </w:r>
          </w:hyperlink>
        </w:p>
        <w:p>
          <w:pPr>
            <w:pStyle w:val="11"/>
            <w:ind w:left="360"/>
            <w:tabs>
              <w:tab w:val="right" w:leader="dot" w:pos="9026"/>
            </w:tabs>
            <w:spacing w:before="120" w:after="60"/>
          </w:pPr>
          <w:hyperlink w:anchor="_Toc100061" w:history="1">
            <w:r>
              <w:rPr>
                <w:rStyle w:val="Hyperlink"/>
              </w:rPr>
              <w:t>Commit Convention</w:t>
            </w:r>
            <w:r>
              <w:tab/>
            </w:r>
            <w:r>
              <w:fldChar w:fldCharType="begin"/>
            </w:r>
            <w:r>
              <w:instrText xml:space="preserve"> PAGEREF _Toc100061 \h </w:instrText>
            </w:r>
            <w:r>
              <w:fldChar w:fldCharType="separate"/>
            </w:r>
            <w:r>
              <w:t>27</w:t>
            </w:r>
            <w:r>
              <w:fldChar w:fldCharType="end"/>
            </w:r>
          </w:hyperlink>
        </w:p>
        <w:p>
          <w:pPr>
            <w:pStyle w:val="11"/>
            <w:ind w:left="360"/>
            <w:tabs>
              <w:tab w:val="right" w:leader="dot" w:pos="9026"/>
            </w:tabs>
            <w:spacing w:before="120" w:after="60"/>
          </w:pPr>
          <w:hyperlink w:anchor="_Toc100062" w:history="1">
            <w:r>
              <w:rPr>
                <w:rStyle w:val="Hyperlink"/>
              </w:rPr>
              <w:t>Commit Rules</w:t>
            </w:r>
            <w:r>
              <w:tab/>
            </w:r>
            <w:r>
              <w:fldChar w:fldCharType="begin"/>
            </w:r>
            <w:r>
              <w:instrText xml:space="preserve"> PAGEREF _Toc100062 \h </w:instrText>
            </w:r>
            <w:r>
              <w:fldChar w:fldCharType="separate"/>
            </w:r>
            <w:r>
              <w:t>27</w:t>
            </w:r>
            <w:r>
              <w:fldChar w:fldCharType="end"/>
            </w:r>
          </w:hyperlink>
        </w:p>
        <w:p>
          <w:pPr>
            <w:pStyle w:val="11"/>
            <w:ind w:left="360"/>
            <w:tabs>
              <w:tab w:val="right" w:leader="dot" w:pos="9026"/>
            </w:tabs>
            <w:spacing w:before="120" w:after="60"/>
          </w:pPr>
          <w:hyperlink w:anchor="_Toc100063" w:history="1">
            <w:r>
              <w:rPr>
                <w:rStyle w:val="Hyperlink"/>
              </w:rPr>
              <w:t>Pull Request Standards</w:t>
            </w:r>
            <w:r>
              <w:tab/>
            </w:r>
            <w:r>
              <w:fldChar w:fldCharType="begin"/>
            </w:r>
            <w:r>
              <w:instrText xml:space="preserve"> PAGEREF _Toc100063 \h </w:instrText>
            </w:r>
            <w:r>
              <w:fldChar w:fldCharType="separate"/>
            </w:r>
            <w:r>
              <w:t>28</w:t>
            </w:r>
            <w:r>
              <w:fldChar w:fldCharType="end"/>
            </w:r>
          </w:hyperlink>
        </w:p>
        <w:p>
          <w:pPr>
            <w:pStyle w:val="11"/>
            <w:ind w:left="360"/>
            <w:tabs>
              <w:tab w:val="right" w:leader="dot" w:pos="9026"/>
            </w:tabs>
            <w:spacing w:before="120" w:after="60"/>
          </w:pPr>
          <w:hyperlink w:anchor="_Toc100064" w:history="1">
            <w:r>
              <w:rPr>
                <w:rStyle w:val="Hyperlink"/>
              </w:rPr>
              <w:t>Code Review Checklist</w:t>
            </w:r>
            <w:r>
              <w:tab/>
            </w:r>
            <w:r>
              <w:fldChar w:fldCharType="begin"/>
            </w:r>
            <w:r>
              <w:instrText xml:space="preserve"> PAGEREF _Toc100064 \h </w:instrText>
            </w:r>
            <w:r>
              <w:fldChar w:fldCharType="separate"/>
            </w:r>
            <w:r>
              <w:t>29</w:t>
            </w:r>
            <w:r>
              <w:fldChar w:fldCharType="end"/>
            </w:r>
          </w:hyperlink>
        </w:p>
        <w:p>
          <w:pPr>
            <w:pStyle w:val="11"/>
            <w:ind w:left="360"/>
            <w:tabs>
              <w:tab w:val="right" w:leader="dot" w:pos="9026"/>
            </w:tabs>
            <w:spacing w:before="120" w:after="60"/>
          </w:pPr>
          <w:hyperlink w:anchor="_Toc100065" w:history="1">
            <w:r>
              <w:rPr>
                <w:rStyle w:val="Hyperlink"/>
              </w:rPr>
              <w:t>Reasons to Reject a PR</w:t>
            </w:r>
            <w:r>
              <w:tab/>
            </w:r>
            <w:r>
              <w:fldChar w:fldCharType="begin"/>
            </w:r>
            <w:r>
              <w:instrText xml:space="preserve"> PAGEREF _Toc100065 \h </w:instrText>
            </w:r>
            <w:r>
              <w:fldChar w:fldCharType="separate"/>
            </w:r>
            <w:r>
              <w:t>29</w:t>
            </w:r>
            <w:r>
              <w:fldChar w:fldCharType="end"/>
            </w:r>
          </w:hyperlink>
        </w:p>
        <w:p>
          <w:pPr>
            <w:pStyle w:val="9"/>
            <w:tabs>
              <w:tab w:val="right" w:leader="dot" w:pos="9026"/>
            </w:tabs>
            <w:spacing w:before="120" w:after="60"/>
          </w:pPr>
          <w:hyperlink w:anchor="_Toc100066" w:history="1">
            <w:r>
              <w:rPr>
                <w:rStyle w:val="Hyperlink"/>
              </w:rPr>
              <w:t>ENG-008: CI/CD &amp; DevOps Standards</w:t>
            </w:r>
            <w:r>
              <w:tab/>
            </w:r>
            <w:r>
              <w:fldChar w:fldCharType="begin"/>
            </w:r>
            <w:r>
              <w:instrText xml:space="preserve"> PAGEREF _Toc100066 \h </w:instrText>
            </w:r>
            <w:r>
              <w:fldChar w:fldCharType="separate"/>
            </w:r>
            <w:r>
              <w:t>31</w:t>
            </w:r>
            <w:r>
              <w:fldChar w:fldCharType="end"/>
            </w:r>
          </w:hyperlink>
        </w:p>
        <w:p>
          <w:pPr>
            <w:pStyle w:val="11"/>
            <w:ind w:left="360"/>
            <w:tabs>
              <w:tab w:val="right" w:leader="dot" w:pos="9026"/>
            </w:tabs>
            <w:spacing w:before="120" w:after="60"/>
          </w:pPr>
          <w:hyperlink w:anchor="_Toc100067" w:history="1">
            <w:r>
              <w:rPr>
                <w:rStyle w:val="Hyperlink"/>
              </w:rPr>
              <w:t>Pipeline Stages</w:t>
            </w:r>
            <w:r>
              <w:tab/>
            </w:r>
            <w:r>
              <w:fldChar w:fldCharType="begin"/>
            </w:r>
            <w:r>
              <w:instrText xml:space="preserve"> PAGEREF _Toc100067 \h </w:instrText>
            </w:r>
            <w:r>
              <w:fldChar w:fldCharType="separate"/>
            </w:r>
            <w:r>
              <w:t>31</w:t>
            </w:r>
            <w:r>
              <w:fldChar w:fldCharType="end"/>
            </w:r>
          </w:hyperlink>
        </w:p>
        <w:p>
          <w:pPr>
            <w:pStyle w:val="11"/>
            <w:ind w:left="360"/>
            <w:tabs>
              <w:tab w:val="right" w:leader="dot" w:pos="9026"/>
            </w:tabs>
            <w:spacing w:before="120" w:after="60"/>
          </w:pPr>
          <w:hyperlink w:anchor="_Toc100068" w:history="1">
            <w:r>
              <w:rPr>
                <w:rStyle w:val="Hyperlink"/>
              </w:rPr>
              <w:t>Deployment Blockers</w:t>
            </w:r>
            <w:r>
              <w:tab/>
            </w:r>
            <w:r>
              <w:fldChar w:fldCharType="begin"/>
            </w:r>
            <w:r>
              <w:instrText xml:space="preserve"> PAGEREF _Toc100068 \h </w:instrText>
            </w:r>
            <w:r>
              <w:fldChar w:fldCharType="separate"/>
            </w:r>
            <w:r>
              <w:t>31</w:t>
            </w:r>
            <w:r>
              <w:fldChar w:fldCharType="end"/>
            </w:r>
          </w:hyperlink>
        </w:p>
        <w:p>
          <w:pPr>
            <w:pStyle w:val="11"/>
            <w:ind w:left="360"/>
            <w:tabs>
              <w:tab w:val="right" w:leader="dot" w:pos="9026"/>
            </w:tabs>
            <w:spacing w:before="120" w:after="60"/>
          </w:pPr>
          <w:hyperlink w:anchor="_Toc100069" w:history="1">
            <w:r>
              <w:rPr>
                <w:rStyle w:val="Hyperlink"/>
              </w:rPr>
              <w:t>Environments</w:t>
            </w:r>
            <w:r>
              <w:tab/>
            </w:r>
            <w:r>
              <w:fldChar w:fldCharType="begin"/>
            </w:r>
            <w:r>
              <w:instrText xml:space="preserve"> PAGEREF _Toc100069 \h </w:instrText>
            </w:r>
            <w:r>
              <w:fldChar w:fldCharType="separate"/>
            </w:r>
            <w:r>
              <w:t>33</w:t>
            </w:r>
            <w:r>
              <w:fldChar w:fldCharType="end"/>
            </w:r>
          </w:hyperlink>
        </w:p>
        <w:p>
          <w:pPr>
            <w:pStyle w:val="11"/>
            <w:ind w:left="360"/>
            <w:tabs>
              <w:tab w:val="right" w:leader="dot" w:pos="9026"/>
            </w:tabs>
            <w:spacing w:before="120" w:after="60"/>
          </w:pPr>
          <w:hyperlink w:anchor="_Toc100070" w:history="1">
            <w:r>
              <w:rPr>
                <w:rStyle w:val="Hyperlink"/>
              </w:rPr>
              <w:t>Deployment Strategies</w:t>
            </w:r>
            <w:r>
              <w:tab/>
            </w:r>
            <w:r>
              <w:fldChar w:fldCharType="begin"/>
            </w:r>
            <w:r>
              <w:instrText xml:space="preserve"> PAGEREF _Toc100070 \h </w:instrText>
            </w:r>
            <w:r>
              <w:fldChar w:fldCharType="separate"/>
            </w:r>
            <w:r>
              <w:t>33</w:t>
            </w:r>
            <w:r>
              <w:fldChar w:fldCharType="end"/>
            </w:r>
          </w:hyperlink>
        </w:p>
        <w:p>
          <w:pPr>
            <w:pStyle w:val="11"/>
            <w:ind w:left="360"/>
            <w:tabs>
              <w:tab w:val="right" w:leader="dot" w:pos="9026"/>
            </w:tabs>
            <w:spacing w:before="120" w:after="60"/>
          </w:pPr>
          <w:hyperlink w:anchor="_Toc100071" w:history="1">
            <w:r>
              <w:rPr>
                <w:rStyle w:val="Hyperlink"/>
              </w:rPr>
              <w:t>Rollback Policy</w:t>
            </w:r>
            <w:r>
              <w:tab/>
            </w:r>
            <w:r>
              <w:fldChar w:fldCharType="begin"/>
            </w:r>
            <w:r>
              <w:instrText xml:space="preserve"> PAGEREF _Toc100071 \h </w:instrText>
            </w:r>
            <w:r>
              <w:fldChar w:fldCharType="separate"/>
            </w:r>
            <w:r>
              <w:t>33</w:t>
            </w:r>
            <w:r>
              <w:fldChar w:fldCharType="end"/>
            </w:r>
          </w:hyperlink>
        </w:p>
        <w:p>
          <w:pPr>
            <w:pStyle w:val="11"/>
            <w:ind w:left="360"/>
            <w:tabs>
              <w:tab w:val="right" w:leader="dot" w:pos="9026"/>
            </w:tabs>
            <w:spacing w:before="120" w:after="60"/>
          </w:pPr>
          <w:hyperlink w:anchor="_Toc100072" w:history="1">
            <w:r>
              <w:rPr>
                <w:rStyle w:val="Hyperlink"/>
              </w:rPr>
              <w:t>Quality Gates</w:t>
            </w:r>
            <w:r>
              <w:tab/>
            </w:r>
            <w:r>
              <w:fldChar w:fldCharType="begin"/>
            </w:r>
            <w:r>
              <w:instrText xml:space="preserve"> PAGEREF _Toc100072 \h </w:instrText>
            </w:r>
            <w:r>
              <w:fldChar w:fldCharType="separate"/>
            </w:r>
            <w:r>
              <w:t>34</w:t>
            </w:r>
            <w:r>
              <w:fldChar w:fldCharType="end"/>
            </w:r>
          </w:hyperlink>
        </w:p>
        <w:p>
          <w:pPr>
            <w:pStyle w:val="11"/>
            <w:ind w:left="360"/>
            <w:tabs>
              <w:tab w:val="right" w:leader="dot" w:pos="9026"/>
            </w:tabs>
            <w:spacing w:before="120" w:after="60"/>
          </w:pPr>
          <w:hyperlink w:anchor="_Toc100073" w:history="1">
            <w:r>
              <w:rPr>
                <w:rStyle w:val="Hyperlink"/>
              </w:rPr>
              <w:t>Release Standards</w:t>
            </w:r>
            <w:r>
              <w:tab/>
            </w:r>
            <w:r>
              <w:fldChar w:fldCharType="begin"/>
            </w:r>
            <w:r>
              <w:instrText xml:space="preserve"> PAGEREF _Toc100073 \h </w:instrText>
            </w:r>
            <w:r>
              <w:fldChar w:fldCharType="separate"/>
            </w:r>
            <w:r>
              <w:t>34</w:t>
            </w:r>
            <w:r>
              <w:fldChar w:fldCharType="end"/>
            </w:r>
          </w:hyperlink>
        </w:p>
        <w:p>
          <w:pPr>
            <w:pStyle w:val="9"/>
            <w:tabs>
              <w:tab w:val="right" w:leader="dot" w:pos="9026"/>
            </w:tabs>
            <w:spacing w:before="120" w:after="60"/>
          </w:pPr>
          <w:hyperlink w:anchor="_Toc100074" w:history="1">
            <w:r>
              <w:rPr>
                <w:rStyle w:val="Hyperlink"/>
              </w:rPr>
              <w:t>ENG-009: Performance &amp; Monitoring Standards</w:t>
            </w:r>
            <w:r>
              <w:tab/>
            </w:r>
            <w:r>
              <w:fldChar w:fldCharType="begin"/>
            </w:r>
            <w:r>
              <w:instrText xml:space="preserve"> PAGEREF _Toc100074 \h </w:instrText>
            </w:r>
            <w:r>
              <w:fldChar w:fldCharType="separate"/>
            </w:r>
            <w:r>
              <w:t>35</w:t>
            </w:r>
            <w:r>
              <w:fldChar w:fldCharType="end"/>
            </w:r>
          </w:hyperlink>
        </w:p>
        <w:p>
          <w:pPr>
            <w:pStyle w:val="11"/>
            <w:ind w:left="360"/>
            <w:tabs>
              <w:tab w:val="right" w:leader="dot" w:pos="9026"/>
            </w:tabs>
            <w:spacing w:before="120" w:after="60"/>
          </w:pPr>
          <w:hyperlink w:anchor="_Toc100075" w:history="1">
            <w:r>
              <w:rPr>
                <w:rStyle w:val="Hyperlink"/>
              </w:rPr>
              <w:t>Performance Budgets</w:t>
            </w:r>
            <w:r>
              <w:tab/>
            </w:r>
            <w:r>
              <w:fldChar w:fldCharType="begin"/>
            </w:r>
            <w:r>
              <w:instrText xml:space="preserve"> PAGEREF _Toc100075 \h </w:instrText>
            </w:r>
            <w:r>
              <w:fldChar w:fldCharType="separate"/>
            </w:r>
            <w:r>
              <w:t>35</w:t>
            </w:r>
            <w:r>
              <w:fldChar w:fldCharType="end"/>
            </w:r>
          </w:hyperlink>
        </w:p>
        <w:p>
          <w:pPr>
            <w:pStyle w:val="11"/>
            <w:ind w:left="360"/>
            <w:tabs>
              <w:tab w:val="right" w:leader="dot" w:pos="9026"/>
            </w:tabs>
            <w:spacing w:before="120" w:after="60"/>
          </w:pPr>
          <w:hyperlink w:anchor="_Toc100076" w:history="1">
            <w:r>
              <w:rPr>
                <w:rStyle w:val="Hyperlink"/>
              </w:rPr>
              <w:t>Caching Strategy</w:t>
            </w:r>
            <w:r>
              <w:tab/>
            </w:r>
            <w:r>
              <w:fldChar w:fldCharType="begin"/>
            </w:r>
            <w:r>
              <w:instrText xml:space="preserve"> PAGEREF _Toc100076 \h </w:instrText>
            </w:r>
            <w:r>
              <w:fldChar w:fldCharType="separate"/>
            </w:r>
            <w:r>
              <w:t>35</w:t>
            </w:r>
            <w:r>
              <w:fldChar w:fldCharType="end"/>
            </w:r>
          </w:hyperlink>
        </w:p>
        <w:p>
          <w:pPr>
            <w:pStyle w:val="11"/>
            <w:ind w:left="360"/>
            <w:tabs>
              <w:tab w:val="right" w:leader="dot" w:pos="9026"/>
            </w:tabs>
            <w:spacing w:before="120" w:after="60"/>
          </w:pPr>
          <w:hyperlink w:anchor="_Toc100077" w:history="1">
            <w:r>
              <w:rPr>
                <w:rStyle w:val="Hyperlink"/>
              </w:rPr>
              <w:t>Query Optimization</w:t>
            </w:r>
            <w:r>
              <w:tab/>
            </w:r>
            <w:r>
              <w:fldChar w:fldCharType="begin"/>
            </w:r>
            <w:r>
              <w:instrText xml:space="preserve"> PAGEREF _Toc100077 \h </w:instrText>
            </w:r>
            <w:r>
              <w:fldChar w:fldCharType="separate"/>
            </w:r>
            <w:r>
              <w:t>36</w:t>
            </w:r>
            <w:r>
              <w:fldChar w:fldCharType="end"/>
            </w:r>
          </w:hyperlink>
        </w:p>
        <w:p>
          <w:pPr>
            <w:pStyle w:val="11"/>
            <w:ind w:left="360"/>
            <w:tabs>
              <w:tab w:val="right" w:leader="dot" w:pos="9026"/>
            </w:tabs>
            <w:spacing w:before="120" w:after="60"/>
          </w:pPr>
          <w:hyperlink w:anchor="_Toc100078" w:history="1">
            <w:r>
              <w:rPr>
                <w:rStyle w:val="Hyperlink"/>
              </w:rPr>
              <w:t>Monitoring Coverage</w:t>
            </w:r>
            <w:r>
              <w:tab/>
            </w:r>
            <w:r>
              <w:fldChar w:fldCharType="begin"/>
            </w:r>
            <w:r>
              <w:instrText xml:space="preserve"> PAGEREF _Toc100078 \h </w:instrText>
            </w:r>
            <w:r>
              <w:fldChar w:fldCharType="separate"/>
            </w:r>
            <w:r>
              <w:t>37</w:t>
            </w:r>
            <w:r>
              <w:fldChar w:fldCharType="end"/>
            </w:r>
          </w:hyperlink>
        </w:p>
        <w:p>
          <w:pPr>
            <w:pStyle w:val="11"/>
            <w:ind w:left="360"/>
            <w:tabs>
              <w:tab w:val="right" w:leader="dot" w:pos="9026"/>
            </w:tabs>
            <w:spacing w:before="120" w:after="60"/>
          </w:pPr>
          <w:hyperlink w:anchor="_Toc100079" w:history="1">
            <w:r>
              <w:rPr>
                <w:rStyle w:val="Hyperlink"/>
              </w:rPr>
              <w:t>Alert Severities</w:t>
            </w:r>
            <w:r>
              <w:tab/>
            </w:r>
            <w:r>
              <w:fldChar w:fldCharType="begin"/>
            </w:r>
            <w:r>
              <w:instrText xml:space="preserve"> PAGEREF _Toc100079 \h </w:instrText>
            </w:r>
            <w:r>
              <w:fldChar w:fldCharType="separate"/>
            </w:r>
            <w:r>
              <w:t>37</w:t>
            </w:r>
            <w:r>
              <w:fldChar w:fldCharType="end"/>
            </w:r>
          </w:hyperlink>
        </w:p>
        <w:p>
          <w:pPr>
            <w:pStyle w:val="11"/>
            <w:ind w:left="360"/>
            <w:tabs>
              <w:tab w:val="right" w:leader="dot" w:pos="9026"/>
            </w:tabs>
            <w:spacing w:before="120" w:after="60"/>
          </w:pPr>
          <w:hyperlink w:anchor="_Toc100080" w:history="1">
            <w:r>
              <w:rPr>
                <w:rStyle w:val="Hyperlink"/>
              </w:rPr>
              <w:t>Incident Response</w:t>
            </w:r>
            <w:r>
              <w:tab/>
            </w:r>
            <w:r>
              <w:fldChar w:fldCharType="begin"/>
            </w:r>
            <w:r>
              <w:instrText xml:space="preserve"> PAGEREF _Toc100080 \h </w:instrText>
            </w:r>
            <w:r>
              <w:fldChar w:fldCharType="separate"/>
            </w:r>
            <w:r>
              <w:t>38</w:t>
            </w:r>
            <w:r>
              <w:fldChar w:fldCharType="end"/>
            </w:r>
          </w:hyperlink>
        </w:p>
        <w:p>
          <w:pPr>
            <w:pStyle w:val="11"/>
            <w:ind w:left="360"/>
            <w:tabs>
              <w:tab w:val="right" w:leader="dot" w:pos="9026"/>
            </w:tabs>
            <w:spacing w:before="120" w:after="60"/>
          </w:pPr>
          <w:hyperlink w:anchor="_Toc100081" w:history="1">
            <w:r>
              <w:rPr>
                <w:rStyle w:val="Hyperlink"/>
              </w:rPr>
              <w:t>Capacity Planning</w:t>
            </w:r>
            <w:r>
              <w:tab/>
            </w:r>
            <w:r>
              <w:fldChar w:fldCharType="begin"/>
            </w:r>
            <w:r>
              <w:instrText xml:space="preserve"> PAGEREF _Toc100081 \h </w:instrText>
            </w:r>
            <w:r>
              <w:fldChar w:fldCharType="separate"/>
            </w:r>
            <w:r>
              <w:t>38</w:t>
            </w:r>
            <w:r>
              <w:fldChar w:fldCharType="end"/>
            </w:r>
          </w:hyperlink>
        </w:p>
        <w:p>
          <w:pPr>
            <w:pStyle w:val="9"/>
            <w:tabs>
              <w:tab w:val="right" w:leader="dot" w:pos="9026"/>
            </w:tabs>
            <w:spacing w:before="120" w:after="60"/>
          </w:pPr>
          <w:hyperlink w:anchor="_Toc100082" w:history="1">
            <w:r>
              <w:rPr>
                <w:rStyle w:val="Hyperlink"/>
              </w:rPr>
              <w:t>ENG-010: AI-Assisted Development Standards</w:t>
            </w:r>
            <w:r>
              <w:tab/>
            </w:r>
            <w:r>
              <w:fldChar w:fldCharType="begin"/>
            </w:r>
            <w:r>
              <w:instrText xml:space="preserve"> PAGEREF _Toc100082 \h </w:instrText>
            </w:r>
            <w:r>
              <w:fldChar w:fldCharType="separate"/>
            </w:r>
            <w:r>
              <w:t>38</w:t>
            </w:r>
            <w:r>
              <w:fldChar w:fldCharType="end"/>
            </w:r>
          </w:hyperlink>
        </w:p>
        <w:p>
          <w:pPr>
            <w:pStyle w:val="11"/>
            <w:ind w:left="360"/>
            <w:tabs>
              <w:tab w:val="right" w:leader="dot" w:pos="9026"/>
            </w:tabs>
            <w:spacing w:before="120" w:after="60"/>
          </w:pPr>
          <w:hyperlink w:anchor="_Toc100083" w:history="1">
            <w:r>
              <w:rPr>
                <w:rStyle w:val="Hyperlink"/>
              </w:rPr>
              <w:t>Core Principles</w:t>
            </w:r>
            <w:r>
              <w:tab/>
            </w:r>
            <w:r>
              <w:fldChar w:fldCharType="begin"/>
            </w:r>
            <w:r>
              <w:instrText xml:space="preserve"> PAGEREF _Toc100083 \h </w:instrText>
            </w:r>
            <w:r>
              <w:fldChar w:fldCharType="separate"/>
            </w:r>
            <w:r>
              <w:t>38</w:t>
            </w:r>
            <w:r>
              <w:fldChar w:fldCharType="end"/>
            </w:r>
          </w:hyperlink>
        </w:p>
        <w:p>
          <w:pPr>
            <w:pStyle w:val="11"/>
            <w:ind w:left="360"/>
            <w:tabs>
              <w:tab w:val="right" w:leader="dot" w:pos="9026"/>
            </w:tabs>
            <w:spacing w:before="120" w:after="60"/>
          </w:pPr>
          <w:hyperlink w:anchor="_Toc100084" w:history="1">
            <w:r>
              <w:rPr>
                <w:rStyle w:val="Hyperlink"/>
              </w:rPr>
              <w:t>Allowed AI Use Cases</w:t>
            </w:r>
            <w:r>
              <w:tab/>
            </w:r>
            <w:r>
              <w:fldChar w:fldCharType="begin"/>
            </w:r>
            <w:r>
              <w:instrText xml:space="preserve"> PAGEREF _Toc100084 \h </w:instrText>
            </w:r>
            <w:r>
              <w:fldChar w:fldCharType="separate"/>
            </w:r>
            <w:r>
              <w:t>39</w:t>
            </w:r>
            <w:r>
              <w:fldChar w:fldCharType="end"/>
            </w:r>
          </w:hyperlink>
        </w:p>
        <w:p>
          <w:pPr>
            <w:pStyle w:val="11"/>
            <w:ind w:left="360"/>
            <w:tabs>
              <w:tab w:val="right" w:leader="dot" w:pos="9026"/>
            </w:tabs>
            <w:spacing w:before="120" w:after="60"/>
          </w:pPr>
          <w:hyperlink w:anchor="_Toc100085" w:history="1">
            <w:r>
              <w:rPr>
                <w:rStyle w:val="Hyperlink"/>
              </w:rPr>
              <w:t>Forbidden AI Use Cases</w:t>
            </w:r>
            <w:r>
              <w:tab/>
            </w:r>
            <w:r>
              <w:fldChar w:fldCharType="begin"/>
            </w:r>
            <w:r>
              <w:instrText xml:space="preserve"> PAGEREF _Toc100085 \h </w:instrText>
            </w:r>
            <w:r>
              <w:fldChar w:fldCharType="separate"/>
            </w:r>
            <w:r>
              <w:t>40</w:t>
            </w:r>
            <w:r>
              <w:fldChar w:fldCharType="end"/>
            </w:r>
          </w:hyperlink>
        </w:p>
        <w:p>
          <w:pPr>
            <w:pStyle w:val="11"/>
            <w:ind w:left="360"/>
            <w:tabs>
              <w:tab w:val="right" w:leader="dot" w:pos="9026"/>
            </w:tabs>
            <w:spacing w:before="120" w:after="60"/>
          </w:pPr>
          <w:hyperlink w:anchor="_Toc100086" w:history="1">
            <w:r>
              <w:rPr>
                <w:rStyle w:val="Hyperlink"/>
              </w:rPr>
              <w:t>AI Code Review Requirements</w:t>
            </w:r>
            <w:r>
              <w:tab/>
            </w:r>
            <w:r>
              <w:fldChar w:fldCharType="begin"/>
            </w:r>
            <w:r>
              <w:instrText xml:space="preserve"> PAGEREF _Toc100086 \h </w:instrText>
            </w:r>
            <w:r>
              <w:fldChar w:fldCharType="separate"/>
            </w:r>
            <w:r>
              <w:t>41</w:t>
            </w:r>
            <w:r>
              <w:fldChar w:fldCharType="end"/>
            </w:r>
          </w:hyperlink>
        </w:p>
        <w:p>
          <w:pPr>
            <w:pStyle w:val="11"/>
            <w:ind w:left="360"/>
            <w:tabs>
              <w:tab w:val="right" w:leader="dot" w:pos="9026"/>
            </w:tabs>
            <w:spacing w:before="120" w:after="60"/>
          </w:pPr>
          <w:hyperlink w:anchor="_Toc100087" w:history="1">
            <w:r>
              <w:rPr>
                <w:rStyle w:val="Hyperlink"/>
              </w:rPr>
              <w:t>Prompt Hygiene</w:t>
            </w:r>
            <w:r>
              <w:tab/>
            </w:r>
            <w:r>
              <w:fldChar w:fldCharType="begin"/>
            </w:r>
            <w:r>
              <w:instrText xml:space="preserve"> PAGEREF _Toc100087 \h </w:instrText>
            </w:r>
            <w:r>
              <w:fldChar w:fldCharType="separate"/>
            </w:r>
            <w:r>
              <w:t>41</w:t>
            </w:r>
            <w:r>
              <w:fldChar w:fldCharType="end"/>
            </w:r>
          </w:hyperlink>
        </w:p>
        <w:p>
          <w:pPr>
            <w:pStyle w:val="11"/>
            <w:ind w:left="360"/>
            <w:tabs>
              <w:tab w:val="right" w:leader="dot" w:pos="9026"/>
            </w:tabs>
            <w:spacing w:before="120" w:after="60"/>
          </w:pPr>
          <w:hyperlink w:anchor="_Toc100088" w:history="1">
            <w:r>
              <w:rPr>
                <w:rStyle w:val="Hyperlink"/>
              </w:rPr>
              <w:t>AI Effectiveness Metrics</w:t>
            </w:r>
            <w:r>
              <w:tab/>
            </w:r>
            <w:r>
              <w:fldChar w:fldCharType="begin"/>
            </w:r>
            <w:r>
              <w:instrText xml:space="preserve"> PAGEREF _Toc100088 \h </w:instrText>
            </w:r>
            <w:r>
              <w:fldChar w:fldCharType="separate"/>
            </w:r>
            <w:r>
              <w:t>42</w:t>
            </w:r>
            <w:r>
              <w:fldChar w:fldCharType="end"/>
            </w:r>
          </w:hyperlink>
        </w:p>
        <w:p>
          <w:pPr>
            <w:pStyle w:val="9"/>
            <w:tabs>
              <w:tab w:val="right" w:leader="dot" w:pos="9026"/>
            </w:tabs>
            <w:spacing w:before="120" w:after="60"/>
          </w:pPr>
          <w:hyperlink w:anchor="_Toc100089" w:history="1">
            <w:r>
              <w:rPr>
                <w:rStyle w:val="Hyperlink"/>
              </w:rPr>
              <w:t>Appendix A: Engineering Checklist — Before Merge</w:t>
            </w:r>
            <w:r>
              <w:tab/>
            </w:r>
            <w:r>
              <w:fldChar w:fldCharType="begin"/>
            </w:r>
            <w:r>
              <w:instrText xml:space="preserve"> PAGEREF _Toc100089 \h </w:instrText>
            </w:r>
            <w:r>
              <w:fldChar w:fldCharType="separate"/>
            </w:r>
            <w:r>
              <w:t>42</w:t>
            </w:r>
            <w:r>
              <w:fldChar w:fldCharType="end"/>
            </w:r>
          </w:hyperlink>
        </w:p>
        <w:p>
          <w:pPr>
            <w:pStyle w:val="11"/>
            <w:ind w:left="360"/>
            <w:tabs>
              <w:tab w:val="right" w:leader="dot" w:pos="9026"/>
            </w:tabs>
            <w:spacing w:before="120" w:after="60"/>
          </w:pPr>
          <w:hyperlink w:anchor="_Toc100090" w:history="1">
            <w:r>
              <w:rPr>
                <w:rStyle w:val="Hyperlink"/>
              </w:rPr>
              <w:t>Code Quality</w:t>
            </w:r>
            <w:r>
              <w:tab/>
            </w:r>
            <w:r>
              <w:fldChar w:fldCharType="begin"/>
            </w:r>
            <w:r>
              <w:instrText xml:space="preserve"> PAGEREF _Toc100090 \h </w:instrText>
            </w:r>
            <w:r>
              <w:fldChar w:fldCharType="separate"/>
            </w:r>
            <w:r>
              <w:t>42</w:t>
            </w:r>
            <w:r>
              <w:fldChar w:fldCharType="end"/>
            </w:r>
          </w:hyperlink>
        </w:p>
        <w:p>
          <w:pPr>
            <w:pStyle w:val="11"/>
            <w:ind w:left="360"/>
            <w:tabs>
              <w:tab w:val="right" w:leader="dot" w:pos="9026"/>
            </w:tabs>
            <w:spacing w:before="120" w:after="60"/>
          </w:pPr>
          <w:hyperlink w:anchor="_Toc100091" w:history="1">
            <w:r>
              <w:rPr>
                <w:rStyle w:val="Hyperlink"/>
              </w:rPr>
              <w:t>Tests</w:t>
            </w:r>
            <w:r>
              <w:tab/>
            </w:r>
            <w:r>
              <w:fldChar w:fldCharType="begin"/>
            </w:r>
            <w:r>
              <w:instrText xml:space="preserve"> PAGEREF _Toc100091 \h </w:instrText>
            </w:r>
            <w:r>
              <w:fldChar w:fldCharType="separate"/>
            </w:r>
            <w:r>
              <w:t>44</w:t>
            </w:r>
            <w:r>
              <w:fldChar w:fldCharType="end"/>
            </w:r>
          </w:hyperlink>
        </w:p>
        <w:p>
          <w:pPr>
            <w:pStyle w:val="11"/>
            <w:ind w:left="360"/>
            <w:tabs>
              <w:tab w:val="right" w:leader="dot" w:pos="9026"/>
            </w:tabs>
            <w:spacing w:before="120" w:after="60"/>
          </w:pPr>
          <w:hyperlink w:anchor="_Toc100092" w:history="1">
            <w:r>
              <w:rPr>
                <w:rStyle w:val="Hyperlink"/>
              </w:rPr>
              <w:t>Security</w:t>
            </w:r>
            <w:r>
              <w:tab/>
            </w:r>
            <w:r>
              <w:fldChar w:fldCharType="begin"/>
            </w:r>
            <w:r>
              <w:instrText xml:space="preserve"> PAGEREF _Toc100092 \h </w:instrText>
            </w:r>
            <w:r>
              <w:fldChar w:fldCharType="separate"/>
            </w:r>
            <w:r>
              <w:t>45</w:t>
            </w:r>
            <w:r>
              <w:fldChar w:fldCharType="end"/>
            </w:r>
          </w:hyperlink>
        </w:p>
        <w:p>
          <w:pPr>
            <w:pStyle w:val="11"/>
            <w:ind w:left="360"/>
            <w:tabs>
              <w:tab w:val="right" w:leader="dot" w:pos="9026"/>
            </w:tabs>
            <w:spacing w:before="120" w:after="60"/>
          </w:pPr>
          <w:hyperlink w:anchor="_Toc100093" w:history="1">
            <w:r>
              <w:rPr>
                <w:rStyle w:val="Hyperlink"/>
              </w:rPr>
              <w:t>Domain Driven Design</w:t>
            </w:r>
            <w:r>
              <w:tab/>
            </w:r>
            <w:r>
              <w:fldChar w:fldCharType="begin"/>
            </w:r>
            <w:r>
              <w:instrText xml:space="preserve"> PAGEREF _Toc100093 \h </w:instrText>
            </w:r>
            <w:r>
              <w:fldChar w:fldCharType="separate"/>
            </w:r>
            <w:r>
              <w:t>46</w:t>
            </w:r>
            <w:r>
              <w:fldChar w:fldCharType="end"/>
            </w:r>
          </w:hyperlink>
        </w:p>
        <w:p>
          <w:pPr>
            <w:pStyle w:val="11"/>
            <w:ind w:left="360"/>
            <w:tabs>
              <w:tab w:val="right" w:leader="dot" w:pos="9026"/>
            </w:tabs>
            <w:spacing w:before="120" w:after="60"/>
          </w:pPr>
          <w:hyperlink w:anchor="_Toc100094" w:history="1">
            <w:r>
              <w:rPr>
                <w:rStyle w:val="Hyperlink"/>
              </w:rPr>
              <w:t>Error Handling</w:t>
            </w:r>
            <w:r>
              <w:tab/>
            </w:r>
            <w:r>
              <w:fldChar w:fldCharType="begin"/>
            </w:r>
            <w:r>
              <w:instrText xml:space="preserve"> PAGEREF _Toc100094 \h </w:instrText>
            </w:r>
            <w:r>
              <w:fldChar w:fldCharType="separate"/>
            </w:r>
            <w:r>
              <w:t>47</w:t>
            </w:r>
            <w:r>
              <w:fldChar w:fldCharType="end"/>
            </w:r>
          </w:hyperlink>
        </w:p>
        <w:p>
          <w:pPr>
            <w:pStyle w:val="11"/>
            <w:ind w:left="360"/>
            <w:tabs>
              <w:tab w:val="right" w:leader="dot" w:pos="9026"/>
            </w:tabs>
            <w:spacing w:before="120" w:after="60"/>
          </w:pPr>
          <w:hyperlink w:anchor="_Toc100095" w:history="1">
            <w:r>
              <w:rPr>
                <w:rStyle w:val="Hyperlink"/>
              </w:rPr>
              <w:t>Logging &amp; Observability</w:t>
            </w:r>
            <w:r>
              <w:tab/>
            </w:r>
            <w:r>
              <w:fldChar w:fldCharType="begin"/>
            </w:r>
            <w:r>
              <w:instrText xml:space="preserve"> PAGEREF _Toc100095 \h </w:instrText>
            </w:r>
            <w:r>
              <w:fldChar w:fldCharType="separate"/>
            </w:r>
            <w:r>
              <w:t>48</w:t>
            </w:r>
            <w:r>
              <w:fldChar w:fldCharType="end"/>
            </w:r>
          </w:hyperlink>
        </w:p>
        <w:p>
          <w:pPr>
            <w:pStyle w:val="11"/>
            <w:ind w:left="360"/>
            <w:tabs>
              <w:tab w:val="right" w:leader="dot" w:pos="9026"/>
            </w:tabs>
            <w:spacing w:before="120" w:after="60"/>
          </w:pPr>
          <w:hyperlink w:anchor="_Toc100096" w:history="1">
            <w:r>
              <w:rPr>
                <w:rStyle w:val="Hyperlink"/>
              </w:rPr>
              <w:t>Database</w:t>
            </w:r>
            <w:r>
              <w:tab/>
            </w:r>
            <w:r>
              <w:fldChar w:fldCharType="begin"/>
            </w:r>
            <w:r>
              <w:instrText xml:space="preserve"> PAGEREF _Toc100096 \h </w:instrText>
            </w:r>
            <w:r>
              <w:fldChar w:fldCharType="separate"/>
            </w:r>
            <w:r>
              <w:t>49</w:t>
            </w:r>
            <w:r>
              <w:fldChar w:fldCharType="end"/>
            </w:r>
          </w:hyperlink>
        </w:p>
        <w:p>
          <w:pPr>
            <w:pStyle w:val="11"/>
            <w:ind w:left="360"/>
            <w:tabs>
              <w:tab w:val="right" w:leader="dot" w:pos="9026"/>
            </w:tabs>
            <w:spacing w:before="120" w:after="60"/>
          </w:pPr>
          <w:hyperlink w:anchor="_Toc100097" w:history="1">
            <w:r>
              <w:rPr>
                <w:rStyle w:val="Hyperlink"/>
              </w:rPr>
              <w:t>API Design</w:t>
            </w:r>
            <w:r>
              <w:tab/>
            </w:r>
            <w:r>
              <w:fldChar w:fldCharType="begin"/>
            </w:r>
            <w:r>
              <w:instrText xml:space="preserve"> PAGEREF _Toc100097 \h </w:instrText>
            </w:r>
            <w:r>
              <w:fldChar w:fldCharType="separate"/>
            </w:r>
            <w:r>
              <w:t>51</w:t>
            </w:r>
            <w:r>
              <w:fldChar w:fldCharType="end"/>
            </w:r>
          </w:hyperlink>
        </w:p>
        <w:p>
          <w:pPr>
            <w:pStyle w:val="11"/>
            <w:ind w:left="360"/>
            <w:tabs>
              <w:tab w:val="right" w:leader="dot" w:pos="9026"/>
            </w:tabs>
            <w:spacing w:before="120" w:after="60"/>
          </w:pPr>
          <w:hyperlink w:anchor="_Toc100098" w:history="1">
            <w:r>
              <w:rPr>
                <w:rStyle w:val="Hyperlink"/>
              </w:rPr>
              <w:t>Documentation</w:t>
            </w:r>
            <w:r>
              <w:tab/>
            </w:r>
            <w:r>
              <w:fldChar w:fldCharType="begin"/>
            </w:r>
            <w:r>
              <w:instrText xml:space="preserve"> PAGEREF _Toc100098 \h </w:instrText>
            </w:r>
            <w:r>
              <w:fldChar w:fldCharType="separate"/>
            </w:r>
            <w:r>
              <w:t>52</w:t>
            </w:r>
            <w:r>
              <w:fldChar w:fldCharType="end"/>
            </w:r>
          </w:hyperlink>
        </w:p>
        <w:p>
          <w:pPr>
            <w:pStyle w:val="11"/>
            <w:ind w:left="360"/>
            <w:tabs>
              <w:tab w:val="right" w:leader="dot" w:pos="9026"/>
            </w:tabs>
            <w:spacing w:before="120" w:after="60"/>
          </w:pPr>
          <w:hyperlink w:anchor="_Toc100099" w:history="1">
            <w:r>
              <w:rPr>
                <w:rStyle w:val="Hyperlink"/>
              </w:rPr>
              <w:t>CI/CD &amp; Review</w:t>
            </w:r>
            <w:r>
              <w:tab/>
            </w:r>
            <w:r>
              <w:fldChar w:fldCharType="begin"/>
            </w:r>
            <w:r>
              <w:instrText xml:space="preserve"> PAGEREF _Toc100099 \h </w:instrText>
            </w:r>
            <w:r>
              <w:fldChar w:fldCharType="separate"/>
            </w:r>
            <w:r>
              <w:t>53</w:t>
            </w:r>
            <w:r>
              <w:fldChar w:fldCharType="end"/>
            </w:r>
          </w:hyperlink>
        </w:p>
        <w:p>
          <w:pPr>
            <w:pStyle w:val="9"/>
            <w:tabs>
              <w:tab w:val="right" w:leader="dot" w:pos="9026"/>
            </w:tabs>
            <w:spacing w:before="120" w:after="60"/>
          </w:pPr>
          <w:hyperlink w:anchor="_Toc100100" w:history="1">
            <w:r>
              <w:rPr>
                <w:rStyle w:val="Hyperlink"/>
              </w:rPr>
              <w:t>Appendix B: Static Analysis Rules</w:t>
            </w:r>
            <w:r>
              <w:tab/>
            </w:r>
            <w:r>
              <w:fldChar w:fldCharType="begin"/>
            </w:r>
            <w:r>
              <w:instrText xml:space="preserve"> PAGEREF _Toc100100 \h </w:instrText>
            </w:r>
            <w:r>
              <w:fldChar w:fldCharType="separate"/>
            </w:r>
            <w:r>
              <w:t>54</w:t>
            </w:r>
            <w:r>
              <w:fldChar w:fldCharType="end"/>
            </w:r>
          </w:hyperlink>
        </w:p>
        <w:p>
          <w:pPr>
            <w:pStyle w:val="9"/>
            <w:tabs>
              <w:tab w:val="right" w:leader="dot" w:pos="9026"/>
            </w:tabs>
            <w:spacing w:before="120" w:after="60"/>
          </w:pPr>
          <w:hyperlink w:anchor="_Toc100101" w:history="1">
            <w:r>
              <w:rPr>
                <w:rStyle w:val="Hyperlink"/>
              </w:rPr>
              <w:t>Appendix C: Secure Development Lifecycle (SDL)</w:t>
            </w:r>
            <w:r>
              <w:tab/>
            </w:r>
            <w:r>
              <w:fldChar w:fldCharType="begin"/>
            </w:r>
            <w:r>
              <w:instrText xml:space="preserve"> PAGEREF _Toc100101 \h </w:instrText>
            </w:r>
            <w:r>
              <w:fldChar w:fldCharType="separate"/>
            </w:r>
            <w:r>
              <w:t>54</w:t>
            </w:r>
            <w:r>
              <w:fldChar w:fldCharType="end"/>
            </w:r>
          </w:hyperlink>
        </w:p>
        <w:p>
          <w:pPr>
            <w:pStyle w:val="9"/>
            <w:tabs>
              <w:tab w:val="right" w:leader="dot" w:pos="9026"/>
            </w:tabs>
            <w:spacing w:before="120" w:after="60"/>
          </w:pPr>
          <w:hyperlink w:anchor="_Toc100102" w:history="1">
            <w:r>
              <w:rPr>
                <w:rStyle w:val="Hyperlink"/>
              </w:rPr>
              <w:t>Appendix D: Quality Gates</w:t>
            </w:r>
            <w:r>
              <w:tab/>
            </w:r>
            <w:r>
              <w:fldChar w:fldCharType="begin"/>
            </w:r>
            <w:r>
              <w:instrText xml:space="preserve"> PAGEREF _Toc100102 \h </w:instrText>
            </w:r>
            <w:r>
              <w:fldChar w:fldCharType="separate"/>
            </w:r>
            <w:r>
              <w:t>55</w:t>
            </w:r>
            <w:r>
              <w:fldChar w:fldCharType="end"/>
            </w:r>
          </w:hyperlink>
        </w:p>
        <w:p>
          <w:pPr>
            <w:pStyle w:val="9"/>
            <w:tabs>
              <w:tab w:val="right" w:leader="dot" w:pos="9026"/>
            </w:tabs>
            <w:spacing w:before="120" w:after="60"/>
          </w:pPr>
          <w:hyperlink w:anchor="_Toc100103" w:history="1">
            <w:r>
              <w:rPr>
                <w:rStyle w:val="Hyperlink"/>
              </w:rPr>
              <w:t>Appendix E: Glossary</w:t>
            </w:r>
            <w:r>
              <w:tab/>
            </w:r>
            <w:r>
              <w:fldChar w:fldCharType="begin"/>
            </w:r>
            <w:r>
              <w:instrText xml:space="preserve"> PAGEREF _Toc100103 \h </w:instrText>
            </w:r>
            <w:r>
              <w:fldChar w:fldCharType="separate"/>
            </w:r>
            <w:r>
              <w:t>55</w:t>
            </w:r>
            <w:r>
              <w:fldChar w:fldCharType="end"/>
            </w:r>
          </w:hyperlink>
        </w:p>
        <w:p>
          <w:pPr>
            <w:pStyle w:val="9"/>
            <w:tabs>
              <w:tab w:val="right" w:leader="dot" w:pos="9026"/>
            </w:tabs>
            <w:spacing w:before="120" w:after="60"/>
          </w:pPr>
          <w:hyperlink w:anchor="_Toc100104" w:history="1">
            <w:r>
              <w:rPr>
                <w:rStyle w:val="Hyperlink"/>
              </w:rPr>
              <w:t>Document Control &amp; Sign-off</w:t>
            </w:r>
            <w:r>
              <w:tab/>
            </w:r>
            <w:r>
              <w:fldChar w:fldCharType="begin"/>
            </w:r>
            <w:r>
              <w:instrText xml:space="preserve"> PAGEREF _Toc100104 \h </w:instrText>
            </w:r>
            <w:r>
              <w:fldChar w:fldCharType="separate"/>
            </w:r>
            <w:r>
              <w:t>55</w:t>
            </w:r>
            <w:r>
              <w:fldChar w:fldCharType="end"/>
            </w:r>
          </w:hyperlink>
        </w:p>
        <w:p>
          <w:pPr>
            <w:pStyle w:val="11"/>
            <w:ind w:left="360"/>
            <w:tabs>
              <w:tab w:val="right" w:leader="dot" w:pos="9026"/>
            </w:tabs>
            <w:spacing w:before="120" w:after="60"/>
          </w:pPr>
          <w:hyperlink w:anchor="_Toc100105" w:history="1">
            <w:r>
              <w:rPr>
                <w:rStyle w:val="Hyperlink"/>
              </w:rPr>
              <w:t>Approval Matrix</w:t>
            </w:r>
            <w:r>
              <w:tab/>
            </w:r>
            <w:r>
              <w:fldChar w:fldCharType="begin"/>
            </w:r>
            <w:r>
              <w:instrText xml:space="preserve"> PAGEREF _Toc100105 \h </w:instrText>
            </w:r>
            <w:r>
              <w:fldChar w:fldCharType="separate"/>
            </w:r>
            <w:r>
              <w:t>56</w:t>
            </w:r>
            <w:r>
              <w:fldChar w:fldCharType="end"/>
            </w:r>
          </w:hyperlink>
        </w:p>
        <w:p>
          <w:pPr>
            <w:pStyle w:val="11"/>
            <w:ind w:left="360"/>
            <w:tabs>
              <w:tab w:val="right" w:leader="dot" w:pos="9026"/>
            </w:tabs>
            <w:spacing w:before="120" w:after="60"/>
          </w:pPr>
          <w:hyperlink w:anchor="_Toc100106" w:history="1">
            <w:r>
              <w:rPr>
                <w:rStyle w:val="Hyperlink"/>
              </w:rPr>
              <w:t>Revision History</w:t>
            </w:r>
            <w:r>
              <w:tab/>
            </w:r>
            <w:r>
              <w:fldChar w:fldCharType="begin"/>
            </w:r>
            <w:r>
              <w:instrText xml:space="preserve"> PAGEREF _Toc100106 \h </w:instrText>
            </w:r>
            <w:r>
              <w:fldChar w:fldCharType="separate"/>
            </w:r>
            <w:r>
              <w:t>56</w:t>
            </w:r>
            <w:r>
              <w:fldChar w:fldCharType="end"/>
            </w:r>
          </w:hyperlink>
        </w:p>
        <w:p>
          <w:pPr>
            <w:pStyle w:val="11"/>
            <w:ind w:left="360"/>
            <w:tabs>
              <w:tab w:val="right" w:leader="dot" w:pos="9026"/>
            </w:tabs>
            <w:spacing w:before="120" w:after="60"/>
          </w:pPr>
          <w:hyperlink w:anchor="_Toc100107" w:history="1">
            <w:r>
              <w:rPr>
                <w:rStyle w:val="Hyperlink"/>
              </w:rPr>
              <w:t>Document Control</w:t>
            </w:r>
            <w:r>
              <w:tab/>
            </w:r>
            <w:r>
              <w:fldChar w:fldCharType="begin"/>
            </w:r>
            <w:r>
              <w:instrText xml:space="preserve"> PAGEREF _Toc100107 \h </w:instrText>
            </w:r>
            <w:r>
              <w:fldChar w:fldCharType="separate"/>
            </w:r>
            <w:r>
              <w:t>56</w:t>
            </w:r>
            <w:r>
              <w:fldChar w:fldCharType="end"/>
            </w:r>
          </w:hyperlink>
        </w:p>
        <w:p>
          <w:r>
            <w:fldChar w:fldCharType="end"/>
          </w:r>
        </w:p>
      </w:sdtContent>
    </w:sdt>
    <w:p>
      <w:pPr>
        <w:spacing w:after="240" w:before="240"/>
        <w:jc w:val="center"/>
      </w:pPr>
      <w:r>
        <w:rPr>
          <w:rFonts w:ascii="Calibri" w:cs="Nirmala UI" w:eastAsia="Calibri"/>
          <w:i/>
          <w:iCs/>
          <w:color w:val="5B6B7D"/>
          <w:sz w:val="18"/>
          <w:szCs w:val="18"/>
        </w:rPr>
        <w:t xml:space="preserve">Right-click the table above and choose “Update Field” to refresh page numbers.</w:t>
      </w:r>
    </w:p>
    <w:p>
      <w:r>
        <w:br w:type="page"/>
      </w:r>
    </w:p>
    <w:p>
      <w:pPr>
        <w:pStyle w:val="Heading1"/>
        <w:spacing w:after="200" w:before="360" w:line="312"/>
      </w:pPr>
      <w:bookmarkStart w:id="100000" w:name="_Toc100000"/>
      <w:r>
        <w:rPr>
          <w:rFonts w:ascii="Calibri" w:cs="Nirmala UI" w:eastAsia="Calibri"/>
          <w:b/>
          <w:bCs/>
          <w:color w:val="0B1C2C"/>
          <w:sz w:val="32"/>
          <w:szCs w:val="32"/>
        </w:rPr>
        <w:t xml:space="preserve">Introduction</w:t>
      </w:r>
      <w:bookmarkEnd w:id="100000"/>
    </w:p>
    <w:p>
      <w:pPr>
        <w:pStyle w:val="Heading2"/>
        <w:spacing w:after="160" w:before="280" w:line="312"/>
      </w:pPr>
      <w:bookmarkStart w:id="100001" w:name="_Toc100001"/>
      <w:r>
        <w:rPr>
          <w:rFonts w:ascii="Calibri" w:cs="Nirmala UI" w:eastAsia="Calibri"/>
          <w:b/>
          <w:bCs/>
          <w:color w:val="0B1C2C"/>
          <w:sz w:val="28"/>
          <w:szCs w:val="28"/>
        </w:rPr>
        <w:t xml:space="preserve">Document Purpose</w:t>
      </w:r>
      <w:bookmarkEnd w:id="100001"/>
    </w:p>
    <w:p>
      <w:pPr>
        <w:spacing w:after="160" w:before="0" w:line="312"/>
        <w:jc w:val="both"/>
      </w:pPr>
      <w:r>
        <w:rPr>
          <w:rFonts w:ascii="Calibri" w:cs="Nirmala UI" w:eastAsia="Calibri"/>
          <w:color w:val="000000"/>
          <w:sz w:val="24"/>
          <w:szCs w:val="24"/>
        </w:rPr>
        <w:t xml:space="preserve">This Engineering Standards document is the authoritative reference for how software is built, tested, deployed, and operated at PreOne. It consolidates ten sub-standards (ENG-001 through ENG-010) plus five appendices into a single engineering freeze, applicable to every engineer, contractor, and AI-assisted workflow contributing to the PreOne platform. Compliance is mandatory; deviations require architecture approval documented in an Architecture Decision Record (ADR).</w:t>
      </w:r>
    </w:p>
    <w:p>
      <w:pPr>
        <w:spacing w:after="160" w:before="0" w:line="312"/>
        <w:jc w:val="both"/>
      </w:pPr>
      <w:r>
        <w:rPr>
          <w:rFonts w:ascii="Calibri" w:cs="Nirmala UI" w:eastAsia="Calibri"/>
          <w:color w:val="000000"/>
          <w:sz w:val="24"/>
          <w:szCs w:val="24"/>
        </w:rPr>
        <w:t xml:space="preserve">The standards are derived from the predecessor documents — Vision v1.0, ADR Catalog v1.0, DDD v1.0, and Master PRD v1.0 — and operationalize the architectural and business decisions captured in those documents. Where this document and a predecessor conflict, this document takes precedence for engineering execution; the predecessor remains authoritative for product and architectural direction. Successor documents (Coding Guidelines, CI/CD Pipeline, QA Standards, DevOps Standards) will reference this document as the source of truth for engineering rules.</w:t>
      </w:r>
    </w:p>
    <w:p>
      <w:pPr>
        <w:pStyle w:val="Heading2"/>
        <w:spacing w:after="160" w:before="280" w:line="312"/>
      </w:pPr>
      <w:bookmarkStart w:id="100002" w:name="_Toc100002"/>
      <w:r>
        <w:rPr>
          <w:rFonts w:ascii="Calibri" w:cs="Nirmala UI" w:eastAsia="Calibri"/>
          <w:b/>
          <w:bCs/>
          <w:color w:val="0B1C2C"/>
          <w:sz w:val="28"/>
          <w:szCs w:val="28"/>
        </w:rPr>
        <w:t xml:space="preserve">Scope &amp; Applicability</w:t>
      </w:r>
      <w:bookmarkEnd w:id="100002"/>
    </w:p>
    <w:p>
      <w:pPr>
        <w:spacing w:after="160" w:before="0" w:line="312"/>
        <w:jc w:val="both"/>
      </w:pPr>
      <w:r>
        <w:rPr>
          <w:rFonts w:ascii="Calibri" w:cs="Nirmala UI" w:eastAsia="Calibri"/>
          <w:color w:val="000000"/>
          <w:sz w:val="24"/>
          <w:szCs w:val="24"/>
        </w:rPr>
        <w:t xml:space="preserve">These standards apply to all production code running under the PreOne brand: the backend API (NestJS + TypeScript + Prisma + PostgreSQL), the web frontend (Next.js 16), the mobile apps (React Native), the infrastructure layer (Terraform + Kubernetes + Helm), and the supporting tooling (code generators, migration scripts, data seeders). They apply to first-party engineers, contractors, and AI-generated code alike. Code that does not follow these standards does not merge, regardless of author or deadline.</w:t>
      </w:r>
    </w:p>
    <w:p>
      <w:pPr>
        <w:spacing w:after="160" w:before="0" w:line="312"/>
        <w:jc w:val="both"/>
      </w:pPr>
      <w:r>
        <w:rPr>
          <w:rFonts w:ascii="Calibri" w:cs="Nirmala UI" w:eastAsia="Calibri"/>
          <w:color w:val="000000"/>
          <w:sz w:val="24"/>
          <w:szCs w:val="24"/>
        </w:rPr>
        <w:t xml:space="preserve">Out of scope: marketing websites (governed by brand guidelines, not engineering standards), internal hack-week prototypes (governed by lighter rules), and third-party vendor code running in customer environments (governed by vendor SLA). However, any code that processes PreOne customer data — regardless of where it runs — must comply with the security standards in ENG-004 and the data protection clauses of the Master PRD.</w:t>
      </w:r>
    </w:p>
    <w:p>
      <w:pPr>
        <w:pStyle w:val="Heading2"/>
        <w:spacing w:after="160" w:before="280" w:line="312"/>
      </w:pPr>
      <w:bookmarkStart w:id="100003" w:name="_Toc100003"/>
      <w:r>
        <w:rPr>
          <w:rFonts w:ascii="Calibri" w:cs="Nirmala UI" w:eastAsia="Calibri"/>
          <w:b/>
          <w:bCs/>
          <w:color w:val="0B1C2C"/>
          <w:sz w:val="28"/>
          <w:szCs w:val="28"/>
        </w:rPr>
        <w:t xml:space="preserve">How to Use This Document</w:t>
      </w:r>
      <w:bookmarkEnd w:id="100003"/>
    </w:p>
    <w:p>
      <w:pPr>
        <w:spacing w:after="160" w:before="0" w:line="312"/>
        <w:jc w:val="both"/>
      </w:pPr>
      <w:r>
        <w:rPr>
          <w:rFonts w:ascii="Calibri" w:cs="Nirmala UI" w:eastAsia="Calibri"/>
          <w:color w:val="000000"/>
          <w:sz w:val="24"/>
          <w:szCs w:val="24"/>
        </w:rPr>
        <w:t xml:space="preserve">Each of the ten sub-standards (ENG-001 through ENG-010) is self-contained and can be read independently. An engineer working on a new endpoint should read ENG-002 (Coding &amp; Naming), ENG-003 (API &amp; Database), ENG-004 (Security), ENG-005 (Logging), and ENG-006 (Testing) before writing code. An engineer setting up a new service should additionally read ENG-001 (Architecture), ENG-008 (CI/CD), and ENG-009 (Performance &amp; Monitoring). An engineer using AI tools should read ENG-010. Appendices A through E provide cross-cutting checklists, static analysis rules, the secure development lifecycle, quality gates, and a glossary.</w:t>
      </w:r>
    </w:p>
    <w:p>
      <w:pPr>
        <w:spacing w:after="160" w:before="0" w:line="312"/>
        <w:jc w:val="both"/>
      </w:pPr>
      <w:r>
        <w:rPr>
          <w:rFonts w:ascii="Calibri" w:cs="Nirmala UI" w:eastAsia="Calibri"/>
          <w:color w:val="000000"/>
          <w:sz w:val="24"/>
          <w:szCs w:val="24"/>
        </w:rPr>
        <w:t xml:space="preserve">The Engineering Checklist (Appendix A) is the consolidated pre-merge bar. Print it, pin it, use it on every PR. The Static Analysis Rules (Appendix B) are enforced by CI automatically; understanding them helps write code that passes on the first try. The Secure Development Lifecycle (Appendix C) governs feature-level security from requirements through release. The Quality Gates (Appendix D) define what blocks merge and what blocks release. The Glossary (Appendix E) defines PreOne-specific terminology used throughout.</w:t>
      </w:r>
    </w:p>
    <w:p>
      <w:pPr>
        <w:pStyle w:val="Heading2"/>
        <w:spacing w:after="160" w:before="280" w:line="312"/>
      </w:pPr>
      <w:bookmarkStart w:id="100004" w:name="_Toc100004"/>
      <w:r>
        <w:rPr>
          <w:rFonts w:ascii="Calibri" w:cs="Nirmala UI" w:eastAsia="Calibri"/>
          <w:b/>
          <w:bCs/>
          <w:color w:val="0B1C2C"/>
          <w:sz w:val="28"/>
          <w:szCs w:val="28"/>
        </w:rPr>
        <w:t xml:space="preserve">Document Hierarchy</w:t>
      </w:r>
      <w:bookmarkEnd w:id="10000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Document</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Relationship</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Authority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Vision Document</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Predecessor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&amp; business direction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ADR Catalog</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Predecessor</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Architectural decisions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DDD Document</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Predecessor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model and bounded contexts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Master PRD</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Predecessor</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requirements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**Engineering Standards**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**This document**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**Engineering execution**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Coding Guidelines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Successor</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Detailed code patterns (per-language)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CI/CD Pipeline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Successor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Pipeline configuration reference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QA Standards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Successor</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Test strategy and tooling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DevOps Standards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Successor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 and operations</w:t>
            </w:r>
          </w:p>
        </w:tc>
      </w:tr>
    </w:tbl>
    <w:p>
      <w:pPr>
        <w:pStyle w:val="Heading2"/>
        <w:spacing w:after="160" w:before="280" w:line="312"/>
      </w:pPr>
      <w:bookmarkStart w:id="100005" w:name="_Toc100005"/>
      <w:r>
        <w:rPr>
          <w:rFonts w:ascii="Calibri" w:cs="Nirmala UI" w:eastAsia="Calibri"/>
          <w:b/>
          <w:bCs/>
          <w:color w:val="0B1C2C"/>
          <w:sz w:val="28"/>
          <w:szCs w:val="28"/>
        </w:rPr>
        <w:t xml:space="preserve">Standards Series Overview</w:t>
      </w:r>
      <w:bookmarkEnd w:id="100005"/>
    </w:p>
    <w:p>
      <w:pPr>
        <w:spacing w:after="160" w:before="0" w:line="312"/>
        <w:jc w:val="both"/>
      </w:pPr>
      <w:r>
        <w:rPr>
          <w:rFonts w:ascii="Calibri" w:cs="Nirmala UI" w:eastAsia="Calibri"/>
          <w:color w:val="000000"/>
          <w:sz w:val="24"/>
          <w:szCs w:val="24"/>
        </w:rPr>
        <w:t xml:space="preserve">The Engineering Standards series is structured as ten independent sub-standards, each focused on a specific engineering discipline. This modular structure allows engineers to consume only the standards relevant to their current task, enables AI-assisted development to load only the relevant context, and supports independent versioning as each discipline evolves. The table below summarizes the ten sub-standards and their primary audience.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ID</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Title</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Primary Audience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ENG-001</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Engineering Principles &amp; Architecture Standards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engineers, architects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ENG-002</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Coding &amp; Naming Standards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engineers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ENG-003</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&amp; Database Standards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Backend engineers, DBAs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ENG-004</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Engineering Standards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engineers, security team</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ENG-005</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Logging &amp; Observability Standards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engineers, on-call</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ENG-006</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Testing &amp; QA Standards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engineers, QA</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ENG-007</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Review &amp; Git Standards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engineers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ENG-008</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CI/CD &amp; DevOps Standards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DevOps, release managers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ENG-009</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&amp; Monitoring Standards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engineers, on-call</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ENG-010</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AI-Assisted Development Standards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engineers using AI tools</w:t>
            </w:r>
          </w:p>
        </w:tc>
      </w:tr>
    </w:tbl>
    <w:p>
      <w:r>
        <w:br w:type="page"/>
      </w:r>
    </w:p>
    <w:p>
      <w:pPr>
        <w:pStyle w:val="Heading1"/>
        <w:spacing w:after="200" w:before="360" w:line="312"/>
      </w:pPr>
      <w:bookmarkStart w:id="100006" w:name="_Toc100006"/>
      <w:r>
        <w:rPr>
          <w:rFonts w:ascii="Calibri" w:cs="Nirmala UI" w:eastAsia="Calibri"/>
          <w:b/>
          <w:bCs/>
          <w:color w:val="0B1C2C"/>
          <w:sz w:val="32"/>
          <w:szCs w:val="32"/>
        </w:rPr>
        <w:t xml:space="preserve">ENG-001: Engineering Principles &amp; Architecture Standards</w:t>
      </w:r>
      <w:bookmarkEnd w:id="100006"/>
    </w:p>
    <w:p>
      <w:pPr>
        <w:spacing w:after="160" w:before="0" w:line="312"/>
        <w:jc w:val="both"/>
      </w:pPr>
      <w:r>
        <w:rPr>
          <w:rFonts w:ascii="Calibri" w:cs="Nirmala UI" w:eastAsia="Calibri"/>
          <w:color w:val="000000"/>
          <w:sz w:val="24"/>
          <w:szCs w:val="24"/>
        </w:rPr>
        <w:t xml:space="preserve">Establish the foundational engineering philosophy and architectural guardrails that every PreOne engineer, contractor, and AI-assisted workflow must follow. This standard defines the non-negotiable principles, layered architecture, DDD alignment, and project structure conventions that ensure long-term maintainability, security, and scalability across the PreOne platform.</w:t>
      </w:r>
    </w:p>
    <w:p>
      <w:pPr>
        <w:pStyle w:val="Heading2"/>
        <w:spacing w:after="160" w:before="280" w:line="312"/>
      </w:pPr>
      <w:bookmarkStart w:id="100007" w:name="_Toc100007"/>
      <w:r>
        <w:rPr>
          <w:rFonts w:ascii="Calibri" w:cs="Nirmala UI" w:eastAsia="Calibri"/>
          <w:b/>
          <w:bCs/>
          <w:color w:val="0B1C2C"/>
          <w:sz w:val="28"/>
          <w:szCs w:val="28"/>
        </w:rPr>
        <w:t xml:space="preserve">Core Philosophy</w:t>
      </w:r>
      <w:bookmarkEnd w:id="100007"/>
    </w:p>
    <w:p>
      <w:pPr>
        <w:spacing w:after="160" w:before="0" w:line="312"/>
        <w:jc w:val="both"/>
      </w:pPr>
      <w:r>
        <w:rPr>
          <w:rFonts w:ascii="Calibri" w:cs="Nirmala UI" w:eastAsia="Calibri"/>
          <w:color w:val="000000"/>
          <w:sz w:val="24"/>
          <w:szCs w:val="24"/>
        </w:rPr>
        <w:t xml:space="preserve">PreOne engineering follows a strict priority order: Readable before Maintainable, Maintainable before Secure, Secure before Testable, Testable before Observable, Observable before Scalable. When two values conflict, the earlier value wins. A scalable system that is unreadable will not survive the next engineer; a fast system that is unobservable will not survive the next incident. This priority order is the foundation of every architectural and engineering decision at PreOne.</w:t>
      </w:r>
    </w:p>
    <w:p>
      <w:pPr>
        <w:spacing w:after="160" w:before="0" w:line="312"/>
        <w:jc w:val="both"/>
      </w:pPr>
      <w:r>
        <w:rPr>
          <w:rFonts w:ascii="Calibri" w:cs="Nirmala UI" w:eastAsia="Calibri"/>
          <w:color w:val="000000"/>
          <w:sz w:val="24"/>
          <w:szCs w:val="24"/>
        </w:rPr>
        <w:t xml:space="preserve">The philosophy is operationalized through ten engineering rules (below), a layered architecture that separates concerns, DDD alignment that protects the domain core, and a project structure that mirrors the bounded contexts. Every engineer must internalize these principles before contributing to the codebase. Code review enforces them; CI automates them; this document codifies them.</w:t>
      </w:r>
    </w:p>
    <w:p>
      <w:pPr>
        <w:pStyle w:val="Heading2"/>
        <w:spacing w:after="160" w:before="280" w:line="312"/>
      </w:pPr>
      <w:bookmarkStart w:id="100008" w:name="_Toc100008"/>
      <w:r>
        <w:rPr>
          <w:rFonts w:ascii="Calibri" w:cs="Nirmala UI" w:eastAsia="Calibri"/>
          <w:b/>
          <w:bCs/>
          <w:color w:val="0B1C2C"/>
          <w:sz w:val="28"/>
          <w:szCs w:val="28"/>
        </w:rPr>
        <w:t xml:space="preserve">Six Engineering Priorities</w:t>
      </w:r>
      <w:bookmarkEnd w:id="10000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Priority</w:t>
            </w:r>
          </w:p>
        </w:tc>
        <w:tc>
          <w:tcPr>
            <w:tcW w:type="pct" w:w="8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Readable</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is read 10× more than it is written. Optimize for the next reader, not the current writer. Names must reveal intent; structure must reveal architecture; comments must reveal the why, not the what.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Maintainable</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change must leave the codebase healthier than it was found. Maintainability is measured by the time it takes a new engineer to safely make a change — not by the cleverness of the original implementation.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Secure</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is a default, not a feature. Every input is hostile until validated; every output is leaky until sanitized; every secret is exposed until rotated; every privilege is abused until scoped.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Testable</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it cannot be tested, it cannot be trusted. Business logic must be isolated from infrastructure; dependencies must be injectable; side effects must be explicit; coverage must be measurable.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Observable</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 behavior must be reconstructable from logs, metrics, and traces alone. If a bug cannot be diagnosed without adding new code, the system is not observable — it is only running.</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Scalable</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for 10× current load without re-architecture. Statelessness, idempotency, async boundaries, and horizontal scaling are defaults — not optimizations added later.</w:t>
            </w:r>
          </w:p>
        </w:tc>
      </w:tr>
    </w:tbl>
    <w:p>
      <w:pPr>
        <w:pStyle w:val="Heading2"/>
        <w:spacing w:after="160" w:before="280" w:line="312"/>
      </w:pPr>
      <w:bookmarkStart w:id="100009" w:name="_Toc100009"/>
      <w:r>
        <w:rPr>
          <w:rFonts w:ascii="Calibri" w:cs="Nirmala UI" w:eastAsia="Calibri"/>
          <w:b/>
          <w:bCs/>
          <w:color w:val="0B1C2C"/>
          <w:sz w:val="28"/>
          <w:szCs w:val="28"/>
        </w:rPr>
        <w:t xml:space="preserve">Ten Engineering Rules</w:t>
      </w:r>
      <w:bookmarkEnd w:id="10000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Clean Code First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must express intent through naming, structure, and minimal abstractions. Cleverness is a defect. If a junior engineer cannot read it in one pass, rewrite it.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Logic inside Domain</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business rules, state transitions, and invariants live inside DDD aggregates and domain services. Controllers, repositories, and DTOs must never contain business logic — only orchestration and translation.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by Default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endpoint requires authentication and authorization by default — public access must be explicitly declared and reviewed. Every database query is parameterized. Every secret comes from Vault or env var — never hardcoded.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Fail Fast</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Validate inputs at the boundary (controller / DTO). Throw domain exceptions at the core. Never swallow errors silently. Never return null when an empty collection or exception communicates intent.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Explicit over Implicit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Prefer named arguments, explicit types, and visible dependencies over magic strings, dynamic typing, and hidden side effects. Dependency injection over global state. Named exports over default exports.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Immutable where possible</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Value Objects are immutable. DTOs are immutable. Configuration is immutable per request. Mutation is restricted to aggregate roots and only through intent-revealing methods.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Small Components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 function size 50 lines, max class size 500 lines, max file size 400 lines, max nesting 3 levels, max parameters 5. Anything larger is a refactor candidate, not a PR.</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Responsibility</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Each module, class, and function has exactly one reason to change. A controller that also validates, persists, and notifies violates this — split it.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DRY (Don't Repeat Yourself)</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Duplication of business rules or domain knowledge is forbidden. Duplication of boilerplate is acceptable when extraction would couple unrelated modules.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KISS (Keep It Simple, Stupid)</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The simplest correct solution is the best solution. Architecture astronauts will be grounded. Premature abstraction is worse than duplication.</w:t>
            </w:r>
          </w:p>
        </w:tc>
      </w:tr>
    </w:tbl>
    <w:p>
      <w:pPr>
        <w:pStyle w:val="Heading2"/>
        <w:spacing w:after="160" w:before="280" w:line="312"/>
      </w:pPr>
      <w:bookmarkStart w:id="100010" w:name="_Toc100010"/>
      <w:r>
        <w:rPr>
          <w:rFonts w:ascii="Calibri" w:cs="Nirmala UI" w:eastAsia="Calibri"/>
          <w:b/>
          <w:bCs/>
          <w:color w:val="0B1C2C"/>
          <w:sz w:val="28"/>
          <w:szCs w:val="28"/>
        </w:rPr>
        <w:t xml:space="preserve">Layered Architecture</w:t>
      </w:r>
      <w:bookmarkEnd w:id="100010"/>
    </w:p>
    <w:p>
      <w:pPr>
        <w:spacing w:after="160" w:before="0" w:line="312"/>
        <w:jc w:val="both"/>
      </w:pPr>
      <w:r>
        <w:rPr>
          <w:rFonts w:ascii="Calibri" w:cs="Nirmala UI" w:eastAsia="Calibri"/>
          <w:color w:val="000000"/>
          <w:sz w:val="24"/>
          <w:szCs w:val="24"/>
        </w:rPr>
        <w:t xml:space="preserve">PreOne follows a strict four-layer architecture inspired by DDD and Hexagonal Architecture. Each layer has a single responsibility and a strictly enforced dependency direction: Presentation depends on Application; Application depends on Domain and Infrastructure interfaces; Domain depends on nothing; Infrastructure implements Domain interfaces. Violations of this dependency direction — such as a controller calling a repository directly, or a domain entity importing Prisma — are blocking code review findings.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Allowed Dependencies</w:t>
            </w:r>
          </w:p>
        </w:tc>
        <w:tc>
          <w:tcPr>
            <w:tcW w:type="pct" w:w="21%"/>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Forbidden Dependencies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Presentation (Controller)</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HTTP routing, request parsing, DTO validation, response serialization, auth scope enforcement. Zero business logic.</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Layer only</w:t>
            </w:r>
          </w:p>
        </w:tc>
        <w:tc>
          <w:tcPr>
            <w:tcW w:type="pct" w:w="2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Infrastructure (direct)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Service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Orchestrates use cases, coordinates aggregates, manages transactions, publishes domain events. Contains no business rules — only workflow.</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Layer, Infrastructure Interfaces</w:t>
            </w:r>
          </w:p>
        </w:tc>
        <w:tc>
          <w:tcPr>
            <w:tcW w:type="pct" w:w="2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HTTP, ORM, external APIs directly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(Aggregate / Entity / VO)</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rules, invariants, state transitions. Pure TypeScript, no framework deps, no I/O. The heart of the system.</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Other domain objects only</w:t>
            </w:r>
          </w:p>
        </w:tc>
        <w:tc>
          <w:tcPr>
            <w:tcW w:type="pct" w:w="2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Any layer above or infrastructure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 (Repository / Gateway / Adapter)</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Persistence (Prisma), external API calls, message bus, file storage. Implements interfaces declared in Domain or Application.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interfaces, external libs</w:t>
            </w:r>
          </w:p>
        </w:tc>
        <w:tc>
          <w:tcPr>
            <w:tcW w:type="pct" w:w="2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logic of any kind</w:t>
            </w:r>
          </w:p>
        </w:tc>
      </w:tr>
    </w:tbl>
    <w:p>
      <w:pPr>
        <w:pStyle w:val="Heading3"/>
        <w:spacing w:after="120" w:before="220" w:line="312"/>
      </w:pPr>
      <w:bookmarkStart w:id="100011" w:name="_Toc100011"/>
      <w:r>
        <w:rPr>
          <w:rFonts w:ascii="Calibri" w:cs="Nirmala UI" w:eastAsia="Calibri"/>
          <w:b/>
          <w:bCs/>
          <w:color w:val="529286"/>
          <w:sz w:val="26"/>
          <w:szCs w:val="26"/>
        </w:rPr>
        <w:t xml:space="preserve">Forbidden Architecture Patterns</w:t>
      </w:r>
      <w:bookmarkEnd w:id="100011"/>
    </w:p>
    <w:p>
      <w:pPr>
        <w:spacing w:after="160" w:before="0" w:line="312"/>
        <w:jc w:val="both"/>
      </w:pPr>
      <w:r>
        <w:rPr>
          <w:rFonts w:ascii="Calibri" w:cs="Nirmala UI" w:eastAsia="Calibri"/>
          <w:color w:val="000000"/>
          <w:sz w:val="24"/>
          <w:szCs w:val="24"/>
        </w:rPr>
        <w:t xml:space="preserve">The following architecture patterns are explicitly forbidden. Their presence in a PR is a blocking review finding — not a suggestion, not a 'refactor later', but a 'do not merge until fixed'.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Controller → Repository (skips Application and Domain layers)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Controller ↓ Repository (with business logic in controller)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Domain → Prisma (couples pure domain to ORM)</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Repository → Controller (inverse dependency)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Cross-aggregate direct reference (must use ID, not object reference)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Aggregate root reaches into another aggregate's internals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Service that holds mutable static state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Domain service that calls database directly</w:t>
      </w:r>
    </w:p>
    <w:p>
      <w:pPr>
        <w:pStyle w:val="Heading2"/>
        <w:spacing w:after="160" w:before="280" w:line="312"/>
      </w:pPr>
      <w:bookmarkStart w:id="100012" w:name="_Toc100012"/>
      <w:r>
        <w:rPr>
          <w:rFonts w:ascii="Calibri" w:cs="Nirmala UI" w:eastAsia="Calibri"/>
          <w:b/>
          <w:bCs/>
          <w:color w:val="0B1C2C"/>
          <w:sz w:val="28"/>
          <w:szCs w:val="28"/>
        </w:rPr>
        <w:t xml:space="preserve">Domain-Driven Design Alignment</w:t>
      </w:r>
      <w:bookmarkEnd w:id="100012"/>
    </w:p>
    <w:p>
      <w:pPr>
        <w:spacing w:after="160" w:before="0" w:line="312"/>
        <w:jc w:val="both"/>
      </w:pPr>
      <w:r>
        <w:rPr>
          <w:rFonts w:ascii="Calibri" w:cs="Nirmala UI" w:eastAsia="Calibri"/>
          <w:color w:val="000000"/>
          <w:sz w:val="24"/>
          <w:szCs w:val="24"/>
        </w:rPr>
        <w:t xml:space="preserve">PreOne's architecture is DDD-aligned: each bounded context owns its own domain model, ubiquitous language, and aggregate roots. Cross-context communication happens via domain events or anti-corruption layers, never via direct database access or shared mutable state. The eight DDD rules below are non-negotiable; they protect the integrity of the domain model and prevent the 'big ball of mud' anti-pattern that plagues monolithic systems without clear boundaries.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DDD Rule</w:t>
            </w:r>
          </w:p>
        </w:tc>
        <w:tc>
          <w:tcPr>
            <w:tcW w:type="pct" w:w="7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Aggregate = One Transaction</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 single transaction boundary never spans multiple aggregates. Cross-aggregate coordination uses domain events and eventual consistency, not foreign locks.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Repository only for Aggregate Root</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Repositories exist exclusively for aggregate roots. Internal entities are loaded and persisted through their root, never directly. There is no StudentProfileRepository — only StudentRepository.</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Value Objects are immutable</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Money, Address, DateRange, Quantity, TaxBreakup are all value objects. Equality is structural (all fields equal), not referential. Mutation returns a new instance.</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Entities have identity</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Entities (Student, Invoice, Staff) are defined by their ID, not their attributes. Two students with the same name but different IDs are different students.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 enforces invariants</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aggregate root enforces its own consistency rules. If Invoice.total != sum(items.price), the Invoice throws, not the controller or service.</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events for cross-aggregate</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Admission is approved, it raises AdmissionApproved. Student listens and creates a Student record. The Admission aggregate does not call StudentRepository — that would couple aggregates.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Bounded contexts own their language</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 word 'Student' in the Admissions context means 'candidate'; in the Student context it means 'enrolled child'; in Finance it means 'payer'. Each context's ubiquitous language is sovereign.</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Anti-Corruption Layer for external</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gateways, WhatsApp, government APIs — all isolated behind an ACL that translates external schemas into PreOne domain models. Provider changes never leak past the ACL.</w:t>
            </w:r>
          </w:p>
        </w:tc>
      </w:tr>
    </w:tbl>
    <w:p>
      <w:pPr>
        <w:pStyle w:val="Heading2"/>
        <w:spacing w:after="160" w:before="280" w:line="312"/>
      </w:pPr>
      <w:bookmarkStart w:id="100013" w:name="_Toc100013"/>
      <w:r>
        <w:rPr>
          <w:rFonts w:ascii="Calibri" w:cs="Nirmala UI" w:eastAsia="Calibri"/>
          <w:b/>
          <w:bCs/>
          <w:color w:val="0B1C2C"/>
          <w:sz w:val="28"/>
          <w:szCs w:val="28"/>
        </w:rPr>
        <w:t xml:space="preserve">Project Structure Standards</w:t>
      </w:r>
      <w:bookmarkEnd w:id="100013"/>
    </w:p>
    <w:p>
      <w:pPr>
        <w:spacing w:after="160" w:before="0" w:line="312"/>
        <w:jc w:val="both"/>
      </w:pPr>
      <w:r>
        <w:rPr>
          <w:rFonts w:ascii="Calibri" w:cs="Nirmala UI" w:eastAsia="Calibri"/>
          <w:color w:val="000000"/>
          <w:sz w:val="24"/>
          <w:szCs w:val="24"/>
        </w:rPr>
        <w:t xml:space="preserve">The PreOne monorepo is organized by bounded context, with shared kernels extracted into packages. Each domain folder contains the full vertical slice (controller, service, repository, entity, DTO, mapper, module, spec) for its aggregates. Cross-cutting concerns (auth, RBAC, audit) live in the platform folder. Truly shared value objects (Money, DateRange) live in the shared package and require architecture review to modify.</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Path</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Owner</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/apps/api/src/domains/admissions/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bounded context — controller, application, domain, infrastructure folders per aggregate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Squad</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/apps/api/src/domains/student/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bounded context — student master, classroom, promotion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Squad</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/apps/api/src/domains/finance/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bounded context — invoice, payment, refund, fee plan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Squad</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/apps/api/src/platform/</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Cross-cutting: auth, RBAC, audit, tenancy, AI gateway, integration manager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Squad</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/apps/api/src/shared/</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Truly shared kernel — Money VO, DateRange VO, pagination, error codes, base classes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Squad (gated)</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/apps/web/</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Next.js 16 frontend — admin portal, parent app, teacher app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Frontend Squad</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/apps/mobile/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React Native parent + teacher mobile apps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Mobile Squad</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/packages/contracts/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Shared TypeScript types — DTOs, enums, event schemas — consumed by all apps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Squad</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/packages/ui/</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 design system components — buttons, tables, forms — used by all frontends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Frontend Squad</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/infra/</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Terraform, Kubernetes manifests, Helm charts, deployment scripts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DevOps Squad</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ADR catalog, ERD, API specs, runbooks, postmortems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/tools/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 generators, migration scripts, data seeders, linters config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Squad</w:t>
            </w:r>
          </w:p>
        </w:tc>
      </w:tr>
    </w:tbl>
    <w:p>
      <w:pPr>
        <w:pStyle w:val="Heading2"/>
        <w:spacing w:after="160" w:before="280" w:line="312"/>
      </w:pPr>
      <w:bookmarkStart w:id="100014" w:name="_Toc100014"/>
      <w:r>
        <w:rPr>
          <w:rFonts w:ascii="Calibri" w:cs="Nirmala UI" w:eastAsia="Calibri"/>
          <w:b/>
          <w:bCs/>
          <w:color w:val="0B1C2C"/>
          <w:sz w:val="28"/>
          <w:szCs w:val="28"/>
        </w:rPr>
        <w:t xml:space="preserve">Per-Aggregate File Structure</w:t>
      </w:r>
      <w:bookmarkEnd w:id="100014"/>
    </w:p>
    <w:p>
      <w:pPr>
        <w:spacing w:after="160" w:before="0" w:line="312"/>
        <w:jc w:val="both"/>
      </w:pPr>
      <w:r>
        <w:rPr>
          <w:rFonts w:ascii="Calibri" w:cs="Nirmala UI" w:eastAsia="Calibri"/>
          <w:color w:val="000000"/>
          <w:sz w:val="24"/>
          <w:szCs w:val="24"/>
        </w:rPr>
        <w:t xml:space="preserve">Each aggregate in a bounded context is represented by a fixed set of eight files, each with a single responsibility. This consistency allows any engineer to navigate any aggregate in the codebase without reading documentation — the file structure itself is the documentation. New aggregates must follow this pattern exactly; deviations require architecture approval.</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File</w:t>
            </w:r>
          </w:p>
        </w:tc>
        <w:tc>
          <w:tcPr>
            <w:tcW w:type="pct" w:w="6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student.controller.ts</w:t>
            </w:r>
          </w:p>
        </w:tc>
        <w:tc>
          <w:tcPr>
            <w:tcW w:type="pct" w:w="6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HTTP entrypoint — route handlers, DTO binding, auth guard, response mapping</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student.service.ts</w:t>
            </w:r>
          </w:p>
        </w:tc>
        <w:tc>
          <w:tcPr>
            <w:tcW w:type="pct" w:w="6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service — orchestrates use case, opens transaction, publishes events</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student.repository.ts</w:t>
            </w:r>
          </w:p>
        </w:tc>
        <w:tc>
          <w:tcPr>
            <w:tcW w:type="pct" w:w="6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 — Prisma implementation of IStudentRepository interface</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student.entity.ts</w:t>
            </w:r>
          </w:p>
        </w:tc>
        <w:tc>
          <w:tcPr>
            <w:tcW w:type="pct" w:w="6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 aggregate root with invariants, factory methods, state transitions</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student.dto.ts</w:t>
            </w:r>
          </w:p>
        </w:tc>
        <w:tc>
          <w:tcPr>
            <w:tcW w:type="pct" w:w="6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Contracts — request/response DTOs with class-validator decorators</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student.mapper.ts</w:t>
            </w:r>
          </w:p>
        </w:tc>
        <w:tc>
          <w:tcPr>
            <w:tcW w:type="pct" w:w="6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Pure functions — DTO ↔ Entity ↔ Prisma Model translations</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student.module.ts</w:t>
            </w:r>
          </w:p>
        </w:tc>
        <w:tc>
          <w:tcPr>
            <w:tcW w:type="pct" w:w="6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NestJS module — wires controller, service, repository, providers</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student.spec.ts</w:t>
            </w:r>
          </w:p>
        </w:tc>
        <w:tc>
          <w:tcPr>
            <w:tcW w:type="pct" w:w="6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Unit tests — entity behavior, service orchestration, mapper purity</w:t>
            </w:r>
          </w:p>
        </w:tc>
      </w:tr>
    </w:tbl>
    <w:p>
      <w:r>
        <w:br w:type="page"/>
      </w:r>
    </w:p>
    <w:p>
      <w:pPr>
        <w:pStyle w:val="Heading1"/>
        <w:spacing w:after="200" w:before="360" w:line="312"/>
      </w:pPr>
      <w:bookmarkStart w:id="100015" w:name="_Toc100015"/>
      <w:r>
        <w:rPr>
          <w:rFonts w:ascii="Calibri" w:cs="Nirmala UI" w:eastAsia="Calibri"/>
          <w:b/>
          <w:bCs/>
          <w:color w:val="0B1C2C"/>
          <w:sz w:val="32"/>
          <w:szCs w:val="32"/>
        </w:rPr>
        <w:t xml:space="preserve">ENG-002: Coding &amp; Naming Standards</w:t>
      </w:r>
      <w:bookmarkEnd w:id="100015"/>
    </w:p>
    <w:p>
      <w:pPr>
        <w:spacing w:after="160" w:before="0" w:line="312"/>
        <w:jc w:val="both"/>
      </w:pPr>
      <w:r>
        <w:rPr>
          <w:rFonts w:ascii="Calibri" w:cs="Nirmala UI" w:eastAsia="Calibri"/>
          <w:color w:val="000000"/>
          <w:sz w:val="24"/>
          <w:szCs w:val="24"/>
        </w:rPr>
        <w:t xml:space="preserve">Define the language, structure, size limits, and naming conventions that every line of PreOne code must follow. These standards are enforced by ESLint, Prettier, SonarQube, and mandatory code review — not by goodwill. Code that fails these gates does not merge, regardless of author or deadline.</w:t>
      </w:r>
    </w:p>
    <w:p>
      <w:pPr>
        <w:pStyle w:val="Heading2"/>
        <w:spacing w:after="160" w:before="280" w:line="312"/>
      </w:pPr>
      <w:bookmarkStart w:id="100016" w:name="_Toc100016"/>
      <w:r>
        <w:rPr>
          <w:rFonts w:ascii="Calibri" w:cs="Nirmala UI" w:eastAsia="Calibri"/>
          <w:b/>
          <w:bCs/>
          <w:color w:val="0B1C2C"/>
          <w:sz w:val="28"/>
          <w:szCs w:val="28"/>
        </w:rPr>
        <w:t xml:space="preserve">Language &amp; Framework Stack</w:t>
      </w:r>
      <w:bookmarkEnd w:id="100016"/>
    </w:p>
    <w:p>
      <w:pPr>
        <w:spacing w:after="160" w:before="0" w:line="312"/>
        <w:jc w:val="both"/>
      </w:pPr>
      <w:r>
        <w:rPr>
          <w:rFonts w:ascii="Calibri" w:cs="Nirmala UI" w:eastAsia="Calibri"/>
          <w:color w:val="000000"/>
          <w:sz w:val="24"/>
          <w:szCs w:val="24"/>
        </w:rPr>
        <w:t xml:space="preserve">PreOne's technology stack is intentionally narrow. Every language and framework choice has been made deliberately, with a focus on type safety, ecosystem maturity, and long-term maintainability. Engineers do not introduce new languages or frameworks without architecture approval documented in an ADR. This discipline prevents the 'technology zoo' that makes long-term maintenance expensive.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8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Choice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w:t>
            </w:r>
          </w:p>
        </w:tc>
        <w:tc>
          <w:tcPr>
            <w:tcW w:type="pct" w:w="8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TypeScript</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StrictMode</w:t>
            </w:r>
          </w:p>
        </w:tc>
        <w:tc>
          <w:tcPr>
            <w:tcW w:type="pct" w:w="8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Strict (no implicit any, no implicit this, no null without explicit check)</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Ecmascript</w:t>
            </w:r>
          </w:p>
        </w:tc>
        <w:tc>
          <w:tcPr>
            <w:tcW w:type="pct" w:w="8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Latest stable (ES2024+ features allowed: optional chaining, nullish coalescing, top-level await in scripts, structured clone)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Backend</w:t>
            </w:r>
          </w:p>
        </w:tc>
        <w:tc>
          <w:tcPr>
            <w:tcW w:type="pct" w:w="8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NestJS 11+ with decorators, dependency injection, and module-per-aggregate structure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Orm</w:t>
            </w:r>
          </w:p>
        </w:tc>
        <w:tc>
          <w:tcPr>
            <w:tcW w:type="pct" w:w="8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5+ with raw SQL only for analytics queries (reviewed by architecture)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w:t>
            </w:r>
          </w:p>
        </w:tc>
        <w:tc>
          <w:tcPr>
            <w:tcW w:type="pct" w:w="8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16+ with UUID primary keys, JSONB for flexible metadata, partial indexes for soft-delete queries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Frontend</w:t>
            </w:r>
          </w:p>
        </w:tc>
        <w:tc>
          <w:tcPr>
            <w:tcW w:type="pct" w:w="8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Next.js 16 with App Router, React Server Components by default, client components only when interactivity requires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Mobile</w:t>
            </w:r>
          </w:p>
        </w:tc>
        <w:tc>
          <w:tcPr>
            <w:tcW w:type="pct" w:w="8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React Native 0.74+ with Hermes, Reanimated 3, and offline-first architecture</w:t>
            </w:r>
          </w:p>
        </w:tc>
      </w:tr>
    </w:tbl>
    <w:p>
      <w:pPr>
        <w:pStyle w:val="Heading2"/>
        <w:spacing w:after="160" w:before="280" w:line="312"/>
      </w:pPr>
      <w:bookmarkStart w:id="100017" w:name="_Toc100017"/>
      <w:r>
        <w:rPr>
          <w:rFonts w:ascii="Calibri" w:cs="Nirmala UI" w:eastAsia="Calibri"/>
          <w:b/>
          <w:bCs/>
          <w:color w:val="0B1C2C"/>
          <w:sz w:val="28"/>
          <w:szCs w:val="28"/>
        </w:rPr>
        <w:t xml:space="preserve">Code Size Limits</w:t>
      </w:r>
      <w:bookmarkEnd w:id="100017"/>
    </w:p>
    <w:p>
      <w:pPr>
        <w:spacing w:after="160" w:before="0" w:line="312"/>
        <w:jc w:val="both"/>
      </w:pPr>
      <w:r>
        <w:rPr>
          <w:rFonts w:ascii="Calibri" w:cs="Nirmala UI" w:eastAsia="Calibri"/>
          <w:color w:val="000000"/>
          <w:sz w:val="24"/>
          <w:szCs w:val="24"/>
        </w:rPr>
        <w:t xml:space="preserve">Code size limits are not guidelines — they are CI-enforced gates. ESLint rules block PRs that exceed these limits. The rationale is not aesthetic; large functions, classes, and files are empirically more defect-prone, harder to review, and harder to test. When a limit is hit, the correct response is to refactor — not to disable the rule.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Metric</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Limit</w:t>
            </w:r>
          </w:p>
        </w:tc>
        <w:tc>
          <w:tcPr>
            <w:tcW w:type="pct" w:w="5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Rationale</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 Function Size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 lines</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Beyond 50 lines a function is doing too much — extract helpers, reduce branches, or split responsibility</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 Class Size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500 lines</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Beyond 500 lines a class has multiple reasons to change — split into cohesive smaller classes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 File Size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400 lines</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Beyond 400 lines navigation becomes painful — split by responsibility</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 Nesting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 levels</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Deeper nesting hides bugs — extract early returns, guard clauses, or helper functions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 Parameters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Beyond 5 parameters the function is doing too much — group into an options object</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 Cyclomatic Complexity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 per method</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Higher complexity makes testing exponential — refactor with strategy pattern or lookup table</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 Cognitive Complexity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 per method</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 measures how hard code is to read — beyond 15 needs refactor</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 Duplication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3%</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Duplication above 3% indicates missing abstraction — extract shared helper or value object</w:t>
            </w:r>
          </w:p>
        </w:tc>
      </w:tr>
    </w:tbl>
    <w:p>
      <w:pPr>
        <w:pStyle w:val="Heading2"/>
        <w:spacing w:after="160" w:before="280" w:line="312"/>
      </w:pPr>
      <w:bookmarkStart w:id="100018" w:name="_Toc100018"/>
      <w:r>
        <w:rPr>
          <w:rFonts w:ascii="Calibri" w:cs="Nirmala UI" w:eastAsia="Calibri"/>
          <w:b/>
          <w:bCs/>
          <w:color w:val="0B1C2C"/>
          <w:sz w:val="28"/>
          <w:szCs w:val="28"/>
        </w:rPr>
        <w:t xml:space="preserve">Forbidden Patterns</w:t>
      </w:r>
      <w:bookmarkEnd w:id="100018"/>
    </w:p>
    <w:p>
      <w:pPr>
        <w:spacing w:after="160" w:before="0" w:line="312"/>
        <w:jc w:val="both"/>
      </w:pPr>
      <w:r>
        <w:rPr>
          <w:rFonts w:ascii="Calibri" w:cs="Nirmala UI" w:eastAsia="Calibri"/>
          <w:color w:val="000000"/>
          <w:sz w:val="24"/>
          <w:szCs w:val="24"/>
        </w:rPr>
        <w:t xml:space="preserve">The following patterns are forbidden in PreOne code. Their presence triggers ESLint errors (blocking CI) or mandatory code review rejection. Each forbidden pattern has a safe alternative documented; engineers should reach for the alternative, not the forbidden pattern.</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Forbidden</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Magic Numbers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 named constants: `OTP_EXPIRY_MINUTES = 5`, not `setTimeout(fn, 300000)`</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Hardcoded Strings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 enums or constants: `StudentStatus.ACTIVE`, not `'ACTIVE'`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Logic in Controller</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Controllers orchestrate; they do not compute. Move rules to domain.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Duplicate Code</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Copy-paste is a defect. Extract shared module or accept the duplication with explicit `// DRY-WAIVER:` comment and architecture sign-off.</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Circular Dependency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Modules must form a DAG. Cycles indicate a missing abstraction — extract shared module.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Direct SQL in Controller</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SQL belongs in repository implementations behind interfaces. Analytics queries need architecture review.</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any type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`any` disables type safety. Use `unknown` + narrowing, or define a proper type. ESLint `@typescript-eslint/no-explicit-any` is error-level.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console.log in production code</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 structured logger (`logger.info`, `logger.error`). Console output bypasses log routing, correlation IDs, and PII redaction.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Sync I/O in async context</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Never use `fs.readFileSync` in a request path. Async only.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 awaited promises</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Promise must be awaited or explicitly fire-and-forget with `.catch()` handler logged.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Mutable global state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Globals are forbidden except for read-only config loaded at boot.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 keyword</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 `const` by default, `let` only when reassignment is required. `var` is forbidden.</w:t>
            </w:r>
          </w:p>
        </w:tc>
      </w:tr>
    </w:tbl>
    <w:p>
      <w:pPr>
        <w:pStyle w:val="Heading2"/>
        <w:spacing w:after="160" w:before="280" w:line="312"/>
      </w:pPr>
      <w:bookmarkStart w:id="100019" w:name="_Toc100019"/>
      <w:r>
        <w:rPr>
          <w:rFonts w:ascii="Calibri" w:cs="Nirmala UI" w:eastAsia="Calibri"/>
          <w:b/>
          <w:bCs/>
          <w:color w:val="0B1C2C"/>
          <w:sz w:val="28"/>
          <w:szCs w:val="28"/>
        </w:rPr>
        <w:t xml:space="preserve">Naming Standards</w:t>
      </w:r>
      <w:bookmarkEnd w:id="100019"/>
    </w:p>
    <w:p>
      <w:pPr>
        <w:spacing w:after="160" w:before="0" w:line="312"/>
        <w:jc w:val="both"/>
      </w:pPr>
      <w:r>
        <w:rPr>
          <w:rFonts w:ascii="Calibri" w:cs="Nirmala UI" w:eastAsia="Calibri"/>
          <w:color w:val="000000"/>
          <w:sz w:val="24"/>
          <w:szCs w:val="24"/>
        </w:rPr>
        <w:t xml:space="preserve">Naming is the single most impactful readability lever. Consistent naming allows engineers to scan code without reading every line — the name itself reveals the type, role, and scope of the identifier. PreOne enforces naming conventions through ESLint rules and code review; violations are blocking. The conventions below apply to all PreOne code, regardless of language or framework.</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Category</w:t>
            </w:r>
          </w:p>
        </w:tc>
        <w:tc>
          <w:tcPr>
            <w:tcW w:type="pct" w:w="4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Convention</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Variables</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camelCase. Start lowercase, each subsequent word capitalized. Booleans prefixed with is/has/can/should.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studentName, feeAmount, attendanceDate, isEligible, hasPaid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Classes</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PascalCase. Nouns for entities, suffixed with role (Service, Repository, Calculator, Controller, Module, Gateway, Strategy).</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StudentService, InvoiceRepository, FeeCalculator, AdmissionApprovedEvent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Interfaces</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PascalCase with I prefix. Interfaces that mirror a class use I prefix. Interfaces that are pure data shapes (DTOs) do not.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IStudentRepository, IPaymentGateway, IEmailSender, IAuditLogger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Enums</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PascalCase enum, UPPER_CASE values. Enum name is singular noun. Values are UPPER_CASE. Numeric enums forbidden; use string enums for readability.</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StudentStatus.ACTIVE, PaymentStatus.PAID, AttendanceType.PRESENT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Constants</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UPPER_SNAKE_CASE. Top-level constants only. Local constants may use camelCase if scope is a single function.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MAX_RETRY, OTP_EXPIRY, CACHE_TTL, DEFAULT_PAGE_SIZE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ApiPaths</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Plural nouns, kebab-case, versioned. Plural resource names, kebab-case for multi-word, version prefix mandatory. Never verbs in path.</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/api/v1/students, /api/v1/invoices, /api/v1/admission-applications, /api/v2/fees/calculate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DbTables</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snake_case plural. Plural snake_case. Junction tables use both parents: `student_guardian`.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 invoice_items, fee_plans, audit_logs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DbColumns</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snake_case. snake_case. Booleans prefixed `is_`/`has_`. Foreign keys suffixed `_id`. Timestamps suffixed `_at`.</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created_at, is_active, total_amount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Files</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kebab-case for modules, entity-named for aggregate files. Aggregate files use entity name (student.controller.ts). Helper files use kebab-case (fee-calculator.ts).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admissions.module.ts, student.controller.ts, fee-calculator.service.ts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EnvVars</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UPPER_SNAKE_CASE with PREONE_ prefix. All env vars prefixed with PREONE_. Never inline secrets in code.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PREONE_DB_URL, PREONE_JWT_SECRET, PREONE_REDIS_URL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EnvVarFiles</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.env.local, .env.dev, .env.staging, .env.prod (gitignored). .env.example committed with placeholder values. Real env files gitignored.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.env.local, .env.dev</w:t>
            </w:r>
          </w:p>
        </w:tc>
      </w:tr>
    </w:tbl>
    <w:p>
      <w:pPr>
        <w:pStyle w:val="Heading2"/>
        <w:spacing w:after="160" w:before="280" w:line="312"/>
      </w:pPr>
      <w:bookmarkStart w:id="100020" w:name="_Toc100020"/>
      <w:r>
        <w:rPr>
          <w:rFonts w:ascii="Calibri" w:cs="Nirmala UI" w:eastAsia="Calibri"/>
          <w:b/>
          <w:bCs/>
          <w:color w:val="0B1C2C"/>
          <w:sz w:val="28"/>
          <w:szCs w:val="28"/>
        </w:rPr>
        <w:t xml:space="preserve">ESLint Rules</w:t>
      </w:r>
      <w:bookmarkEnd w:id="100020"/>
    </w:p>
    <w:p>
      <w:pPr>
        <w:spacing w:after="160" w:before="0" w:line="312"/>
        <w:jc w:val="both"/>
      </w:pPr>
      <w:r>
        <w:rPr>
          <w:rFonts w:ascii="Calibri" w:cs="Nirmala UI" w:eastAsia="Calibri"/>
          <w:color w:val="000000"/>
          <w:sz w:val="24"/>
          <w:szCs w:val="24"/>
        </w:rPr>
        <w:t xml:space="preserve">The ESLint configuration is the automated enforcement of ENG-002. Every rule below is either 'error' (blocks CI) or 'warn' (triggers review comment). Engineers do not disable ESLint rules inline without architecture approval and a tracking issue. The configuration is versioned in the monorepo and inherited by all packages.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Level</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Rationale</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@typescript-eslint/no-explicit-any</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`any` defeats type safety — use `unknown` + narrowing</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@typescript-eslint/no-unused-vars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Dead code accumulates; remove or prefix with `_` if intentionally unused</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@typescript-eslint/explicit-function-return-type</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Return types must be explicit on public APIs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@typescript-eslint/no-floating-promises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Promise must be awaited or explicitly handled</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@typescript-eslint/strict-boolean-expressions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warn</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Catches `if (value)` where value could be 0 or empty string</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no-console</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 structured logger; console bypasses log routing</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no-magic-numbers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warn</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Extract to named constants; allow 0, 1, -1</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max-lines-per-function</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Functions must be small and focused</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max-params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Beyond 5 params, group into options object</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max-depth</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Deep nesting hides bugs</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complexity</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Cyclomatic complexity limit per method</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import/no-cycle</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Circular dependencies indicate missing abstraction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import/order</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warn</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Consistent import order improves readability</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no-restricted-syntax</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Forbid `var`, `for-in` without `hasOwnProperty`, `eval`</w:t>
            </w:r>
          </w:p>
        </w:tc>
      </w:tr>
    </w:tbl>
    <w:p>
      <w:pPr>
        <w:pStyle w:val="Heading2"/>
        <w:spacing w:after="160" w:before="280" w:line="312"/>
      </w:pPr>
      <w:bookmarkStart w:id="100021" w:name="_Toc100021"/>
      <w:r>
        <w:rPr>
          <w:rFonts w:ascii="Calibri" w:cs="Nirmala UI" w:eastAsia="Calibri"/>
          <w:b/>
          <w:bCs/>
          <w:color w:val="0B1C2C"/>
          <w:sz w:val="28"/>
          <w:szCs w:val="28"/>
        </w:rPr>
        <w:t xml:space="preserve">Prettier Configuration</w:t>
      </w:r>
      <w:bookmarkEnd w:id="100021"/>
    </w:p>
    <w:p>
      <w:pPr>
        <w:spacing w:after="160" w:before="0" w:line="312"/>
        <w:jc w:val="both"/>
      </w:pPr>
      <w:r>
        <w:rPr>
          <w:rFonts w:ascii="Calibri" w:cs="Nirmala UI" w:eastAsia="Calibri"/>
          <w:color w:val="000000"/>
          <w:sz w:val="24"/>
          <w:szCs w:val="24"/>
        </w:rPr>
        <w:t xml:space="preserve">Prettier handles code formatting; ESLint handles code quality. The two are complementary — Prettier runs first (formatting), then ESLint runs (quality). The Prettier configuration is fixed across the monorepo; engineers do not customize it per-package. Consistent formatting eliminates 'diff noise' in code review and reduces cognitive load.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Setting</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Rationale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printWidth</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Wide enough for readable code, narrow enough for split-screen review</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tabWidth</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Standard for TS/JS ecosystems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semi</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true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Always semicolons — prevents ASI bugs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singleQuote</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true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quotes for strings, double for JSX attributes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trailingComma</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Cleaner diffs, easier reordering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bracketSpacing</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true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foo } not {foo}</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arrowParens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always</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(x) =&gt; x not x =&gt; x — consistent and easier to add params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endOfLine</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lf</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Unix line endings across all platforms</w:t>
            </w:r>
          </w:p>
        </w:tc>
      </w:tr>
    </w:tbl>
    <w:p>
      <w:r>
        <w:br w:type="page"/>
      </w:r>
    </w:p>
    <w:p>
      <w:pPr>
        <w:pStyle w:val="Heading1"/>
        <w:spacing w:after="200" w:before="360" w:line="312"/>
      </w:pPr>
      <w:bookmarkStart w:id="100022" w:name="_Toc100022"/>
      <w:r>
        <w:rPr>
          <w:rFonts w:ascii="Calibri" w:cs="Nirmala UI" w:eastAsia="Calibri"/>
          <w:b/>
          <w:bCs/>
          <w:color w:val="0B1C2C"/>
          <w:sz w:val="32"/>
          <w:szCs w:val="32"/>
        </w:rPr>
        <w:t xml:space="preserve">ENG-003: API &amp; Database Standards</w:t>
      </w:r>
      <w:bookmarkEnd w:id="100022"/>
    </w:p>
    <w:p>
      <w:pPr>
        <w:spacing w:after="160" w:before="0" w:line="312"/>
        <w:jc w:val="both"/>
      </w:pPr>
      <w:r>
        <w:rPr>
          <w:rFonts w:ascii="Calibri" w:cs="Nirmala UI" w:eastAsia="Calibri"/>
          <w:color w:val="000000"/>
          <w:sz w:val="24"/>
          <w:szCs w:val="24"/>
        </w:rPr>
        <w:t xml:space="preserve">Define how PreOne APIs are designed, versioned, secured, and documented, and how the underlying PostgreSQL database is structured, indexed, and queried. These standards guarantee that every API is uniform, every response is predictable, every query is performant, and every schema change is non-breaking.</w:t>
      </w:r>
    </w:p>
    <w:p>
      <w:pPr>
        <w:pStyle w:val="Heading2"/>
        <w:spacing w:after="160" w:before="280" w:line="312"/>
      </w:pPr>
      <w:bookmarkStart w:id="100023" w:name="_Toc100023"/>
      <w:r>
        <w:rPr>
          <w:rFonts w:ascii="Calibri" w:cs="Nirmala UI" w:eastAsia="Calibri"/>
          <w:b/>
          <w:bCs/>
          <w:color w:val="0B1C2C"/>
          <w:sz w:val="28"/>
          <w:szCs w:val="28"/>
        </w:rPr>
        <w:t xml:space="preserve">API Design Principles</w:t>
      </w:r>
      <w:bookmarkEnd w:id="100023"/>
    </w:p>
    <w:p>
      <w:pPr>
        <w:spacing w:after="160" w:before="0" w:line="312"/>
        <w:jc w:val="both"/>
      </w:pPr>
      <w:r>
        <w:rPr>
          <w:rFonts w:ascii="Calibri" w:cs="Nirmala UI" w:eastAsia="Calibri"/>
          <w:color w:val="000000"/>
          <w:sz w:val="24"/>
          <w:szCs w:val="24"/>
        </w:rPr>
        <w:t xml:space="preserve">PreOne APIs are RESTful, JSON-encoded, HTTPS-only, and versioned. Every API follows the same design principles regardless of domain, ensuring that a developer who learns one endpoint can predict the structure of any other. Consistency is enforced through shared DTO base classes, a global response interceptor, and an OpenAPI spec that is generated from the code (not written by hand).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REST over JSON — resources are nouns, methods are verbs, state is explicit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HTTPS only — HTTP requests are redirected, never served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Stateless — every request carries full auth context, no server-side session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Versioned — path-based versioning (/api/v1/, /api/v2/) with deprecation policy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Idempotent writes — POST/PATCH accept Idempotency-Key header for safe retries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Pagination mandatory — no unbounded list endpoints, default page size 20, max 100</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Structured errors — every error response has code, message, traceId; never stack traces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Consistent fields — snake_case in JSON (matches DB), camelCase in TS code, mapping in DTO</w:t>
      </w:r>
    </w:p>
    <w:p>
      <w:pPr>
        <w:pStyle w:val="Heading2"/>
        <w:spacing w:after="160" w:before="280" w:line="312"/>
      </w:pPr>
      <w:bookmarkStart w:id="100024" w:name="_Toc100024"/>
      <w:r>
        <w:rPr>
          <w:rFonts w:ascii="Calibri" w:cs="Nirmala UI" w:eastAsia="Calibri"/>
          <w:b/>
          <w:bCs/>
          <w:color w:val="0B1C2C"/>
          <w:sz w:val="28"/>
          <w:szCs w:val="28"/>
        </w:rPr>
        <w:t xml:space="preserve">HTTP Methods</w:t>
      </w:r>
      <w:bookmarkEnd w:id="100024"/>
    </w:p>
    <w:p>
      <w:pPr>
        <w:spacing w:after="160" w:before="0" w:line="312"/>
        <w:jc w:val="both"/>
      </w:pPr>
      <w:r>
        <w:rPr>
          <w:rFonts w:ascii="Calibri" w:cs="Nirmala UI" w:eastAsia="Calibri"/>
          <w:color w:val="000000"/>
          <w:sz w:val="24"/>
          <w:szCs w:val="24"/>
        </w:rPr>
        <w:t xml:space="preserve">PreOne uses four HTTP methods (GET, POST, PATCH, DELETE). PUT is forbidden — its full-replacement semantics conflict with our soft-delete and audit-column model. Idempotency is supported via the Idempotency-Key header for POST and PATCH on critical endpoints (payments, refunds, admissions approval). Every method has a single, well-defined semantic; engineers do not overload methods.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Method</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 resource(s). Never mutates state. Cacheable. Idempotent.</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GET /api/v1/students, GET /api/v1/students/123</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a new resource. Trigger an action. Not idempotent unless Idempotency-Key provided.</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 /api/v1/students, POST /api/v1/invoices/123/send</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PATCH</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 update of a resource. Not idempotent unless payload is deterministic.</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PATCH /api/v1/students/123, PATCH /api/v1/invoices/123/mark-paid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a resource. Sets deleted_at. Idempotent. Never hard-deletes PII records.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 /api/v1/students/123</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Forbidden in PreOne — use PATCH for partial updates. PUT implies full replacement which conflicts with our soft-delete + audit model.</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(none)</w:t>
            </w:r>
          </w:p>
        </w:tc>
      </w:tr>
    </w:tbl>
    <w:p>
      <w:pPr>
        <w:pStyle w:val="Heading2"/>
        <w:spacing w:after="160" w:before="280" w:line="312"/>
      </w:pPr>
      <w:bookmarkStart w:id="100025" w:name="_Toc100025"/>
      <w:r>
        <w:rPr>
          <w:rFonts w:ascii="Calibri" w:cs="Nirmala UI" w:eastAsia="Calibri"/>
          <w:b/>
          <w:bCs/>
          <w:color w:val="0B1C2C"/>
          <w:sz w:val="28"/>
          <w:szCs w:val="28"/>
        </w:rPr>
        <w:t xml:space="preserve">Standard Response Format</w:t>
      </w:r>
      <w:bookmarkEnd w:id="100025"/>
    </w:p>
    <w:p>
      <w:pPr>
        <w:spacing w:after="160" w:before="0" w:line="312"/>
        <w:jc w:val="both"/>
      </w:pPr>
      <w:r>
        <w:rPr>
          <w:rFonts w:ascii="Calibri" w:cs="Nirmala UI" w:eastAsia="Calibri"/>
          <w:color w:val="000000"/>
          <w:sz w:val="24"/>
          <w:szCs w:val="24"/>
        </w:rPr>
        <w:t xml:space="preserve">Every API response follows the same envelope: a 'success' boolean, a 'data' object (or array), a 'meta' object (pagination, trace ID), and a 'traceId' for support. Error responses follow a parallel structure with an 'error' object containing 'code', 'message', and optional 'field'/'details'. This consistency allows client SDKs to handle responses generically and allows support engineers to correlate any customer-reported issue via trace ID.</w:t>
      </w:r>
    </w:p>
    <w:p>
      <w:pPr>
        <w:pStyle w:val="Heading3"/>
        <w:spacing w:after="120" w:before="220" w:line="312"/>
      </w:pPr>
      <w:bookmarkStart w:id="100026" w:name="_Toc100026"/>
      <w:r>
        <w:rPr>
          <w:rFonts w:ascii="Calibri" w:cs="Nirmala UI" w:eastAsia="Calibri"/>
          <w:b/>
          <w:bCs/>
          <w:color w:val="529286"/>
          <w:sz w:val="26"/>
          <w:szCs w:val="26"/>
        </w:rPr>
        <w:t xml:space="preserve">Success Response Example</w:t>
      </w:r>
      <w:bookmarkEnd w:id="100026"/>
    </w:p>
    <w:p>
      <w:pPr>
        <w:shd w:fill="F4F6F7" w:val="clear"/>
        <w:spacing w:after="0" w:before="12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"success": true,</w:t>
      </w:r>
    </w:p>
    <w:p>
      <w:pPr>
        <w:shd w:fill="F4F6F7" w:val="clear"/>
        <w:spacing w:after="0" w:before="0" w:line="280"/>
        <w:ind w:left="360" w:right="360"/>
      </w:pPr>
      <w:r>
        <w:rPr>
          <w:rFonts w:ascii="Consolas" w:cs="Consolas" w:eastAsia="Consolas"/>
          <w:color w:val="000000"/>
          <w:sz w:val="20"/>
          <w:szCs w:val="20"/>
        </w:rPr>
        <w:t xml:space="preserve">  "data": { ... },</w:t>
      </w:r>
    </w:p>
    <w:p>
      <w:pPr>
        <w:shd w:fill="F4F6F7" w:val="clear"/>
        <w:spacing w:after="0" w:before="0" w:line="280"/>
        <w:ind w:left="360" w:right="360"/>
      </w:pPr>
      <w:r>
        <w:rPr>
          <w:rFonts w:ascii="Consolas" w:cs="Consolas" w:eastAsia="Consolas"/>
          <w:color w:val="000000"/>
          <w:sz w:val="20"/>
          <w:szCs w:val="20"/>
        </w:rPr>
        <w:t xml:space="preserve">  "meta": {</w:t>
      </w:r>
    </w:p>
    <w:p>
      <w:pPr>
        <w:shd w:fill="F4F6F7" w:val="clear"/>
        <w:spacing w:after="0" w:before="0" w:line="280"/>
        <w:ind w:left="360" w:right="360"/>
      </w:pPr>
      <w:r>
        <w:rPr>
          <w:rFonts w:ascii="Consolas" w:cs="Consolas" w:eastAsia="Consolas"/>
          <w:color w:val="000000"/>
          <w:sz w:val="20"/>
          <w:szCs w:val="20"/>
        </w:rPr>
        <w:t xml:space="preserve">    "page": 1,</w:t>
      </w:r>
    </w:p>
    <w:p>
      <w:pPr>
        <w:shd w:fill="F4F6F7" w:val="clear"/>
        <w:spacing w:after="0" w:before="0" w:line="280"/>
        <w:ind w:left="360" w:right="360"/>
      </w:pPr>
      <w:r>
        <w:rPr>
          <w:rFonts w:ascii="Consolas" w:cs="Consolas" w:eastAsia="Consolas"/>
          <w:color w:val="000000"/>
          <w:sz w:val="20"/>
          <w:szCs w:val="20"/>
        </w:rPr>
        <w:t xml:space="preserve">    "pageSize": 20,</w:t>
      </w:r>
    </w:p>
    <w:p>
      <w:pPr>
        <w:shd w:fill="F4F6F7" w:val="clear"/>
        <w:spacing w:after="0" w:before="0" w:line="280"/>
        <w:ind w:left="360" w:right="360"/>
      </w:pPr>
      <w:r>
        <w:rPr>
          <w:rFonts w:ascii="Consolas" w:cs="Consolas" w:eastAsia="Consolas"/>
          <w:color w:val="000000"/>
          <w:sz w:val="20"/>
          <w:szCs w:val="20"/>
        </w:rPr>
        <w:t xml:space="preserve">    "total": 142,</w:t>
      </w:r>
    </w:p>
    <w:p>
      <w:pPr>
        <w:shd w:fill="F4F6F7" w:val="clear"/>
        <w:spacing w:after="0" w:before="0" w:line="280"/>
        <w:ind w:left="360" w:right="360"/>
      </w:pPr>
      <w:r>
        <w:rPr>
          <w:rFonts w:ascii="Consolas" w:cs="Consolas" w:eastAsia="Consolas"/>
          <w:color w:val="000000"/>
          <w:sz w:val="20"/>
          <w:szCs w:val="20"/>
        </w:rPr>
        <w:t xml:space="preserve">    "totalPages": 8,</w:t>
      </w:r>
    </w:p>
    <w:p>
      <w:pPr>
        <w:shd w:fill="F4F6F7" w:val="clear"/>
        <w:spacing w:after="0" w:before="0" w:line="280"/>
        <w:ind w:left="360" w:right="360"/>
      </w:pPr>
      <w:r>
        <w:rPr>
          <w:rFonts w:ascii="Consolas" w:cs="Consolas" w:eastAsia="Consolas"/>
          <w:color w:val="000000"/>
          <w:sz w:val="20"/>
          <w:szCs w:val="20"/>
        </w:rPr>
        <w:t xml:space="preserve">    "traceId": "abc-123-xyz"</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200" w:before="0" w:line="280"/>
        <w:ind w:left="360" w:right="360"/>
      </w:pPr>
      <w:r>
        <w:rPr>
          <w:rFonts w:ascii="Consolas" w:cs="Consolas" w:eastAsia="Consolas"/>
          <w:color w:val="000000"/>
          <w:sz w:val="20"/>
          <w:szCs w:val="20"/>
        </w:rPr>
        <w:t xml:space="preserve">}</w:t>
      </w:r>
    </w:p>
    <w:p>
      <w:pPr>
        <w:pStyle w:val="Heading3"/>
        <w:spacing w:after="120" w:before="220" w:line="312"/>
      </w:pPr>
      <w:bookmarkStart w:id="100027" w:name="_Toc100027"/>
      <w:r>
        <w:rPr>
          <w:rFonts w:ascii="Calibri" w:cs="Nirmala UI" w:eastAsia="Calibri"/>
          <w:b/>
          <w:bCs/>
          <w:color w:val="529286"/>
          <w:sz w:val="26"/>
          <w:szCs w:val="26"/>
        </w:rPr>
        <w:t xml:space="preserve">Error Response Example</w:t>
      </w:r>
      <w:bookmarkEnd w:id="100027"/>
    </w:p>
    <w:p>
      <w:pPr>
        <w:shd w:fill="F4F6F7" w:val="clear"/>
        <w:spacing w:after="0" w:before="12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"success": false,</w:t>
      </w:r>
    </w:p>
    <w:p>
      <w:pPr>
        <w:shd w:fill="F4F6F7" w:val="clear"/>
        <w:spacing w:after="0" w:before="0" w:line="280"/>
        <w:ind w:left="360" w:right="360"/>
      </w:pPr>
      <w:r>
        <w:rPr>
          <w:rFonts w:ascii="Consolas" w:cs="Consolas" w:eastAsia="Consolas"/>
          <w:color w:val="000000"/>
          <w:sz w:val="20"/>
          <w:szCs w:val="20"/>
        </w:rPr>
        <w:t xml:space="preserve">  "error": {</w:t>
      </w:r>
    </w:p>
    <w:p>
      <w:pPr>
        <w:shd w:fill="F4F6F7" w:val="clear"/>
        <w:spacing w:after="0" w:before="0" w:line="280"/>
        <w:ind w:left="360" w:right="360"/>
      </w:pPr>
      <w:r>
        <w:rPr>
          <w:rFonts w:ascii="Consolas" w:cs="Consolas" w:eastAsia="Consolas"/>
          <w:color w:val="000000"/>
          <w:sz w:val="20"/>
          <w:szCs w:val="20"/>
        </w:rPr>
        <w:t xml:space="preserve">    "code": "VALIDATION_001",</w:t>
      </w:r>
    </w:p>
    <w:p>
      <w:pPr>
        <w:shd w:fill="F4F6F7" w:val="clear"/>
        <w:spacing w:after="0" w:before="0" w:line="280"/>
        <w:ind w:left="360" w:right="360"/>
      </w:pPr>
      <w:r>
        <w:rPr>
          <w:rFonts w:ascii="Consolas" w:cs="Consolas" w:eastAsia="Consolas"/>
          <w:color w:val="000000"/>
          <w:sz w:val="20"/>
          <w:szCs w:val="20"/>
        </w:rPr>
        <w:t xml:space="preserve">    "message": "feeAmount must be a positive number",</w:t>
      </w:r>
    </w:p>
    <w:p>
      <w:pPr>
        <w:shd w:fill="F4F6F7" w:val="clear"/>
        <w:spacing w:after="0" w:before="0" w:line="280"/>
        <w:ind w:left="360" w:right="360"/>
      </w:pPr>
      <w:r>
        <w:rPr>
          <w:rFonts w:ascii="Consolas" w:cs="Consolas" w:eastAsia="Consolas"/>
          <w:color w:val="000000"/>
          <w:sz w:val="20"/>
          <w:szCs w:val="20"/>
        </w:rPr>
        <w:t xml:space="preserve">    "field": "feeAmount",</w:t>
      </w:r>
    </w:p>
    <w:p>
      <w:pPr>
        <w:shd w:fill="F4F6F7" w:val="clear"/>
        <w:spacing w:after="0" w:before="0" w:line="280"/>
        <w:ind w:left="360" w:right="360"/>
      </w:pPr>
      <w:r>
        <w:rPr>
          <w:rFonts w:ascii="Consolas" w:cs="Consolas" w:eastAsia="Consolas"/>
          <w:color w:val="000000"/>
          <w:sz w:val="20"/>
          <w:szCs w:val="20"/>
        </w:rPr>
        <w:t xml:space="preserve">    "details": [{ "field": "feeAmount", "rule": "min", "value": -500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"traceId": "abc-123-xyz"</w:t>
      </w:r>
    </w:p>
    <w:p>
      <w:pPr>
        <w:shd w:fill="F4F6F7" w:val="clear"/>
        <w:spacing w:after="200" w:before="0" w:line="280"/>
        <w:ind w:left="360" w:right="360"/>
      </w:pPr>
      <w:r>
        <w:rPr>
          <w:rFonts w:ascii="Consolas" w:cs="Consolas" w:eastAsia="Consolas"/>
          <w:color w:val="000000"/>
          <w:sz w:val="20"/>
          <w:szCs w:val="20"/>
        </w:rPr>
        <w:t xml:space="preserve">}</w:t>
      </w:r>
    </w:p>
    <w:p>
      <w:pPr>
        <w:pStyle w:val="Heading2"/>
        <w:spacing w:after="160" w:before="280" w:line="312"/>
      </w:pPr>
      <w:bookmarkStart w:id="100028" w:name="_Toc100028"/>
      <w:r>
        <w:rPr>
          <w:rFonts w:ascii="Calibri" w:cs="Nirmala UI" w:eastAsia="Calibri"/>
          <w:b/>
          <w:bCs/>
          <w:color w:val="0B1C2C"/>
          <w:sz w:val="28"/>
          <w:szCs w:val="28"/>
        </w:rPr>
        <w:t xml:space="preserve">Error Code Taxonomy</w:t>
      </w:r>
      <w:bookmarkEnd w:id="100028"/>
    </w:p>
    <w:p>
      <w:pPr>
        <w:spacing w:after="160" w:before="0" w:line="312"/>
        <w:jc w:val="both"/>
      </w:pPr>
      <w:r>
        <w:rPr>
          <w:rFonts w:ascii="Calibri" w:cs="Nirmala UI" w:eastAsia="Calibri"/>
          <w:color w:val="000000"/>
          <w:sz w:val="24"/>
          <w:szCs w:val="24"/>
        </w:rPr>
        <w:t xml:space="preserve">PreOne uses a structured error code taxonomy: CATEGORY_NUMBER (e.g., AUTH_001, VALIDATION_001, BUSINESS_001). The category tells the client what kind of error it is; the number identifies the specific error. HTTP status codes are derived from the error category — engineers do not pick HTTP status codes directly. This prevents the common bug where similar errors return different status codes across endpoints.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Code</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HTTP Status</w:t>
            </w:r>
          </w:p>
        </w:tc>
        <w:tc>
          <w:tcPr>
            <w:tcW w:type="pct" w:w="5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Meaning</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Retryable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AUTH_001</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401</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Missing or invalid authentication token</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AUTH_002</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403</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Authenticated but not authorized for this resource/action</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AUTH_003</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401</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Token expired</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 (refresh token)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VALIDATION_001</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422</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 body failed DTO validation</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(client must fix)</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PERMISSION_001</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403</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 lacks required permission scope</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NOT_FOUND_001</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404</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Resource does not exist or belongs to another tenant</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CONFLICT_001</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409</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Optimistic concurrency conflict or duplicate unique key</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 (with fresh GET)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BUSINESS_001</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422</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invariant violated (e.g., cannot promote to same grade)</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RATE_LIMIT_001</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429</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Too many requests — back off using Retry-After header</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SYSTEM_001</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500</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Unexpected server error — ops alerted, traceId for support</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SYSTEM_002</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503</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 unavailable — maintenance or downstream failure</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bl>
    <w:p>
      <w:pPr>
        <w:pStyle w:val="Heading2"/>
        <w:spacing w:after="160" w:before="280" w:line="312"/>
      </w:pPr>
      <w:bookmarkStart w:id="100029" w:name="_Toc100029"/>
      <w:r>
        <w:rPr>
          <w:rFonts w:ascii="Calibri" w:cs="Nirmala UI" w:eastAsia="Calibri"/>
          <w:b/>
          <w:bCs/>
          <w:color w:val="0B1C2C"/>
          <w:sz w:val="28"/>
          <w:szCs w:val="28"/>
        </w:rPr>
        <w:t xml:space="preserve">API Versioning</w:t>
      </w:r>
      <w:bookmarkEnd w:id="100029"/>
    </w:p>
    <w:p>
      <w:pPr>
        <w:spacing w:after="160" w:before="0" w:line="312"/>
        <w:jc w:val="both"/>
      </w:pPr>
      <w:r>
        <w:rPr>
          <w:rFonts w:ascii="Calibri" w:cs="Nirmala UI" w:eastAsia="Calibri"/>
          <w:color w:val="000000"/>
          <w:sz w:val="24"/>
          <w:szCs w:val="24"/>
        </w:rPr>
        <w:t xml:space="preserve">API versioning is path-based (/api/v1/, /api/v2/). The version is part of the URL — visible to clients, cacheable by CDNs, and unambiguous in logs. Breaking changes require a new major version; non-breaking changes (adding fields, adding endpoints) are allowed within a version. Old versions are supported for 12 months after the new version ships, with deprecation announced via the Sunset HTTP header and developer email.</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Path-based versioning</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/api/v1/students, /api/v2/students. URL is the contract; versioning is visible to clients and cacheable.</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Never breaking change within a version</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Adding fields is allowed. Removing/renaming fields, changing types, changing semantics — all require a new major version.</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Deprecation policy</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Old version supported for 12 months after new version ships. Deprecation announced via Sunset HTTP header and developer email.</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Removal policy</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After 12-month deprecation window, old version returns 410 Gone with migration guide URL in error message.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Backward-compatible additions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 optional fields, new endpoints, new enum values (with safe default), new query params — all allowed within same version.</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Changelog mandatory</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API change logged in /docs/api/changelog.md with version, date, breaking/non-breaking flag, and migration notes.</w:t>
            </w:r>
          </w:p>
        </w:tc>
      </w:tr>
    </w:tbl>
    <w:p>
      <w:pPr>
        <w:pStyle w:val="Heading2"/>
        <w:spacing w:after="160" w:before="280" w:line="312"/>
      </w:pPr>
      <w:bookmarkStart w:id="100030" w:name="_Toc100030"/>
      <w:r>
        <w:rPr>
          <w:rFonts w:ascii="Calibri" w:cs="Nirmala UI" w:eastAsia="Calibri"/>
          <w:b/>
          <w:bCs/>
          <w:color w:val="0B1C2C"/>
          <w:sz w:val="28"/>
          <w:szCs w:val="28"/>
        </w:rPr>
        <w:t xml:space="preserve">Database Standards</w:t>
      </w:r>
      <w:bookmarkEnd w:id="100030"/>
    </w:p>
    <w:p>
      <w:pPr>
        <w:spacing w:after="160" w:before="0" w:line="312"/>
        <w:jc w:val="both"/>
      </w:pPr>
      <w:r>
        <w:rPr>
          <w:rFonts w:ascii="Calibri" w:cs="Nirmala UI" w:eastAsia="Calibri"/>
          <w:color w:val="000000"/>
          <w:sz w:val="24"/>
          <w:szCs w:val="24"/>
        </w:rPr>
        <w:t xml:space="preserve">PreOne uses PostgreSQL 16+ as its sole OLTP database. Every table follows the same structural conventions: UUID primary key, multi-tenant columns (tenant_id, school_id, branch_id), audit columns (created_at, created_by, updated_at, updated_by, deleted_at), and soft delete (deleted_at). These conventions are non-negotiable; migrations that violate them are rejected in review. Prisma is the ORM; raw SQL is allowed only for analytics queries with architecture review.</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 Primary Keys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table uses `id UUID PRIMARY KEY DEFAULT gen_random_uuid()`. UUIDs prevent enumeration attacks, allow offline generation, and simplify sharding.</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Multi-tenant columns mandatory</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business table has `tenant_id`, `school_id`, `branch_id UUID NOT NULL`. Composite indexes on these. Cross-tenant queries forbidden at ORM layer.</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 columns mandatory</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table has `created_at TIMESTAMPTZ, created_by UUID, updated_at TIMESTAMPTZ, updated_by UUID, deleted_at TIMESTAMPTZ NULL`.</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 delete mandatory</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 sets `deleted_at = NOW()`. Every query includes `WHERE deleted_at IS NULL` unless explicitly fetching archived records. Partial index supports this.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SELECT *</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Explicit column lists only. SELECT * breaks on schema changes, hides intent, and pulls unneeded data. Prisma select{} mandatory.</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Pagination mandatory</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list query has LIMIT + OFFSET or cursor. Default page size 20, max 100. Unbounded queries are a defect.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Parameterized queries only</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string concatenation in SQL. Prisma parameterizes by default. Raw SQL uses `$1, $2` placeholders.</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Foreign keys enforced</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relation has FK constraint with ON DELETE RESTRICT for parent tables, ON DELETE CASCADE only for true children (e.g., invoice_items).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 for flexible metadata</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 JSONB for genuinely flexible fields (template variables, integration configs). Never for fields that need indexing or querying.</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Timestamps in TIMESTAMPTZ</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Never TIMESTAMP without timezone. All timestamps stored as UTC, displayed in user timezone at API layer.</w:t>
            </w:r>
          </w:p>
        </w:tc>
      </w:tr>
    </w:tbl>
    <w:p>
      <w:pPr>
        <w:pStyle w:val="Heading2"/>
        <w:spacing w:after="160" w:before="280" w:line="312"/>
      </w:pPr>
      <w:bookmarkStart w:id="100031" w:name="_Toc100031"/>
      <w:r>
        <w:rPr>
          <w:rFonts w:ascii="Calibri" w:cs="Nirmala UI" w:eastAsia="Calibri"/>
          <w:b/>
          <w:bCs/>
          <w:color w:val="0B1C2C"/>
          <w:sz w:val="28"/>
          <w:szCs w:val="28"/>
        </w:rPr>
        <w:t xml:space="preserve">Indexing Standards</w:t>
      </w:r>
      <w:bookmarkEnd w:id="100031"/>
    </w:p>
    <w:p>
      <w:pPr>
        <w:spacing w:after="160" w:before="0" w:line="312"/>
        <w:jc w:val="both"/>
      </w:pPr>
      <w:r>
        <w:rPr>
          <w:rFonts w:ascii="Calibri" w:cs="Nirmala UI" w:eastAsia="Calibri"/>
          <w:color w:val="000000"/>
          <w:sz w:val="24"/>
          <w:szCs w:val="24"/>
        </w:rPr>
        <w:t xml:space="preserve">Indexes are the single most impactful performance lever in a relational database. PreOne indexes every foreign key (Prisma does not auto-index), every frequently-filtered column, every unique business key, and uses partial indexes for soft-delete queries. Composite indexes are ordered by selectivity (tenant_id first, then most selective column). EXPLAIN ANALYZE is run on every new query in review to verify index usage.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Type</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Foreign Key</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FK column indexed. Prisma does not auto-index FKs — explicit `@@index([tenant_id, school_id, branch_id])`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Search</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Frequently filtered columns (status, email, phone, admission_number) get B-tree indexes. Text search uses GIN index with `to_tsvector('english', name)`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unique constraints (admission_number per tenant, email per tenant, invoice_number per tenant) use `@@unique([tenant_id, admission_number])`</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Composite</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Multi-column queries (e.g., branch + academic_year + status) get composite index ordered by selectivity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queries get partial index: `CREATE INDEX ... WHERE deleted_at IS NULL`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Covering</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Hot list queries get INCLUDE clause to cover SELECT list without table lookup</w:t>
            </w:r>
          </w:p>
        </w:tc>
      </w:tr>
    </w:tbl>
    <w:p>
      <w:pPr>
        <w:pStyle w:val="Heading2"/>
        <w:spacing w:after="160" w:before="280" w:line="312"/>
      </w:pPr>
      <w:bookmarkStart w:id="100032" w:name="_Toc100032"/>
      <w:r>
        <w:rPr>
          <w:rFonts w:ascii="Calibri" w:cs="Nirmala UI" w:eastAsia="Calibri"/>
          <w:b/>
          <w:bCs/>
          <w:color w:val="0B1C2C"/>
          <w:sz w:val="28"/>
          <w:szCs w:val="28"/>
        </w:rPr>
        <w:t xml:space="preserve">Migration Standards</w:t>
      </w:r>
      <w:bookmarkEnd w:id="100032"/>
    </w:p>
    <w:p>
      <w:pPr>
        <w:spacing w:after="160" w:before="0" w:line="312"/>
        <w:jc w:val="both"/>
      </w:pPr>
      <w:r>
        <w:rPr>
          <w:rFonts w:ascii="Calibri" w:cs="Nirmala UI" w:eastAsia="Calibri"/>
          <w:color w:val="000000"/>
          <w:sz w:val="24"/>
          <w:szCs w:val="24"/>
        </w:rPr>
        <w:t xml:space="preserve">Database migrations are forward-only and tested on staging with production-scale data before production deployment. Destructive migrations (drop column, rename) follow the expand-contract pattern: add new column, backfill, switch reads, drop old column — across two releases. Index creation uses CREATE INDEX CONCURRENTLY to avoid blocking writes. Every migration PR documents the rollback plan in its description.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Every schema change via Prisma migration — never manual SQL on prod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Migrations are forward-only — down migrations are dangerous, write a new forward migration to reverse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Destructive migrations (drop column, rename) require 2-step: deprecate → wait 1 release → drop</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Large table migrations use expand-contract pattern: add new column → backfill → switch reads → drop old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Index creation uses `CREATE INDEX CONCURRENTLY` — never block writes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Migration tested on staging with prod-scale data before prod deploy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Migration rollback plan documented in PR description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Zero-downtime deployments — app must tolerate both old and new schema during rolling deploy</w:t>
      </w:r>
    </w:p>
    <w:p>
      <w:r>
        <w:br w:type="page"/>
      </w:r>
    </w:p>
    <w:p>
      <w:pPr>
        <w:pStyle w:val="Heading1"/>
        <w:spacing w:after="200" w:before="360" w:line="312"/>
      </w:pPr>
      <w:bookmarkStart w:id="100033" w:name="_Toc100033"/>
      <w:r>
        <w:rPr>
          <w:rFonts w:ascii="Calibri" w:cs="Nirmala UI" w:eastAsia="Calibri"/>
          <w:b/>
          <w:bCs/>
          <w:color w:val="0B1C2C"/>
          <w:sz w:val="32"/>
          <w:szCs w:val="32"/>
        </w:rPr>
        <w:t xml:space="preserve">ENG-004: Security Engineering Standards</w:t>
      </w:r>
      <w:bookmarkEnd w:id="100033"/>
    </w:p>
    <w:p>
      <w:pPr>
        <w:spacing w:after="160" w:before="0" w:line="312"/>
        <w:jc w:val="both"/>
      </w:pPr>
      <w:r>
        <w:rPr>
          <w:rFonts w:ascii="Calibri" w:cs="Nirmala UI" w:eastAsia="Calibri"/>
          <w:color w:val="000000"/>
          <w:sz w:val="24"/>
          <w:szCs w:val="24"/>
        </w:rPr>
        <w:t xml:space="preserve">Define the security controls that protect PreOne's children, parents, staff, and business data. These standards are non-negotiable: every API requires auth, every secret is rotated, every PII field is encrypted, every action is audited, and every dependency is scanned. Security review is mandatory before any external-facing feature ships.</w:t>
      </w:r>
    </w:p>
    <w:p>
      <w:pPr>
        <w:pStyle w:val="Heading2"/>
        <w:spacing w:after="160" w:before="280" w:line="312"/>
      </w:pPr>
      <w:bookmarkStart w:id="100034" w:name="_Toc100034"/>
      <w:r>
        <w:rPr>
          <w:rFonts w:ascii="Calibri" w:cs="Nirmala UI" w:eastAsia="Calibri"/>
          <w:b/>
          <w:bCs/>
          <w:color w:val="0B1C2C"/>
          <w:sz w:val="28"/>
          <w:szCs w:val="28"/>
        </w:rPr>
        <w:t xml:space="preserve">Authentication Standards</w:t>
      </w:r>
      <w:bookmarkEnd w:id="100034"/>
    </w:p>
    <w:p>
      <w:pPr>
        <w:spacing w:after="160" w:before="0" w:line="312"/>
        <w:jc w:val="both"/>
      </w:pPr>
      <w:r>
        <w:rPr>
          <w:rFonts w:ascii="Calibri" w:cs="Nirmala UI" w:eastAsia="Calibri"/>
          <w:color w:val="000000"/>
          <w:sz w:val="24"/>
          <w:szCs w:val="24"/>
        </w:rPr>
        <w:t xml:space="preserve">PreOne supports seven authentication methods, each scoped to a specific use case. JWT (15-minute expiry) is the primary access token; refresh tokens (30-day) enable seamless session extension; OTP is used for parent login and admin MFA; passwords are hashed with Argon2id (never MD5, never SHA, never bcrypt with cost &lt; 12). API keys (90-day rotation) handle service-to-service auth; service tokens (mTLS) handle internal microservice auth. Every method has explicit expiry, rotation, and revocation policies.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Method</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JWT (Access Token)</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RS256 signed, 15-minute expiry, claims: sub, tenant_id, school_id, branch_id, scope, exp, iat. Stored in httpOnly Secure cookie for web, in secure storage for mobile.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 Token</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Opaque random token, 30-day expiry, stored hashed in DB, single-use (rotated on each refresh), revoked on logout/password change.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OTP</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6-digit numeric, 5-minute expiry, max 3 attempts, rate-limited per phone (5/hour), hashed in Redis with TTL. Used for parent login and admin MFA.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Password</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Argon2id with memory=64MB, iterations=3, parallelism=4. Never MD5, never SHA, never bcrypt with cost &lt; 12. Password never logged, never returned in API response.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MFA Ready</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TOTP (Google Authenticator) for admin roles. Backup codes stored hashed. SMS OTP fallback for parents. WebAuthn planned for v2.</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Key</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Service-to-service auth. 90-day rotation mandatory. Stored hashed (SHA-256). Scoped to specific endpoints. Revocable instantly via admin UI.</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 Token</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Internal microservice auth via mTLS + short-lived JWT issued by internal IdP. Never crosses trust boundary.</w:t>
            </w:r>
          </w:p>
        </w:tc>
      </w:tr>
    </w:tbl>
    <w:p>
      <w:pPr>
        <w:pStyle w:val="Heading2"/>
        <w:spacing w:after="160" w:before="280" w:line="312"/>
      </w:pPr>
      <w:bookmarkStart w:id="100035" w:name="_Toc100035"/>
      <w:r>
        <w:rPr>
          <w:rFonts w:ascii="Calibri" w:cs="Nirmala UI" w:eastAsia="Calibri"/>
          <w:b/>
          <w:bCs/>
          <w:color w:val="0B1C2C"/>
          <w:sz w:val="28"/>
          <w:szCs w:val="28"/>
        </w:rPr>
        <w:t xml:space="preserve">Authorization Standards</w:t>
      </w:r>
      <w:bookmarkEnd w:id="100035"/>
    </w:p>
    <w:p>
      <w:pPr>
        <w:spacing w:after="160" w:before="0" w:line="312"/>
        <w:jc w:val="both"/>
      </w:pPr>
      <w:r>
        <w:rPr>
          <w:rFonts w:ascii="Calibri" w:cs="Nirmala UI" w:eastAsia="Calibri"/>
          <w:color w:val="000000"/>
          <w:sz w:val="24"/>
          <w:szCs w:val="24"/>
        </w:rPr>
        <w:t xml:space="preserve">Authorization in PreOne is RBAC-based with five layers of enforcement. First, every endpoint is decorated with @RequirePermissions. Second, permissions are cached in Redis for 5 minutes (cache invalidated on role change). Third, scope validation enforces data scope (teacher sees only their classroom). Fourth, tenant isolation filters every query by tenant_id from JWT. Fifth, defense-in-depth validates resource ownership even after auth — the URL ID alone is never trusted.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RBAC mandatory</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endpoint decorated with `@RequirePermissions('students.read', 'students.write')`. No endpoint is unprotected by default.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 cache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 permissions cached in Redis for 5 minutes. Cache invalidated on role change, permission grant, or explicit admin flush.</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Scope validation</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Beyond permission check, validate data scope: teacher can only see students in their classroom; branch head can only see their branch; parent can only see their children.</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isolation</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query filtered by tenant_id from JWT. Cross-tenant queries require platform-admin scope and are audited at WARN level.</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Defense in depth</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 with auth, validate resource ownership: `WHERE id = $1 AND tenant_id = $2` — never trust the URL alone.</w:t>
            </w:r>
          </w:p>
        </w:tc>
      </w:tr>
    </w:tbl>
    <w:p>
      <w:pPr>
        <w:pStyle w:val="Heading2"/>
        <w:spacing w:after="160" w:before="280" w:line="312"/>
      </w:pPr>
      <w:bookmarkStart w:id="100036" w:name="_Toc100036"/>
      <w:r>
        <w:rPr>
          <w:rFonts w:ascii="Calibri" w:cs="Nirmala UI" w:eastAsia="Calibri"/>
          <w:b/>
          <w:bCs/>
          <w:color w:val="0B1C2C"/>
          <w:sz w:val="28"/>
          <w:szCs w:val="28"/>
        </w:rPr>
        <w:t xml:space="preserve">Secrets Management</w:t>
      </w:r>
      <w:bookmarkEnd w:id="100036"/>
    </w:p>
    <w:p>
      <w:pPr>
        <w:spacing w:after="160" w:before="0" w:line="312"/>
        <w:jc w:val="both"/>
      </w:pPr>
      <w:r>
        <w:rPr>
          <w:rFonts w:ascii="Calibri" w:cs="Nirmala UI" w:eastAsia="Calibri"/>
          <w:color w:val="000000"/>
          <w:sz w:val="24"/>
          <w:szCs w:val="24"/>
        </w:rPr>
        <w:t xml:space="preserve">Secrets never live in code, never live in env files committed to Git, and never live in plaintext at rest. Production secrets are stored in HashiCorp Vault; dev/staging secrets are in gitignored .env files injected by CI from secret manager. Every secret has a rotation policy (90 days for JWT signing keys and API keys; 180 days for DB passwords). Secret scanning (TruffleHog + Gitleaks) runs on every commit and blocks PRs on hit.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Vault for production</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secrets (DB passwords, JWT signing keys, payment gateway keys, API keys) stored in HashiCorp Vault. App fetches at boot, caches in memory, refreshes every 1 hour.</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Environment variables for dev/staging</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.env files gitignored. .env.example committed with placeholder values. Real env injected by CI/CD from secret manager.</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Never hardcoded secrets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ESLint rule `no-restricted-syntax` forbids strings matching key patterns. Pre-commit hook scans for high-entropy strings.</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Rotation policy</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JWT signing keys: 90 days. API keys: 90 days. DB passwords: 180 days. Payment gateway keys: per provider policy. Rotation automated via Vault.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Secret scanning in CI</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TruffleHog + Gitleaks scan every commit. Match on regex patterns for AWS keys, JWT, private keys. PR blocked on hit.</w:t>
            </w:r>
          </w:p>
        </w:tc>
      </w:tr>
    </w:tbl>
    <w:p>
      <w:pPr>
        <w:pStyle w:val="Heading2"/>
        <w:spacing w:after="160" w:before="280" w:line="312"/>
      </w:pPr>
      <w:bookmarkStart w:id="100037" w:name="_Toc100037"/>
      <w:r>
        <w:rPr>
          <w:rFonts w:ascii="Calibri" w:cs="Nirmala UI" w:eastAsia="Calibri"/>
          <w:b/>
          <w:bCs/>
          <w:color w:val="0B1C2C"/>
          <w:sz w:val="28"/>
          <w:szCs w:val="28"/>
        </w:rPr>
        <w:t xml:space="preserve">Encryption Standards</w:t>
      </w:r>
      <w:bookmarkEnd w:id="100037"/>
    </w:p>
    <w:p>
      <w:pPr>
        <w:spacing w:after="160" w:before="0" w:line="312"/>
        <w:jc w:val="both"/>
      </w:pPr>
      <w:r>
        <w:rPr>
          <w:rFonts w:ascii="Calibri" w:cs="Nirmala UI" w:eastAsia="Calibri"/>
          <w:color w:val="000000"/>
          <w:sz w:val="24"/>
          <w:szCs w:val="24"/>
        </w:rPr>
        <w:t xml:space="preserve">Encryption protects data at rest and in transit. At rest, PII columns (parent.aadhaar, parent.pan, staff.bank_account) are encrypted with AES-256-GCM via Postgres pgcrypto; database volumes and S3 buckets are encrypted with AWS KMS. In transit, TLS 1.3 is mandatory (TLS 1.2 deprecated); HSTS enforces HTTPS for 1 year with preload. JWT uses RS256 (asymmetric) so services can verify tokens with the public key without sharing the private key.</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7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 rest — PII columns</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AES-256-GCM via Postgres `pgcrypto` extension. Columns: parent.aadhaar, parent.pan, staff.aadhaar, staff.pan, staff.bank_account. Key in Vault, rotated annually.</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 rest — database volume</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EBS volumes encrypted with AWS KMS. Backups encrypted. Snapshots encrypted. Key rotation annually.</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 rest — object storage</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S3 buckets encrypted with SSE-KMS. Pre-signed URLs for upload/download. Lifecycle policy moves to Glacier after 90 days.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 transit</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TLS 1.3 mandatory. TLS 1.2 deprecated. HSTS header with 1-year max-age and preload. HTTP redirected to HTTPS at load balancer.</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layer — JWT</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RS256 (asymmetric) so multiple services can verify with public key without sharing private key.</w:t>
            </w:r>
          </w:p>
        </w:tc>
      </w:tr>
    </w:tbl>
    <w:p>
      <w:pPr>
        <w:pStyle w:val="Heading2"/>
        <w:spacing w:after="160" w:before="280" w:line="312"/>
      </w:pPr>
      <w:bookmarkStart w:id="100038" w:name="_Toc100038"/>
      <w:r>
        <w:rPr>
          <w:rFonts w:ascii="Calibri" w:cs="Nirmala UI" w:eastAsia="Calibri"/>
          <w:b/>
          <w:bCs/>
          <w:color w:val="0B1C2C"/>
          <w:sz w:val="28"/>
          <w:szCs w:val="28"/>
        </w:rPr>
        <w:t xml:space="preserve">HTTP Security Headers</w:t>
      </w:r>
      <w:bookmarkEnd w:id="100038"/>
    </w:p>
    <w:p>
      <w:pPr>
        <w:spacing w:after="160" w:before="0" w:line="312"/>
        <w:jc w:val="both"/>
      </w:pPr>
      <w:r>
        <w:rPr>
          <w:rFonts w:ascii="Calibri" w:cs="Nirmala UI" w:eastAsia="Calibri"/>
          <w:color w:val="000000"/>
          <w:sz w:val="24"/>
          <w:szCs w:val="24"/>
        </w:rPr>
        <w:t xml:space="preserve">Every PreOne HTTP response carries seven security headers. These headers protect against XSS, clickjacking, MIME-sniffing, mixed content, and referrer leakage. Headers are set at the load balancer (CloudFront + ALB) and verified by the security team's synthetic monitoring. CSP is the most critical — it blocks inline scripts and restricts resource origins. CORS is explicit (specific origins, never wildcard).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Header</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Strict-Transport-Security</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max-age=31536000; includeSubDomains; preload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Force HTTPS for 1 year, include subdomains, submit to HSTSPreload list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Content-Security-Policy</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default-src 'self'; script-src 'self' 'nonce-{nonce}'; style-src 'self' 'unsafe-inline'; img-src 'self' data: https:; connect-src 'self' https://api.preone.in; frame-ancestors 'none'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 XSS, clickjacking, mixed content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X-Content-Type-Options</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nosniff</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 MIME-type sniffing attacks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X-Frame-Options</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DENY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 clickjacking by forbidding iframe embedding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Referrer-Policy</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strict-origin-when-cross-origin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Limit referrer leakage to cross-origin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Permissions-Policy</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geolocation=(self), camera=(), microphone=()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Restrict browser feature access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Access-Control-Allow-Origin</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https://app.preone.in (specific origins, never *)</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CORS — explicit allow-list, never wildcard</w:t>
            </w:r>
          </w:p>
        </w:tc>
      </w:tr>
    </w:tbl>
    <w:p>
      <w:pPr>
        <w:pStyle w:val="Heading2"/>
        <w:spacing w:after="160" w:before="280" w:line="312"/>
      </w:pPr>
      <w:bookmarkStart w:id="100039" w:name="_Toc100039"/>
      <w:r>
        <w:rPr>
          <w:rFonts w:ascii="Calibri" w:cs="Nirmala UI" w:eastAsia="Calibri"/>
          <w:b/>
          <w:bCs/>
          <w:color w:val="0B1C2C"/>
          <w:sz w:val="28"/>
          <w:szCs w:val="28"/>
        </w:rPr>
        <w:t xml:space="preserve">Input Protection</w:t>
      </w:r>
      <w:bookmarkEnd w:id="100039"/>
    </w:p>
    <w:p>
      <w:pPr>
        <w:spacing w:after="160" w:before="0" w:line="312"/>
        <w:jc w:val="both"/>
      </w:pPr>
      <w:r>
        <w:rPr>
          <w:rFonts w:ascii="Calibri" w:cs="Nirmala UI" w:eastAsia="Calibri"/>
          <w:color w:val="000000"/>
          <w:sz w:val="24"/>
          <w:szCs w:val="24"/>
        </w:rPr>
        <w:t xml:space="preserve">Every external input is hostile until proven otherwise. PreOne defends against eight categories of input-based attacks. SQL injection is prevented by parameterized queries (Prisma parameterizes by default; raw SQL uses $1, $2 placeholders). XSS is prevented by input sanitization (DOMPurify) and output encoding (React auto-escaping). CSRF is prevented by token-based auth (not cookie-based) and SameSite cookies. Rate limiting, file upload validation, brute force protection, SSRF prevention, and deserialization safety round out the defenses.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Threat</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Control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SQL Injection</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Parameterized queries via Prisma. Raw SQL audited by security team. No string concatenation in any query path.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XSS</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Input sanitization via DOMPurify on server. Output encoding via React's automatic escaping. CSP header blocks inline scripts.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CSRF</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Token-based (not cookie-based) auth for state-changing operations. SameSite=Strict on session cookies. Origin header validation.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Rate Limiting</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Per-IP and per-user rate limit via Redis sliding window. Login: 5/min. API: 100/min. Sensitive ops (refund, delete): 10/min.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 Upload</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Virus scan via ClamAV. Extension allow-list (pdf, docx, png, jpg, mp4). MIME type verification (not just extension). Max size 10MB. Store on S3, never on app server.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Brute Force</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 lockout after 5 failed attempts (15-min lockout). IP block after 20 failed attempts across accounts (1-hour block). Alert security team.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SSRF</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Outbound HTTP only via allow-listed domains. DNS rebinding protection. Block requests to private IP ranges (10.x, 192.168.x, 169.254.x).</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Deserialization</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Never use `JSON.parse` on untrusted input without schema validation. Use zod or class-validator on every DTO. No `eval`, no `Function` constructor.</w:t>
            </w:r>
          </w:p>
        </w:tc>
      </w:tr>
    </w:tbl>
    <w:p>
      <w:pPr>
        <w:pStyle w:val="Heading2"/>
        <w:spacing w:after="160" w:before="280" w:line="312"/>
      </w:pPr>
      <w:bookmarkStart w:id="100040" w:name="_Toc100040"/>
      <w:r>
        <w:rPr>
          <w:rFonts w:ascii="Calibri" w:cs="Nirmala UI" w:eastAsia="Calibri"/>
          <w:b/>
          <w:bCs/>
          <w:color w:val="0B1C2C"/>
          <w:sz w:val="28"/>
          <w:szCs w:val="28"/>
        </w:rPr>
        <w:t xml:space="preserve">Audit Logging</w:t>
      </w:r>
      <w:bookmarkEnd w:id="100040"/>
    </w:p>
    <w:p>
      <w:pPr>
        <w:spacing w:after="160" w:before="0" w:line="312"/>
        <w:jc w:val="both"/>
      </w:pPr>
      <w:r>
        <w:rPr>
          <w:rFonts w:ascii="Calibri" w:cs="Nirmala UI" w:eastAsia="Calibri"/>
          <w:color w:val="000000"/>
          <w:sz w:val="24"/>
          <w:szCs w:val="24"/>
        </w:rPr>
        <w:t xml:space="preserve">Every state-changing action, every PII read, every failed auth attempt, and every admin action is audited. Audit logs are immutable (no UPDATE/DELETE), hash-chained (each row includes hash of previous row), and backed up daily to a write-only S3 bucket. Retention is 7 years per DPDP. Audit log integrity is verified daily by a background job that recomputes the hash chain and alerts on any break.</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7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state-changing action audited</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Who (user_id, role), what (entity, action, before, after), when (timestamp), where (IP, user-agent), why (request_id, trace_id). Stored in audit_logs table, immutable, 7-year retention per DPDP.</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 access to PII audited</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Reading parent.aadhaar, staff.pan, student.medical_record logs at WARN level. Quarterly review by security team.</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Failed auth attempts audited</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Failed logins, expired tokens, permission denials logged at INFO with IP and user-agent. Aggregated daily for anomaly detection.</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 actions audited</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 changes, permission grants, feature flag toggles, config changes — all logged at WARN with explicit before/after diff.</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 log integrity</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Append-only table (no UPDATE/DELETE). Hash-chained (each row includes hash of previous row). Daily backup to write-only S3 bucket.</w:t>
            </w:r>
          </w:p>
        </w:tc>
      </w:tr>
    </w:tbl>
    <w:p>
      <w:pPr>
        <w:pStyle w:val="Heading2"/>
        <w:spacing w:after="160" w:before="280" w:line="312"/>
      </w:pPr>
      <w:bookmarkStart w:id="100041" w:name="_Toc100041"/>
      <w:r>
        <w:rPr>
          <w:rFonts w:ascii="Calibri" w:cs="Nirmala UI" w:eastAsia="Calibri"/>
          <w:b/>
          <w:bCs/>
          <w:color w:val="0B1C2C"/>
          <w:sz w:val="28"/>
          <w:szCs w:val="28"/>
        </w:rPr>
        <w:t xml:space="preserve">Secure Development Lifecycle (SDL)</w:t>
      </w:r>
      <w:bookmarkEnd w:id="100041"/>
    </w:p>
    <w:p>
      <w:pPr>
        <w:spacing w:after="160" w:before="0" w:line="312"/>
        <w:jc w:val="both"/>
      </w:pPr>
      <w:r>
        <w:rPr>
          <w:rFonts w:ascii="Calibri" w:cs="Nirmala UI" w:eastAsia="Calibri"/>
          <w:color w:val="000000"/>
          <w:sz w:val="24"/>
          <w:szCs w:val="24"/>
        </w:rPr>
        <w:t xml:space="preserve">Security is built into every stage of development, not bolted on after a breach. The SDL (detailed in Appendix C) takes a feature from requirements through release approval with security sign-off at each gate. Threat modeling (STRIDE) is mandatory for high-risk features (payments, PII, admin actions). Static analysis (SAST) and dependency scanning run on every PR. Annual third-party penetration tests and a bug bounty program provide external validation.</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Stage</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Activity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Requirements</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requirements captured per feature (auth, authz, PII handling, audit). Threat modeling for high-risk features.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Review</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review for new endpoints, schema changes, integrations. Security design review for any feature touching PII or payments.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Implementation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Follow secure coding guidelines. Pair programming on security-sensitive code. Pre-commit hooks for secret scanning.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Static Analysis (SAST)</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 + ESLint security rules run on every PR. Critical findings block merge. Snyk for dependency vulnerabilities.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Dependency Scan</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Snyk + npm audit on every build. Critical CVEs block deploy. High CVEs require architecture sign-off to deploy.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Unit Testing</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unit tests for auth, authz, input validation, output encoding. Mutation testing on security-critical modules.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Testing</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End-to-end auth flows, multi-tenant isolation tests, permission boundary tests.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Testing</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OWASP ZAP automated scan on staging. Annual third-party penetration test. Bug bounty program for external researchers.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Release Approval</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sign-off on release notes. SOC2 change management workflow. Rollback plan documented.</w:t>
            </w:r>
          </w:p>
        </w:tc>
      </w:tr>
    </w:tbl>
    <w:p>
      <w:r>
        <w:br w:type="page"/>
      </w:r>
    </w:p>
    <w:p>
      <w:pPr>
        <w:pStyle w:val="Heading1"/>
        <w:spacing w:after="200" w:before="360" w:line="312"/>
      </w:pPr>
      <w:bookmarkStart w:id="100042" w:name="_Toc100042"/>
      <w:r>
        <w:rPr>
          <w:rFonts w:ascii="Calibri" w:cs="Nirmala UI" w:eastAsia="Calibri"/>
          <w:b/>
          <w:bCs/>
          <w:color w:val="0B1C2C"/>
          <w:sz w:val="32"/>
          <w:szCs w:val="32"/>
        </w:rPr>
        <w:t xml:space="preserve">ENG-005: Logging &amp; Observability Standards</w:t>
      </w:r>
      <w:bookmarkEnd w:id="100042"/>
    </w:p>
    <w:p>
      <w:pPr>
        <w:spacing w:after="160" w:before="0" w:line="312"/>
        <w:jc w:val="both"/>
      </w:pPr>
      <w:r>
        <w:rPr>
          <w:rFonts w:ascii="Calibri" w:cs="Nirmala UI" w:eastAsia="Calibri"/>
          <w:color w:val="000000"/>
          <w:sz w:val="24"/>
          <w:szCs w:val="24"/>
        </w:rPr>
        <w:t xml:space="preserve">Define how PreOne captures, structures, and routes logs, metrics, and traces so that any production issue can be diagnosed within 5 minutes without adding new code. Observability is a feature — it is built into every endpoint, every job, every integration from day one, not bolted on after an incident.</w:t>
      </w:r>
    </w:p>
    <w:p>
      <w:pPr>
        <w:pStyle w:val="Heading2"/>
        <w:spacing w:after="160" w:before="280" w:line="312"/>
      </w:pPr>
      <w:bookmarkStart w:id="100043" w:name="_Toc100043"/>
      <w:r>
        <w:rPr>
          <w:rFonts w:ascii="Calibri" w:cs="Nirmala UI" w:eastAsia="Calibri"/>
          <w:b/>
          <w:bCs/>
          <w:color w:val="0B1C2C"/>
          <w:sz w:val="28"/>
          <w:szCs w:val="28"/>
        </w:rPr>
        <w:t xml:space="preserve">Log Levels</w:t>
      </w:r>
      <w:bookmarkEnd w:id="100043"/>
    </w:p>
    <w:p>
      <w:pPr>
        <w:spacing w:after="160" w:before="0" w:line="312"/>
        <w:jc w:val="both"/>
      </w:pPr>
      <w:r>
        <w:rPr>
          <w:rFonts w:ascii="Calibri" w:cs="Nirmala UI" w:eastAsia="Calibri"/>
          <w:color w:val="000000"/>
          <w:sz w:val="24"/>
          <w:szCs w:val="24"/>
        </w:rPr>
        <w:t xml:space="preserve">PreOne uses six log levels, each with a specific semantic and retention policy. TRACE and DEBUG are disabled in production by default (enabled temporarily for incident diagnosis). INFO captures normal business events (invoice generated, admission approved). WARN captures unexpected-but-recoverable situations (cache miss, retry triggered). ERROR captures failed operations (notification send failed, external API timeout). FATAL captures service-ending failures (DB connection lost). Retention ranges from 1 day (TRACE) to 1 year (ERROR/FATAL).</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Level</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When to Use</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Retention</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TRACE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Extremely detailed flow tracing (disabled in prod by default)</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Entering StudentService.findById with id=123</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day</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DEBUG</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Diagnostic info useful in dev/staging (disabled in prod)</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Cache hit for student:123</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 days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INFO</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Normal operation — significant business events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INV-2026-001 generated for student 123</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30 days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WARN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Unexpected but recoverable; potential issue</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 cache miss for user 456 — falling back to DB</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90 days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 failed but service continues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Failed to send WhatsApp notification — retrying</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year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FATAL</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 cannot continue — process will exit</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connection lost — cannot serve requests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 year (alert on-call)</w:t>
            </w:r>
          </w:p>
        </w:tc>
      </w:tr>
    </w:tbl>
    <w:p>
      <w:pPr>
        <w:pStyle w:val="Heading2"/>
        <w:spacing w:after="160" w:before="280" w:line="312"/>
      </w:pPr>
      <w:bookmarkStart w:id="100044" w:name="_Toc100044"/>
      <w:r>
        <w:rPr>
          <w:rFonts w:ascii="Calibri" w:cs="Nirmala UI" w:eastAsia="Calibri"/>
          <w:b/>
          <w:bCs/>
          <w:color w:val="0B1C2C"/>
          <w:sz w:val="28"/>
          <w:szCs w:val="28"/>
        </w:rPr>
        <w:t xml:space="preserve">Mandatory Request Fields</w:t>
      </w:r>
      <w:bookmarkEnd w:id="100044"/>
    </w:p>
    <w:p>
      <w:pPr>
        <w:spacing w:after="160" w:before="0" w:line="312"/>
        <w:jc w:val="both"/>
      </w:pPr>
      <w:r>
        <w:rPr>
          <w:rFonts w:ascii="Calibri" w:cs="Nirmala UI" w:eastAsia="Calibri"/>
          <w:color w:val="000000"/>
          <w:sz w:val="24"/>
          <w:szCs w:val="24"/>
        </w:rPr>
        <w:t xml:space="preserve">Every API request log carries seven mandatory fields. These fields enable correlation across logs, traces, and metrics; without them, an engineer diagnosing an incident cannot reconstruct what happened. The fields are propagated via the X-Request-ID header (set at the API gateway) and the OpenTelemetry trace context. Logs missing mandatory fields are rejected by the logging pipeline.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Field</w:t>
            </w:r>
          </w:p>
        </w:tc>
        <w:tc>
          <w:tcPr>
            <w:tcW w:type="pct" w:w="8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RequestId</w:t>
            </w:r>
          </w:p>
        </w:tc>
        <w:tc>
          <w:tcPr>
            <w:tcW w:type="pct" w:w="8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UUIDv7 generated at API gateway, propagated via X-Request-ID header. Same ID in all logs for the request.</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UserId</w:t>
            </w:r>
          </w:p>
        </w:tc>
        <w:tc>
          <w:tcPr>
            <w:tcW w:type="pct" w:w="8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From JWT sub claim. Null for unauthenticated requests.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w:t>
            </w:r>
          </w:p>
        </w:tc>
        <w:tc>
          <w:tcPr>
            <w:tcW w:type="pct" w:w="8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From JWT. Mandatory for all authenticated requests. Allows per-tenant log filtering.</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w:t>
            </w:r>
          </w:p>
        </w:tc>
        <w:tc>
          <w:tcPr>
            <w:tcW w:type="pct" w:w="8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HTTP method + path (e.g., POST /api/v1/students). Not full URL (query string may contain PII).</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Duration</w:t>
            </w:r>
          </w:p>
        </w:tc>
        <w:tc>
          <w:tcPr>
            <w:tcW w:type="pct" w:w="8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 processing time in milliseconds. Slow queries (&gt;1s) flagged.</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8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HTTP response status code. 5xx triggers ERROR log. 4xx triggers WARN if rate spikes.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TraceId</w:t>
            </w:r>
          </w:p>
        </w:tc>
        <w:tc>
          <w:tcPr>
            <w:tcW w:type="pct" w:w="8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OpenTelemetry trace ID. Links logs to distributed trace for cross-service debugging.</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SpanId</w:t>
            </w:r>
          </w:p>
        </w:tc>
        <w:tc>
          <w:tcPr>
            <w:tcW w:type="pct" w:w="8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OpenTelemetry span ID. Allows drilling into specific operation within trace.</w:t>
            </w:r>
          </w:p>
        </w:tc>
      </w:tr>
    </w:tbl>
    <w:p>
      <w:pPr>
        <w:pStyle w:val="Heading2"/>
        <w:spacing w:after="160" w:before="280" w:line="312"/>
      </w:pPr>
      <w:bookmarkStart w:id="100045" w:name="_Toc100045"/>
      <w:r>
        <w:rPr>
          <w:rFonts w:ascii="Calibri" w:cs="Nirmala UI" w:eastAsia="Calibri"/>
          <w:b/>
          <w:bCs/>
          <w:color w:val="0B1C2C"/>
          <w:sz w:val="28"/>
          <w:szCs w:val="28"/>
        </w:rPr>
        <w:t xml:space="preserve">Never Log These</w:t>
      </w:r>
      <w:bookmarkEnd w:id="100045"/>
    </w:p>
    <w:p>
      <w:pPr>
        <w:spacing w:after="160" w:before="0" w:line="312"/>
        <w:jc w:val="both"/>
      </w:pPr>
      <w:r>
        <w:rPr>
          <w:rFonts w:ascii="Calibri" w:cs="Nirmala UI" w:eastAsia="Calibri"/>
          <w:color w:val="000000"/>
          <w:sz w:val="24"/>
          <w:szCs w:val="24"/>
        </w:rPr>
        <w:t xml:space="preserve">The following data must never appear in logs — not even in 'debug' mode, not even in 'temporary' code, not even behind a feature flag. Logging this data is a DPDP violation and a security incident. The list below is enforced by a log sanitizer that scans outgoing log events and redacts matching patterns; engineers who attempt to log this data will see the redaction in the next log event.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Password (even hashed — log only 'password verified' boolean)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OTP (log only 'OTP sent to phone ending 1234')</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Card number, CVV, expiry (log only last 4 digits)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Aadhaar (log only 'aadhaar verified' boolean)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PAN (log only 'pan verified' boolean)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JWT (log only 'token issued for user X, expires at 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Bank account number (log only 'bank account updated')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Parent personal notes about child (log only 'observation created')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Medical records (log only 'medical record accessed by user X — audited')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Webhook payloads containing any of the above</w:t>
      </w:r>
    </w:p>
    <w:p>
      <w:pPr>
        <w:pStyle w:val="Heading2"/>
        <w:spacing w:after="160" w:before="280" w:line="312"/>
      </w:pPr>
      <w:bookmarkStart w:id="100046" w:name="_Toc100046"/>
      <w:r>
        <w:rPr>
          <w:rFonts w:ascii="Calibri" w:cs="Nirmala UI" w:eastAsia="Calibri"/>
          <w:b/>
          <w:bCs/>
          <w:color w:val="0B1C2C"/>
          <w:sz w:val="28"/>
          <w:szCs w:val="28"/>
        </w:rPr>
        <w:t xml:space="preserve">Structured Log Format</w:t>
      </w:r>
      <w:bookmarkEnd w:id="100046"/>
    </w:p>
    <w:p>
      <w:pPr>
        <w:spacing w:after="160" w:before="0" w:line="312"/>
        <w:jc w:val="both"/>
      </w:pPr>
      <w:r>
        <w:rPr>
          <w:rFonts w:ascii="Calibri" w:cs="Nirmala UI" w:eastAsia="Calibri"/>
          <w:color w:val="000000"/>
          <w:sz w:val="24"/>
          <w:szCs w:val="24"/>
        </w:rPr>
        <w:t xml:space="preserve">All PreOne logs are JSON-structured (not string-concatenated). Structured logs enable log routing, filtering, and aggregation without fragile regex parsing. The structure below is mandatory; every log event has these fields. Engineers use the structured logger (`logger.info`, `logger.error`) which enforces the structure; `console.log` is forbidden by ESLint.</w:t>
      </w:r>
    </w:p>
    <w:p>
      <w:pPr>
        <w:shd w:fill="F4F6F7" w:val="clear"/>
        <w:spacing w:after="0" w:before="12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"timestamp": "2026-07-13T10:30:00.123Z",</w:t>
      </w:r>
    </w:p>
    <w:p>
      <w:pPr>
        <w:shd w:fill="F4F6F7" w:val="clear"/>
        <w:spacing w:after="0" w:before="0" w:line="280"/>
        <w:ind w:left="360" w:right="360"/>
      </w:pPr>
      <w:r>
        <w:rPr>
          <w:rFonts w:ascii="Consolas" w:cs="Consolas" w:eastAsia="Consolas"/>
          <w:color w:val="000000"/>
          <w:sz w:val="20"/>
          <w:szCs w:val="20"/>
        </w:rPr>
        <w:t xml:space="preserve">  "level": "INFO",</w:t>
      </w:r>
    </w:p>
    <w:p>
      <w:pPr>
        <w:shd w:fill="F4F6F7" w:val="clear"/>
        <w:spacing w:after="0" w:before="0" w:line="280"/>
        <w:ind w:left="360" w:right="360"/>
      </w:pPr>
      <w:r>
        <w:rPr>
          <w:rFonts w:ascii="Consolas" w:cs="Consolas" w:eastAsia="Consolas"/>
          <w:color w:val="000000"/>
          <w:sz w:val="20"/>
          <w:szCs w:val="20"/>
        </w:rPr>
        <w:t xml:space="preserve">  "traceId": "4a3b2c1d-5e6f-7890-abcd-ef1234567890",</w:t>
      </w:r>
    </w:p>
    <w:p>
      <w:pPr>
        <w:shd w:fill="F4F6F7" w:val="clear"/>
        <w:spacing w:after="0" w:before="0" w:line="280"/>
        <w:ind w:left="360" w:right="360"/>
      </w:pPr>
      <w:r>
        <w:rPr>
          <w:rFonts w:ascii="Consolas" w:cs="Consolas" w:eastAsia="Consolas"/>
          <w:color w:val="000000"/>
          <w:sz w:val="20"/>
          <w:szCs w:val="20"/>
        </w:rPr>
        <w:t xml:space="preserve">  "spanId": "a1b2c3d4e5f6",</w:t>
      </w:r>
    </w:p>
    <w:p>
      <w:pPr>
        <w:shd w:fill="F4F6F7" w:val="clear"/>
        <w:spacing w:after="0" w:before="0" w:line="280"/>
        <w:ind w:left="360" w:right="360"/>
      </w:pPr>
      <w:r>
        <w:rPr>
          <w:rFonts w:ascii="Consolas" w:cs="Consolas" w:eastAsia="Consolas"/>
          <w:color w:val="000000"/>
          <w:sz w:val="20"/>
          <w:szCs w:val="20"/>
        </w:rPr>
        <w:t xml:space="preserve">  "requestId": "req_abc123",</w:t>
      </w:r>
    </w:p>
    <w:p>
      <w:pPr>
        <w:shd w:fill="F4F6F7" w:val="clear"/>
        <w:spacing w:after="0" w:before="0" w:line="280"/>
        <w:ind w:left="360" w:right="360"/>
      </w:pPr>
      <w:r>
        <w:rPr>
          <w:rFonts w:ascii="Consolas" w:cs="Consolas" w:eastAsia="Consolas"/>
          <w:color w:val="000000"/>
          <w:sz w:val="20"/>
          <w:szCs w:val="20"/>
        </w:rPr>
        <w:t xml:space="preserve">  "userId": "usr_456",</w:t>
      </w:r>
    </w:p>
    <w:p>
      <w:pPr>
        <w:shd w:fill="F4F6F7" w:val="clear"/>
        <w:spacing w:after="0" w:before="0" w:line="280"/>
        <w:ind w:left="360" w:right="360"/>
      </w:pPr>
      <w:r>
        <w:rPr>
          <w:rFonts w:ascii="Consolas" w:cs="Consolas" w:eastAsia="Consolas"/>
          <w:color w:val="000000"/>
          <w:sz w:val="20"/>
          <w:szCs w:val="20"/>
        </w:rPr>
        <w:t xml:space="preserve">  "tenantId": "tnt_789",</w:t>
      </w:r>
    </w:p>
    <w:p>
      <w:pPr>
        <w:shd w:fill="F4F6F7" w:val="clear"/>
        <w:spacing w:after="0" w:before="0" w:line="280"/>
        <w:ind w:left="360" w:right="360"/>
      </w:pPr>
      <w:r>
        <w:rPr>
          <w:rFonts w:ascii="Consolas" w:cs="Consolas" w:eastAsia="Consolas"/>
          <w:color w:val="000000"/>
          <w:sz w:val="20"/>
          <w:szCs w:val="20"/>
        </w:rPr>
        <w:t xml:space="preserve">  "schoolId": "sch_012",</w:t>
      </w:r>
    </w:p>
    <w:p>
      <w:pPr>
        <w:shd w:fill="F4F6F7" w:val="clear"/>
        <w:spacing w:after="0" w:before="0" w:line="280"/>
        <w:ind w:left="360" w:right="360"/>
      </w:pPr>
      <w:r>
        <w:rPr>
          <w:rFonts w:ascii="Consolas" w:cs="Consolas" w:eastAsia="Consolas"/>
          <w:color w:val="000000"/>
          <w:sz w:val="20"/>
          <w:szCs w:val="20"/>
        </w:rPr>
        <w:t xml:space="preserve">  "branchId": "br_345",</w:t>
      </w:r>
    </w:p>
    <w:p>
      <w:pPr>
        <w:shd w:fill="F4F6F7" w:val="clear"/>
        <w:spacing w:after="0" w:before="0" w:line="280"/>
        <w:ind w:left="360" w:right="360"/>
      </w:pPr>
      <w:r>
        <w:rPr>
          <w:rFonts w:ascii="Consolas" w:cs="Consolas" w:eastAsia="Consolas"/>
          <w:color w:val="000000"/>
          <w:sz w:val="20"/>
          <w:szCs w:val="20"/>
        </w:rPr>
        <w:t xml:space="preserve">  "api": "POST /api/v1/invoices",</w:t>
      </w:r>
    </w:p>
    <w:p>
      <w:pPr>
        <w:shd w:fill="F4F6F7" w:val="clear"/>
        <w:spacing w:after="0" w:before="0" w:line="280"/>
        <w:ind w:left="360" w:right="360"/>
      </w:pPr>
      <w:r>
        <w:rPr>
          <w:rFonts w:ascii="Consolas" w:cs="Consolas" w:eastAsia="Consolas"/>
          <w:color w:val="000000"/>
          <w:sz w:val="20"/>
          <w:szCs w:val="20"/>
        </w:rPr>
        <w:t xml:space="preserve">  "duration": 142,</w:t>
      </w:r>
    </w:p>
    <w:p>
      <w:pPr>
        <w:shd w:fill="F4F6F7" w:val="clear"/>
        <w:spacing w:after="0" w:before="0" w:line="280"/>
        <w:ind w:left="360" w:right="360"/>
      </w:pPr>
      <w:r>
        <w:rPr>
          <w:rFonts w:ascii="Consolas" w:cs="Consolas" w:eastAsia="Consolas"/>
          <w:color w:val="000000"/>
          <w:sz w:val="20"/>
          <w:szCs w:val="20"/>
        </w:rPr>
        <w:t xml:space="preserve">  "status": 201,</w:t>
      </w:r>
    </w:p>
    <w:p>
      <w:pPr>
        <w:shd w:fill="F4F6F7" w:val="clear"/>
        <w:spacing w:after="0" w:before="0" w:line="280"/>
        <w:ind w:left="360" w:right="360"/>
      </w:pPr>
      <w:r>
        <w:rPr>
          <w:rFonts w:ascii="Consolas" w:cs="Consolas" w:eastAsia="Consolas"/>
          <w:color w:val="000000"/>
          <w:sz w:val="20"/>
          <w:szCs w:val="20"/>
        </w:rPr>
        <w:t xml:space="preserve">  "message": "Invoice INV-2026-001 generated for student 123",</w:t>
      </w:r>
    </w:p>
    <w:p>
      <w:pPr>
        <w:shd w:fill="F4F6F7" w:val="clear"/>
        <w:spacing w:after="0" w:before="0" w:line="280"/>
        <w:ind w:left="360" w:right="360"/>
      </w:pPr>
      <w:r>
        <w:rPr>
          <w:rFonts w:ascii="Consolas" w:cs="Consolas" w:eastAsia="Consolas"/>
          <w:color w:val="000000"/>
          <w:sz w:val="20"/>
          <w:szCs w:val="20"/>
        </w:rPr>
        <w:t xml:space="preserve">  "entity": "invoice",</w:t>
      </w:r>
    </w:p>
    <w:p>
      <w:pPr>
        <w:shd w:fill="F4F6F7" w:val="clear"/>
        <w:spacing w:after="0" w:before="0" w:line="280"/>
        <w:ind w:left="360" w:right="360"/>
      </w:pPr>
      <w:r>
        <w:rPr>
          <w:rFonts w:ascii="Consolas" w:cs="Consolas" w:eastAsia="Consolas"/>
          <w:color w:val="000000"/>
          <w:sz w:val="20"/>
          <w:szCs w:val="20"/>
        </w:rPr>
        <w:t xml:space="preserve">  "entityId": "inv_001",</w:t>
      </w:r>
    </w:p>
    <w:p>
      <w:pPr>
        <w:shd w:fill="F4F6F7" w:val="clear"/>
        <w:spacing w:after="0" w:before="0" w:line="280"/>
        <w:ind w:left="360" w:right="360"/>
      </w:pPr>
      <w:r>
        <w:rPr>
          <w:rFonts w:ascii="Consolas" w:cs="Consolas" w:eastAsia="Consolas"/>
          <w:color w:val="000000"/>
          <w:sz w:val="20"/>
          <w:szCs w:val="20"/>
        </w:rPr>
        <w:t xml:space="preserve">  "action": "create"</w:t>
      </w:r>
    </w:p>
    <w:p>
      <w:pPr>
        <w:shd w:fill="F4F6F7" w:val="clear"/>
        <w:spacing w:after="200" w:before="0" w:line="280"/>
        <w:ind w:left="360" w:right="360"/>
      </w:pPr>
      <w:r>
        <w:rPr>
          <w:rFonts w:ascii="Consolas" w:cs="Consolas" w:eastAsia="Consolas"/>
          <w:color w:val="000000"/>
          <w:sz w:val="20"/>
          <w:szCs w:val="20"/>
        </w:rPr>
        <w:t xml:space="preserve">}</w:t>
      </w:r>
    </w:p>
    <w:p>
      <w:pPr>
        <w:pStyle w:val="Heading2"/>
        <w:spacing w:after="160" w:before="280" w:line="312"/>
      </w:pPr>
      <w:bookmarkStart w:id="100047" w:name="_Toc100047"/>
      <w:r>
        <w:rPr>
          <w:rFonts w:ascii="Calibri" w:cs="Nirmala UI" w:eastAsia="Calibri"/>
          <w:b/>
          <w:bCs/>
          <w:color w:val="0B1C2C"/>
          <w:sz w:val="28"/>
          <w:szCs w:val="28"/>
        </w:rPr>
        <w:t xml:space="preserve">Metrics Standards</w:t>
      </w:r>
      <w:bookmarkEnd w:id="100047"/>
    </w:p>
    <w:p>
      <w:pPr>
        <w:spacing w:after="160" w:before="0" w:line="312"/>
        <w:jc w:val="both"/>
      </w:pPr>
      <w:r>
        <w:rPr>
          <w:rFonts w:ascii="Calibri" w:cs="Nirmala UI" w:eastAsia="Calibri"/>
          <w:color w:val="000000"/>
          <w:sz w:val="24"/>
          <w:szCs w:val="24"/>
        </w:rPr>
        <w:t xml:space="preserve">PreOne captures four categories of metrics. RED metrics (Rate, Errors, Duration) cover every API endpoint. USE metrics (Utilization, Saturation, Errors) cover every infrastructure resource. Business metrics (admissions today, fee collection, attendance rate) cover operational health. Custom metrics (AI tokens consumed, webhook deliveries) cover system-specific behaviors. All metrics are sent to Datadog with 15-second granularity and retained for 13 months.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Category</w:t>
            </w:r>
          </w:p>
        </w:tc>
        <w:tc>
          <w:tcPr>
            <w:tcW w:type="pct" w:w="7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Metrics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 metrics (per endpoint)</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Rate (requests/sec), Errors (error rate %), Duration (p50, p95, p99 latency)</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 metrics (per resource)</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Utilization (CPU, memory, disk, DB connection pool), Saturation (queue depth, retry count), Errors (failed operations)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metrics</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today, fee collection today, attendance rate, active users, notification delivery rate</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metrics</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 tokens consumed, webhook deliveries, background job throughput, cache hit rate</w:t>
            </w:r>
          </w:p>
        </w:tc>
      </w:tr>
    </w:tbl>
    <w:p>
      <w:pPr>
        <w:pStyle w:val="Heading2"/>
        <w:spacing w:after="160" w:before="280" w:line="312"/>
      </w:pPr>
      <w:bookmarkStart w:id="100048" w:name="_Toc100048"/>
      <w:r>
        <w:rPr>
          <w:rFonts w:ascii="Calibri" w:cs="Nirmala UI" w:eastAsia="Calibri"/>
          <w:b/>
          <w:bCs/>
          <w:color w:val="0B1C2C"/>
          <w:sz w:val="28"/>
          <w:szCs w:val="28"/>
        </w:rPr>
        <w:t xml:space="preserve">Distributed Tracing</w:t>
      </w:r>
      <w:bookmarkEnd w:id="100048"/>
    </w:p>
    <w:p>
      <w:pPr>
        <w:spacing w:after="160" w:before="0" w:line="312"/>
        <w:jc w:val="both"/>
      </w:pPr>
      <w:r>
        <w:rPr>
          <w:rFonts w:ascii="Calibri" w:cs="Nirmala UI" w:eastAsia="Calibri"/>
          <w:color w:val="000000"/>
          <w:sz w:val="24"/>
          <w:szCs w:val="24"/>
        </w:rPr>
        <w:t xml:space="preserve">OpenTelemetry is mandatory for distributed tracing. Every HTTP request, every DB query, every external API call, and every message publish/consume is wrapped in a span. Spans carry attributes (tenant_id, user_id, entity_type, entity_id, operation) enabling trace filtering by tenant or user. Sampling is 100% for errors and slow requests, 10% for normal requests in production (100% in dev/staging). Traces are exported to Jaeger via OTLP and retained for 7 days.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7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OpenTelemetry mandatory</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HTTP request, every DB query, every external API call, every message publish/consume wrapped in span. Propagated via W3C Trace Context headers.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Span attributes</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Spans carry: tenant_id, user_id, entity_type, entity_id, operation. Allows filtering traces by tenant or user.</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Sampling</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sampling for errors and slow requests (&gt;1s). 10% sampling for normal requests in prod. 100% in dev/staging.</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Trace export</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Traces exported to Jaeger via OTLP. Retained 7 days. Long-term analytics to ClickHouse.</w:t>
            </w:r>
          </w:p>
        </w:tc>
      </w:tr>
    </w:tbl>
    <w:p>
      <w:pPr>
        <w:pStyle w:val="Heading2"/>
        <w:spacing w:after="160" w:before="280" w:line="312"/>
      </w:pPr>
      <w:bookmarkStart w:id="100049" w:name="_Toc100049"/>
      <w:r>
        <w:rPr>
          <w:rFonts w:ascii="Calibri" w:cs="Nirmala UI" w:eastAsia="Calibri"/>
          <w:b/>
          <w:bCs/>
          <w:color w:val="0B1C2C"/>
          <w:sz w:val="28"/>
          <w:szCs w:val="28"/>
        </w:rPr>
        <w:t xml:space="preserve">Dashboards</w:t>
      </w:r>
      <w:bookmarkEnd w:id="100049"/>
    </w:p>
    <w:p>
      <w:pPr>
        <w:spacing w:after="160" w:before="0" w:line="312"/>
        <w:jc w:val="both"/>
      </w:pPr>
      <w:r>
        <w:rPr>
          <w:rFonts w:ascii="Calibri" w:cs="Nirmala UI" w:eastAsia="Calibri"/>
          <w:color w:val="000000"/>
          <w:sz w:val="24"/>
          <w:szCs w:val="24"/>
        </w:rPr>
        <w:t xml:space="preserve">PreOne maintains five operational dashboards. API Health covers request rate, error rate, latency, and status code distribution. Database Health covers connection pool, slow queries, replication lag, and disk usage. Business Operations covers admissions, fee collection, attendance, and pending approvals. Security covers failed logins, permission denials, PII access anomalies, and audit log volume. Infrastructure covers CPU, memory, disk, and pod health. Dashboards are owned by the on-call team and reviewed quarterly.</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Dashboard</w:t>
            </w:r>
          </w:p>
        </w:tc>
        <w:tc>
          <w:tcPr>
            <w:tcW w:type="pct" w:w="5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Panels</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Audience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Health</w:t>
            </w:r>
          </w:p>
        </w:tc>
        <w:tc>
          <w:tcPr>
            <w:tcW w:type="pct" w:w="5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 rate, error rate, p95 latency, status code distribution, top slow endpoints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On-call, Engineering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Health</w:t>
            </w:r>
          </w:p>
        </w:tc>
        <w:tc>
          <w:tcPr>
            <w:tcW w:type="pct" w:w="5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Connection pool usage, slow queries, replication lag, disk usage, cache hit rate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On-call, DBA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Operations</w:t>
            </w:r>
          </w:p>
        </w:tc>
        <w:tc>
          <w:tcPr>
            <w:tcW w:type="pct" w:w="5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today, fee collection, attendance rate, active branches, pending approvals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Operations, Product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w:t>
            </w:r>
          </w:p>
        </w:tc>
        <w:tc>
          <w:tcPr>
            <w:tcW w:type="pct" w:w="5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Failed logins, permission denials, suspicious IP, PII access anomalies, audit log volume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team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w:t>
            </w:r>
          </w:p>
        </w:tc>
        <w:tc>
          <w:tcPr>
            <w:tcW w:type="pct" w:w="5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CPU, memory, disk, network per service. Pod restarts, OOM kills, node health</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DevOps, On-call</w:t>
            </w:r>
          </w:p>
        </w:tc>
      </w:tr>
    </w:tbl>
    <w:p>
      <w:pPr>
        <w:pStyle w:val="Heading2"/>
        <w:spacing w:after="160" w:before="280" w:line="312"/>
      </w:pPr>
      <w:bookmarkStart w:id="100050" w:name="_Toc100050"/>
      <w:r>
        <w:rPr>
          <w:rFonts w:ascii="Calibri" w:cs="Nirmala UI" w:eastAsia="Calibri"/>
          <w:b/>
          <w:bCs/>
          <w:color w:val="0B1C2C"/>
          <w:sz w:val="28"/>
          <w:szCs w:val="28"/>
        </w:rPr>
        <w:t xml:space="preserve">Alerting Standards</w:t>
      </w:r>
      <w:bookmarkEnd w:id="100050"/>
    </w:p>
    <w:p>
      <w:pPr>
        <w:spacing w:after="160" w:before="0" w:line="312"/>
        <w:jc w:val="both"/>
      </w:pPr>
      <w:r>
        <w:rPr>
          <w:rFonts w:ascii="Calibri" w:cs="Nirmala UI" w:eastAsia="Calibri"/>
          <w:color w:val="000000"/>
          <w:sz w:val="24"/>
          <w:szCs w:val="24"/>
        </w:rPr>
        <w:t xml:space="preserve">Alerts are the bridge between observability and action. PreOne uses four alert severities with explicit SLAs for notification and response. P1 (Critical) pages on-call within 5 minutes for service down, DB unreachable, error rate &gt; 5%. P2 (High) notifies on-call within 30 minutes for latency spikes, queue depth, cache degradation. P3 (Medium) emails within 4 hours for slow queries, disk growth, cert expiry. P4 (Low) sends a daily digest for trends and deprecation warnings.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Severity</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SLA</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(P1)</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Page on-call within 5 minutes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 down, DB unreachable, error rate &gt; 5%, payment gateway down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High (P2)</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Notify on-call within 30 minutes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p95 latency &gt; 500ms for 5 min, queue depth &gt; 1000, cache hit rate &lt; 80%</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Medium (P3)</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 engineering within 4 hours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Slow query &gt; 5s, disk usage &gt; 80%, certificate expiring in 7 days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Low (P4)</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digest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Deprecation warnings, info-level anomalies, capacity trend alerts</w:t>
            </w:r>
          </w:p>
        </w:tc>
      </w:tr>
    </w:tbl>
    <w:p>
      <w:r>
        <w:br w:type="page"/>
      </w:r>
    </w:p>
    <w:p>
      <w:pPr>
        <w:pStyle w:val="Heading1"/>
        <w:spacing w:after="200" w:before="360" w:line="312"/>
      </w:pPr>
      <w:bookmarkStart w:id="100051" w:name="_Toc100051"/>
      <w:r>
        <w:rPr>
          <w:rFonts w:ascii="Calibri" w:cs="Nirmala UI" w:eastAsia="Calibri"/>
          <w:b/>
          <w:bCs/>
          <w:color w:val="0B1C2C"/>
          <w:sz w:val="32"/>
          <w:szCs w:val="32"/>
        </w:rPr>
        <w:t xml:space="preserve">ENG-006: Testing &amp; QA Standards</w:t>
      </w:r>
      <w:bookmarkEnd w:id="100051"/>
    </w:p>
    <w:p>
      <w:pPr>
        <w:spacing w:after="160" w:before="0" w:line="312"/>
        <w:jc w:val="both"/>
      </w:pPr>
      <w:r>
        <w:rPr>
          <w:rFonts w:ascii="Calibri" w:cs="Nirmala UI" w:eastAsia="Calibri"/>
          <w:color w:val="000000"/>
          <w:sz w:val="24"/>
          <w:szCs w:val="24"/>
        </w:rPr>
        <w:t xml:space="preserve">Define the testing pyramid, coverage gates, and quality bar that every PreOne feature must meet before merge. Tests are not optional, not 'nice to have', not 'we'll add later' — they are the contract that lets us ship 50 times a day without breaking 50 things. Code without tests does not merge, period.</w:t>
      </w:r>
    </w:p>
    <w:p>
      <w:pPr>
        <w:pStyle w:val="Heading2"/>
        <w:spacing w:after="160" w:before="280" w:line="312"/>
      </w:pPr>
      <w:bookmarkStart w:id="100052" w:name="_Toc100052"/>
      <w:r>
        <w:rPr>
          <w:rFonts w:ascii="Calibri" w:cs="Nirmala UI" w:eastAsia="Calibri"/>
          <w:b/>
          <w:bCs/>
          <w:color w:val="0B1C2C"/>
          <w:sz w:val="28"/>
          <w:szCs w:val="28"/>
        </w:rPr>
        <w:t xml:space="preserve">Coverage Standards</w:t>
      </w:r>
      <w:bookmarkEnd w:id="100052"/>
    </w:p>
    <w:p>
      <w:pPr>
        <w:spacing w:after="160" w:before="0" w:line="312"/>
        <w:jc w:val="both"/>
      </w:pPr>
      <w:r>
        <w:rPr>
          <w:rFonts w:ascii="Calibri" w:cs="Nirmala UI" w:eastAsia="Calibri"/>
          <w:color w:val="000000"/>
          <w:sz w:val="24"/>
          <w:szCs w:val="24"/>
        </w:rPr>
        <w:t xml:space="preserve">Coverage is a leading indicator of quality — not a guarantee, but a floor. PreOne enforces coverage thresholds per module type. The overall minimum is 90% lines / 85% branches. Critical modules (auth, payments, admissions, attendance) require 100% lines / 95% branches. The domain layer (aggregates, entities, value objects) requires 100% lines / 100% branches — it is pure logic with no excuse for missing tests. Coverage is measured by SonarQube on new code (per-PR delta) and blocks merge below threshold.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Threshold</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Enforcement</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Minimum overall</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90% lines, 85% branches</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 quality gate blocks merge below threshold</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modules (auth, payments, admissions, attendance)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lines, 95% branches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Per-module override in sonar-project.properties</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layer (aggregates, entities, value objects)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lines, 100% branches</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Pure logic — no excuse for missing test</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Controllers and repositories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85% lines, 80% branches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tests cover happy path + 2 error paths</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Frontend components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80% lines, 70% branches</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Storybook + Jest + React Testing Library</w:t>
            </w:r>
          </w:p>
        </w:tc>
      </w:tr>
    </w:tbl>
    <w:p>
      <w:pPr>
        <w:pStyle w:val="Heading2"/>
        <w:spacing w:after="160" w:before="280" w:line="312"/>
      </w:pPr>
      <w:bookmarkStart w:id="100053" w:name="_Toc100053"/>
      <w:r>
        <w:rPr>
          <w:rFonts w:ascii="Calibri" w:cs="Nirmala UI" w:eastAsia="Calibri"/>
          <w:b/>
          <w:bCs/>
          <w:color w:val="0B1C2C"/>
          <w:sz w:val="28"/>
          <w:szCs w:val="28"/>
        </w:rPr>
        <w:t xml:space="preserve">Test Pyramid</w:t>
      </w:r>
      <w:bookmarkEnd w:id="100053"/>
    </w:p>
    <w:p>
      <w:pPr>
        <w:spacing w:after="160" w:before="0" w:line="312"/>
        <w:jc w:val="both"/>
      </w:pPr>
      <w:r>
        <w:rPr>
          <w:rFonts w:ascii="Calibri" w:cs="Nirmala UI" w:eastAsia="Calibri"/>
          <w:color w:val="000000"/>
          <w:sz w:val="24"/>
          <w:szCs w:val="24"/>
        </w:rPr>
        <w:t xml:space="preserve">PreOne follows the classic test pyramid: many fast unit tests at the base, fewer integration tests in the middle, very few end-to-end tests at the top. The ratio is approximately 70/20/7/3 (unit/integration/API/E2E). Unit tests run in &lt; 10ms each and execute on every commit. Integration tests (with real Postgres via testcontainers) run in &lt; 500ms each. API tests run in &lt; 2s each. E2E tests run nightly, not on every PR.</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Level</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Proportion</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1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 Tests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70% of all tests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Pure functions, value objects, entities, mappers, validators. Fast (&lt;10ms each). No I/O, no DB, no network.</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Jest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Tests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 of all tests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 + repository + real Postgres (testcontainers). Verifies wiring, transactions, migrations. Slow (&lt;500ms each).</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Jest + testcontainers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Tests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 of all tests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End-to-end HTTP via supertest. Verifies auth, validation, response shape, error codes. Slower (&lt;2s each).</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Jest + supertest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E2E Tests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 of all tests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 user journey via Playwright (web) / Detox (mobile). Slowest (&lt;30s each). Run nightly, not on every PR.</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Playwright, Detox</w:t>
            </w:r>
          </w:p>
        </w:tc>
      </w:tr>
    </w:tbl>
    <w:p>
      <w:pPr>
        <w:pStyle w:val="Heading2"/>
        <w:spacing w:after="160" w:before="280" w:line="312"/>
      </w:pPr>
      <w:bookmarkStart w:id="100054" w:name="_Toc100054"/>
      <w:r>
        <w:rPr>
          <w:rFonts w:ascii="Calibri" w:cs="Nirmala UI" w:eastAsia="Calibri"/>
          <w:b/>
          <w:bCs/>
          <w:color w:val="0B1C2C"/>
          <w:sz w:val="28"/>
          <w:szCs w:val="28"/>
        </w:rPr>
        <w:t xml:space="preserve">Mandatory Test Types</w:t>
      </w:r>
      <w:bookmarkEnd w:id="100054"/>
    </w:p>
    <w:p>
      <w:pPr>
        <w:spacing w:after="160" w:before="0" w:line="312"/>
        <w:jc w:val="both"/>
      </w:pPr>
      <w:r>
        <w:rPr>
          <w:rFonts w:ascii="Calibri" w:cs="Nirmala UI" w:eastAsia="Calibri"/>
          <w:color w:val="000000"/>
          <w:sz w:val="24"/>
          <w:szCs w:val="24"/>
        </w:rPr>
        <w:t xml:space="preserve">Every PR must include the test types applicable to its changes. A new endpoint requires unit tests (service logic), integration tests (service + repository + DB), repository tests (custom queries), security tests (auth, authz, isolation), and API tests (happy path + 2 error paths). A new aggregate method requires unit tests only. Performance tests are required before release for endpoints expected to handle &gt; 100 RPS. Contract tests are required when the API contract changes.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Test Type</w:t>
            </w:r>
          </w:p>
        </w:tc>
        <w:tc>
          <w:tcPr>
            <w:tcW w:type="pct" w:w="5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What</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When</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 Test</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public method on domain entities, value objects, and pure services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Same PR as the code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Test</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application service method that touches the database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Same PR as the code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Repository Test</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custom repository method (findXyz, custom queries)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Same PR as the code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Test</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 authz, multi-tenant isolation, input validation for every endpoint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Same PR as the endpoint</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Test</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Happy path + at least 2 error paths (validation, auth) per endpoint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Same PR as the endpoint</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Test</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Load test for endpoints expected to handle &gt; 100 RPS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Before release to staging</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Contract Test</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Pact tests for every consumer-provider pair (e.g., web ↔ api, mobile ↔ api)</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When contract changes</w:t>
            </w:r>
          </w:p>
        </w:tc>
      </w:tr>
    </w:tbl>
    <w:p>
      <w:pPr>
        <w:pStyle w:val="Heading2"/>
        <w:spacing w:after="160" w:before="280" w:line="312"/>
      </w:pPr>
      <w:bookmarkStart w:id="100055" w:name="_Toc100055"/>
      <w:r>
        <w:rPr>
          <w:rFonts w:ascii="Calibri" w:cs="Nirmala UI" w:eastAsia="Calibri"/>
          <w:b/>
          <w:bCs/>
          <w:color w:val="0B1C2C"/>
          <w:sz w:val="28"/>
          <w:szCs w:val="28"/>
        </w:rPr>
        <w:t xml:space="preserve">Forbidden Testing Practices</w:t>
      </w:r>
      <w:bookmarkEnd w:id="100055"/>
    </w:p>
    <w:p>
      <w:pPr>
        <w:spacing w:after="160" w:before="0" w:line="312"/>
        <w:jc w:val="both"/>
      </w:pPr>
      <w:r>
        <w:rPr>
          <w:rFonts w:ascii="Calibri" w:cs="Nirmala UI" w:eastAsia="Calibri"/>
          <w:color w:val="000000"/>
          <w:sz w:val="24"/>
          <w:szCs w:val="24"/>
        </w:rPr>
        <w:t xml:space="preserve">The following testing practices are forbidden. Their presence in a PR is a blocking review finding. The goal of tests is to verify behavior and catch regressions — not to hit a coverage number. Tests that test implementation details, mock the system under test, share mutable state, depend on real time, or hit real external services provide false confidence and are worse than no tests.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Merging without tests — no exceptions, no 'I'll add tests in a follow-up PR'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Merging with skipped tests (`it.skip`, `xdescribe`) without an issue link and 7-day SLA</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Testing implementation details instead of behavior (e.g., asserting a private method was called)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Mocking the system under test — mock dependencies, not the thing you're testing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Shared mutable state between tests — each test must be independent and order-independent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Time-dependent tests without injected clock — use `jest.useFakeTimers()` or inject DateProvider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Tests that hit real external services — mock at the boundary, use wiremock or msw</w:t>
      </w:r>
    </w:p>
    <w:p>
      <w:pPr>
        <w:pStyle w:val="Heading2"/>
        <w:spacing w:after="160" w:before="280" w:line="312"/>
      </w:pPr>
      <w:bookmarkStart w:id="100056" w:name="_Toc100056"/>
      <w:r>
        <w:rPr>
          <w:rFonts w:ascii="Calibri" w:cs="Nirmala UI" w:eastAsia="Calibri"/>
          <w:b/>
          <w:bCs/>
          <w:color w:val="0B1C2C"/>
          <w:sz w:val="28"/>
          <w:szCs w:val="28"/>
        </w:rPr>
        <w:t xml:space="preserve">Mocking Strategy</w:t>
      </w:r>
      <w:bookmarkEnd w:id="100056"/>
    </w:p>
    <w:p>
      <w:pPr>
        <w:spacing w:after="160" w:before="0" w:line="312"/>
        <w:jc w:val="both"/>
      </w:pPr>
      <w:r>
        <w:rPr>
          <w:rFonts w:ascii="Calibri" w:cs="Nirmala UI" w:eastAsia="Calibri"/>
          <w:color w:val="000000"/>
          <w:sz w:val="24"/>
          <w:szCs w:val="24"/>
        </w:rPr>
        <w:t xml:space="preserve">Mocking is a precision tool — mock too little and tests are slow and flaky; mock too much and tests verify the mocks instead of the system. PreOne's strategy is to mock at boundaries: mock repository interfaces when testing application services; mock external gateway interfaces (IPaymentGateway) when testing integrations; use real domain objects (never mock value objects or entities); use real Postgres via testcontainers when testing repositories.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7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Strategy</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mocks — domain is pure. Test with real objects.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Service</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Mock repository interfaces (IStudentRepository). Real domain objects. Real value objects.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Repository</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 Postgres via testcontainers. No mocking. Verifies SQL, transactions, migrations.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Controller</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Mock application service. Real DTOs, validators, auth guards. Verifies HTTP layer.</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External APIs (Payment, WhatsApp)</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Mock at the gateway interface (IPaymentGateway). Never hit real provider in tests. Wiremock for contract tests.</w:t>
            </w:r>
          </w:p>
        </w:tc>
      </w:tr>
    </w:tbl>
    <w:p>
      <w:pPr>
        <w:pStyle w:val="Heading2"/>
        <w:spacing w:after="160" w:before="280" w:line="312"/>
      </w:pPr>
      <w:bookmarkStart w:id="100057" w:name="_Toc100057"/>
      <w:r>
        <w:rPr>
          <w:rFonts w:ascii="Calibri" w:cs="Nirmala UI" w:eastAsia="Calibri"/>
          <w:b/>
          <w:bCs/>
          <w:color w:val="0B1C2C"/>
          <w:sz w:val="28"/>
          <w:szCs w:val="28"/>
        </w:rPr>
        <w:t xml:space="preserve">Test Naming Conventions</w:t>
      </w:r>
      <w:bookmarkEnd w:id="100057"/>
    </w:p>
    <w:p>
      <w:pPr>
        <w:spacing w:after="160" w:before="0" w:line="312"/>
        <w:jc w:val="both"/>
      </w:pPr>
      <w:r>
        <w:rPr>
          <w:rFonts w:ascii="Calibri" w:cs="Nirmala UI" w:eastAsia="Calibri"/>
          <w:color w:val="000000"/>
          <w:sz w:val="24"/>
          <w:szCs w:val="24"/>
        </w:rPr>
        <w:t xml:space="preserve">Test names describe behavior, not implementation. A reader should be able to understand what a test verifies from its name alone — without reading the test body. The 'should X when Y' pattern is preferred. The 'Given X, When Y, Then Z' pattern is acceptable for complex scenarios. Names like 'test1', 'test_function', or 'shouldWork' are forbidden — they describe nothing.</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Pattern</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should &lt;expected behavior&gt; when &lt;condition&gt;</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should promote student when academic year boundary reached</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Given &lt;state&gt;, When &lt;action&gt;, Then &lt;result&gt;</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Given student is enrolled, When promotion triggered, Then student advances to next grade</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[Please fill in]</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[Please fill in]</w:t>
            </w:r>
          </w:p>
        </w:tc>
      </w:tr>
    </w:tbl>
    <w:p>
      <w:pPr>
        <w:pStyle w:val="Heading2"/>
        <w:spacing w:after="160" w:before="280" w:line="312"/>
      </w:pPr>
      <w:bookmarkStart w:id="100058" w:name="_Toc100058"/>
      <w:r>
        <w:rPr>
          <w:rFonts w:ascii="Calibri" w:cs="Nirmala UI" w:eastAsia="Calibri"/>
          <w:b/>
          <w:bCs/>
          <w:color w:val="0B1C2C"/>
          <w:sz w:val="28"/>
          <w:szCs w:val="28"/>
        </w:rPr>
        <w:t xml:space="preserve">QA Gates</w:t>
      </w:r>
      <w:bookmarkEnd w:id="100058"/>
    </w:p>
    <w:p>
      <w:pPr>
        <w:spacing w:after="160" w:before="0" w:line="312"/>
        <w:jc w:val="both"/>
      </w:pPr>
      <w:r>
        <w:rPr>
          <w:rFonts w:ascii="Calibri" w:cs="Nirmala UI" w:eastAsia="Calibri"/>
          <w:color w:val="000000"/>
          <w:sz w:val="24"/>
          <w:szCs w:val="24"/>
        </w:rPr>
        <w:t xml:space="preserve">Quality is enforced at four gates: pre-merge (unit + integration tests, coverage, lint, security scan), staging deploy (E2E suite, performance baseline, smoke tests, security scan), production deploy (canary with auto-rollback, smoke tests, on-call acknowledgement), and post-deploy (synthetic monitoring, business metrics, 30-minute watch window). Each gate has an explicit owner; gates do not advance without owner sign-off.</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Gate</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Checks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Owner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Pre-merge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 + integration tests pass, coverage thresholds met, linter clean, security scan clean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 author + 2 reviewers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Staging deploy</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E2E suite passes, performance baseline met, smoke tests pass, security scan clean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QA engineer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 deploy</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Canary deploy with auto-rollback on error rate &gt; 1%, smoke tests pass, on-call acknowledged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Release manager + on-call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Post-deploy</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Synthetic monitoring passes, business metrics within baseline, no critical alerts for 30 min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On-call</w:t>
            </w:r>
          </w:p>
        </w:tc>
      </w:tr>
    </w:tbl>
    <w:p>
      <w:r>
        <w:br w:type="page"/>
      </w:r>
    </w:p>
    <w:p>
      <w:pPr>
        <w:pStyle w:val="Heading1"/>
        <w:spacing w:after="200" w:before="360" w:line="312"/>
      </w:pPr>
      <w:bookmarkStart w:id="100059" w:name="_Toc100059"/>
      <w:r>
        <w:rPr>
          <w:rFonts w:ascii="Calibri" w:cs="Nirmala UI" w:eastAsia="Calibri"/>
          <w:b/>
          <w:bCs/>
          <w:color w:val="0B1C2C"/>
          <w:sz w:val="32"/>
          <w:szCs w:val="32"/>
        </w:rPr>
        <w:t xml:space="preserve">ENG-007: Code Review &amp; Git Standards</w:t>
      </w:r>
      <w:bookmarkEnd w:id="100059"/>
    </w:p>
    <w:p>
      <w:pPr>
        <w:spacing w:after="160" w:before="0" w:line="312"/>
        <w:jc w:val="both"/>
      </w:pPr>
      <w:r>
        <w:rPr>
          <w:rFonts w:ascii="Calibri" w:cs="Nirmala UI" w:eastAsia="Calibri"/>
          <w:color w:val="000000"/>
          <w:sz w:val="24"/>
          <w:szCs w:val="24"/>
        </w:rPr>
        <w:t xml:space="preserve">Define how PreOne engineers collaborate via Git, structure their commits, and review each other's code. Code review is not gatekeeping — it is knowledge sharing, defect prevention, and architectural stewardship. Every PR is a conversation; every merge is a collective decision; every commit is a recoverable history.</w:t>
      </w:r>
    </w:p>
    <w:p>
      <w:pPr>
        <w:pStyle w:val="Heading2"/>
        <w:spacing w:after="160" w:before="280" w:line="312"/>
      </w:pPr>
      <w:bookmarkStart w:id="100060" w:name="_Toc100060"/>
      <w:r>
        <w:rPr>
          <w:rFonts w:ascii="Calibri" w:cs="Nirmala UI" w:eastAsia="Calibri"/>
          <w:b/>
          <w:bCs/>
          <w:color w:val="0B1C2C"/>
          <w:sz w:val="28"/>
          <w:szCs w:val="28"/>
        </w:rPr>
        <w:t xml:space="preserve">Branch Model</w:t>
      </w:r>
      <w:bookmarkEnd w:id="100060"/>
    </w:p>
    <w:p>
      <w:pPr>
        <w:spacing w:after="160" w:before="0" w:line="312"/>
        <w:jc w:val="both"/>
      </w:pPr>
      <w:r>
        <w:rPr>
          <w:rFonts w:ascii="Calibri" w:cs="Nirmala UI" w:eastAsia="Calibri"/>
          <w:color w:val="000000"/>
          <w:sz w:val="24"/>
          <w:szCs w:val="24"/>
        </w:rPr>
        <w:t xml:space="preserve">PreOne follows a Git Flow variant with six branch types. main is production-ready, always deployable, protected (no direct push). develop is the integration branch for the next release. Feature branches (feature/ENG-1234-slug) are branched from develop and merged back via PR. Bugfix branches follow the same pattern. Hotfix branches are branched from main and merged to both main AND develop, triggering an immediate release. Release branches prepare a specific version for deployment.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Branch</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Access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main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Production-ready code. Always deployable. Protected — no direct push, only via PR merge. Tagged with semantic version on release.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Merge via PR only, 2 approvers required</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develop</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branch for next release. All feature branches merge here first. Auto-deployed to staging.</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Merge via PR, 1 approver required</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feature/&lt;jira-id&gt;-&lt;slug&gt;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 feature development. Branched from develop. Merged back to develop via PR.</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feature/ENG-1234-fee-refund-flow</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bugfix/&lt;jira-id&gt;-&lt;slug&gt;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Bug fix on develop. Branched from develop, merged to develop.</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bugfix/ENG-5678-invoice-pdf-typo</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hotfix/&lt;jira-id&gt;-&lt;slug&gt;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fix on production. Branched from main, merged to both main AND develop. Triggers immediate release.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hotfix/ENG-9012-payment-gateway-timeout</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release/&lt;version&gt;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Release preparation. Branched from develop, only bug fixes allowed. Merged to main and tagged.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release/2.4.0</w:t>
            </w:r>
          </w:p>
        </w:tc>
      </w:tr>
    </w:tbl>
    <w:p>
      <w:pPr>
        <w:pStyle w:val="Heading2"/>
        <w:spacing w:after="160" w:before="280" w:line="312"/>
      </w:pPr>
      <w:bookmarkStart w:id="100061" w:name="_Toc100061"/>
      <w:r>
        <w:rPr>
          <w:rFonts w:ascii="Calibri" w:cs="Nirmala UI" w:eastAsia="Calibri"/>
          <w:b/>
          <w:bCs/>
          <w:color w:val="0B1C2C"/>
          <w:sz w:val="28"/>
          <w:szCs w:val="28"/>
        </w:rPr>
        <w:t xml:space="preserve">Commit Convention</w:t>
      </w:r>
      <w:bookmarkEnd w:id="100061"/>
    </w:p>
    <w:p>
      <w:pPr>
        <w:spacing w:after="160" w:before="0" w:line="312"/>
        <w:jc w:val="both"/>
      </w:pPr>
      <w:r>
        <w:rPr>
          <w:rFonts w:ascii="Calibri" w:cs="Nirmala UI" w:eastAsia="Calibri"/>
          <w:color w:val="000000"/>
          <w:sz w:val="24"/>
          <w:szCs w:val="24"/>
        </w:rPr>
        <w:t xml:space="preserve">PreOne uses Conventional Commits. Every commit message starts with a type (feat, fix, refactor, perf, docs, test, chore, ci, build), followed by an optional scope in parentheses, followed by a description. The subject line is max 50 chars, imperative mood ('add' not 'added'). The body (optional) explains why, wrapped at 72 chars. The footer (optional) references issues ('Closes ENG-1234'). This convention enables automated changelog generation and semantic versioning.</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feat:</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 feature for the user (not build/script feature)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feat(admissions): add document upload to application form</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fix:</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Bug fix for the user (not build/script fix)</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fix(finance): correct GST calculation on round-off invoices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refactor:</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change that neither fixes a bug nor adds a feature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refactor(student): extract age calculation to value object</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 change that improves performance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perf(reports): add covering index for daily attendance query</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docs:</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Documentation only changes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docs(api): add examples for v2 fee calculation endpoint</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test:</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Adding missing tests or correcting existing tests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test(auth): cover refresh token rotation edge cases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chore: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Build process, dependencies, tooling — no production code change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chore(deps): bump prisma from 5.1.0 to 5.2.0</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CI/CD pipeline changes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 add Snyk scan to build stage</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build:</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Build system or external dependencies changes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build: upgrade Node.js from 20 to 22 in Dockerfile</w:t>
            </w:r>
          </w:p>
        </w:tc>
      </w:tr>
    </w:tbl>
    <w:p>
      <w:pPr>
        <w:pStyle w:val="Heading2"/>
        <w:spacing w:after="160" w:before="280" w:line="312"/>
      </w:pPr>
      <w:bookmarkStart w:id="100062" w:name="_Toc100062"/>
      <w:r>
        <w:rPr>
          <w:rFonts w:ascii="Calibri" w:cs="Nirmala UI" w:eastAsia="Calibri"/>
          <w:b/>
          <w:bCs/>
          <w:color w:val="0B1C2C"/>
          <w:sz w:val="28"/>
          <w:szCs w:val="28"/>
        </w:rPr>
        <w:t xml:space="preserve">Commit Rules</w:t>
      </w:r>
      <w:bookmarkEnd w:id="100062"/>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Conventional Commits format — type(scope): description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Subject line max 50 chars, imperative mood ('add' not 'added')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Body wrapped at 72 chars, explains why (not what — diff shows what)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One logical change per commit — if you wrote 'and also', split it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Never commit secrets, even for testing — use test fixtures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Never commit commented-out code — delete it, Git remembers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Never commit generated files (dist/, node_modules/, .next/) — .gitignore handles it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Sign commits with GPG or SSH key — required for main branch</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Reference issue in footer: 'Refs ENG-1234' or 'Closes ENG-1234'</w:t>
      </w:r>
    </w:p>
    <w:p>
      <w:pPr>
        <w:pStyle w:val="Heading2"/>
        <w:spacing w:after="160" w:before="280" w:line="312"/>
      </w:pPr>
      <w:bookmarkStart w:id="100063" w:name="_Toc100063"/>
      <w:r>
        <w:rPr>
          <w:rFonts w:ascii="Calibri" w:cs="Nirmala UI" w:eastAsia="Calibri"/>
          <w:b/>
          <w:bCs/>
          <w:color w:val="0B1C2C"/>
          <w:sz w:val="28"/>
          <w:szCs w:val="28"/>
        </w:rPr>
        <w:t xml:space="preserve">Pull Request Standards</w:t>
      </w:r>
      <w:bookmarkEnd w:id="100063"/>
    </w:p>
    <w:p>
      <w:pPr>
        <w:spacing w:after="160" w:before="0" w:line="312"/>
        <w:jc w:val="both"/>
      </w:pPr>
      <w:r>
        <w:rPr>
          <w:rFonts w:ascii="Calibri" w:cs="Nirmala UI" w:eastAsia="Calibri"/>
          <w:color w:val="000000"/>
          <w:sz w:val="24"/>
          <w:szCs w:val="24"/>
        </w:rPr>
        <w:t xml:space="preserve">Every code change — including hotfixes — goes through a pull request. Direct pushes to main and develop are forbidden (branch protection enforced). PRs require a description (what, why, how to test, rollback plan), a linked Jira issue, and CI passing. PRs are squash-merged to keep history clean — one commit per PR, preserving the conventional-commit message. Source branches are auto-deleted after merge.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Minimum 2 reviewers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reviewer for trivial PRs (typo, doc-only). 2 reviewers for code changes. 1 must be a domain expert if PR touches finance, auth, or PII.</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 description mandatory</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 changed, why, how to test, screenshots for UI, migration notes, rollback plan. PR template enforces structure.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Small PRs preferred</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 500 LOC without justification. Reviewers can reject large PRs and request split. 'It was hard to write, it should be hard to review' is not a defense.</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Linked issue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PR links to its Jira issue. No 'drive-by' fixes — create an issue first.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 must pass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CI checks green before merge. Failed CI = blocked merge button. Re-run only after fix, never 'override'.</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Squash and merge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 branches squash-merged into develop/main. Single clean commit per PR. Preserves conventional-commit message.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Delete branch after merge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Auto-delete source branch. Stale branches pruned weekly.</w:t>
            </w:r>
          </w:p>
        </w:tc>
      </w:tr>
    </w:tbl>
    <w:p>
      <w:pPr>
        <w:pStyle w:val="Heading2"/>
        <w:spacing w:after="160" w:before="280" w:line="312"/>
      </w:pPr>
      <w:bookmarkStart w:id="100064" w:name="_Toc100064"/>
      <w:r>
        <w:rPr>
          <w:rFonts w:ascii="Calibri" w:cs="Nirmala UI" w:eastAsia="Calibri"/>
          <w:b/>
          <w:bCs/>
          <w:color w:val="0B1C2C"/>
          <w:sz w:val="28"/>
          <w:szCs w:val="28"/>
        </w:rPr>
        <w:t xml:space="preserve">Code Review Checklist</w:t>
      </w:r>
      <w:bookmarkEnd w:id="100064"/>
    </w:p>
    <w:p>
      <w:pPr>
        <w:spacing w:after="160" w:before="0" w:line="312"/>
        <w:jc w:val="both"/>
      </w:pPr>
      <w:r>
        <w:rPr>
          <w:rFonts w:ascii="Calibri" w:cs="Nirmala UI" w:eastAsia="Calibri"/>
          <w:color w:val="000000"/>
          <w:sz w:val="24"/>
          <w:szCs w:val="24"/>
        </w:rPr>
        <w:t xml:space="preserve">Reviewers use a ten-area checklist. The checklist is not exhaustive — it is the minimum bar. Reviewers should also apply domain expertise and judgment. The checklist appears in the PR template as a series of checkboxes; reviewers tick each box as they verify it. A PR with unchecked boxes is not ready to merge.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Area</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Checks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Naming</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Names reveal intent? No abbreviations? Consistent with codebase conventions?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 required? Authz scoped? Input validated? Output sanitized? Secrets not logged? SQL parameterized?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Tests</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Tests added? Coverage threshold met? Tests test behavior not implementation? Edge cases covered (null, empty, max)?</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N+1 queries? Pagination on lists? Indexes added for new query patterns? Cache considered for hot reads?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Logging</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Structured logging? Right level? PII not logged? Request ID propagated?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Documentation</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Public API documented? README updated? ADR referenced? Changelog updated?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Rules</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Rules in domain layer? Invariants enforced in aggregate? Cross-aggregate via events?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DDD Compliance</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Layered correctly? No business logic in controller? No domain dependency on infrastructure? Aggregate boundaries respected?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 Handling</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exceptions thrown? Global filter catches? Error responses structured? TraceId included?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Migration Safety</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Forward-only? Expand-contract for destructive? Index created concurrently? Rollback plan documented?</w:t>
            </w:r>
          </w:p>
        </w:tc>
      </w:tr>
    </w:tbl>
    <w:p>
      <w:pPr>
        <w:pStyle w:val="Heading2"/>
        <w:spacing w:after="160" w:before="280" w:line="312"/>
      </w:pPr>
      <w:bookmarkStart w:id="100065" w:name="_Toc100065"/>
      <w:r>
        <w:rPr>
          <w:rFonts w:ascii="Calibri" w:cs="Nirmala UI" w:eastAsia="Calibri"/>
          <w:b/>
          <w:bCs/>
          <w:color w:val="0B1C2C"/>
          <w:sz w:val="28"/>
          <w:szCs w:val="28"/>
        </w:rPr>
        <w:t xml:space="preserve">Reasons to Reject a PR</w:t>
      </w:r>
      <w:bookmarkEnd w:id="100065"/>
    </w:p>
    <w:p>
      <w:pPr>
        <w:spacing w:after="160" w:before="0" w:line="312"/>
        <w:jc w:val="both"/>
      </w:pPr>
      <w:r>
        <w:rPr>
          <w:rFonts w:ascii="Calibri" w:cs="Nirmala UI" w:eastAsia="Calibri"/>
          <w:color w:val="000000"/>
          <w:sz w:val="24"/>
          <w:szCs w:val="24"/>
        </w:rPr>
        <w:t xml:space="preserve">The following are blocking review findings — a reviewer must reject the PR if any of these are present. The author must fix the issue and re-request review. 'I'll fix it in a follow-up' is not acceptable for blocking findings. The list below is not exhaustive; reviewers may reject for any reason that compromises the engineering standards in ENG-001 through ENG-010.</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tests or test coverage below threshold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Hardcoded secrets, magic numbers, or string literals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Duplicate code without DRY waiver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 size &gt; 500 LOC without justification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Security risk (missing auth, SQL injection, XSS)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Missing error handling — uncaught promise, unhandled edge case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Business logic in controller or repository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Breaking API change without version bump</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Destructive DB migration without expand-contract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Commit messages don't follow Conventional Commits</w:t>
      </w:r>
    </w:p>
    <w:p>
      <w:r>
        <w:br w:type="page"/>
      </w:r>
    </w:p>
    <w:p>
      <w:pPr>
        <w:pStyle w:val="Heading1"/>
        <w:spacing w:after="200" w:before="360" w:line="312"/>
      </w:pPr>
      <w:bookmarkStart w:id="100066" w:name="_Toc100066"/>
      <w:r>
        <w:rPr>
          <w:rFonts w:ascii="Calibri" w:cs="Nirmala UI" w:eastAsia="Calibri"/>
          <w:b/>
          <w:bCs/>
          <w:color w:val="0B1C2C"/>
          <w:sz w:val="32"/>
          <w:szCs w:val="32"/>
        </w:rPr>
        <w:t xml:space="preserve">ENG-008: CI/CD &amp; DevOps Standards</w:t>
      </w:r>
      <w:bookmarkEnd w:id="100066"/>
    </w:p>
    <w:p>
      <w:pPr>
        <w:spacing w:after="160" w:before="0" w:line="312"/>
        <w:jc w:val="both"/>
      </w:pPr>
      <w:r>
        <w:rPr>
          <w:rFonts w:ascii="Calibri" w:cs="Nirmala UI" w:eastAsia="Calibri"/>
          <w:color w:val="000000"/>
          <w:sz w:val="24"/>
          <w:szCs w:val="24"/>
        </w:rPr>
        <w:t xml:space="preserve">Define the automated pipeline that takes code from commit to production safely, repeatably, and quickly. CI/CD is not a DevOps concern — it is an engineering culture. Every commit triggers build, lint, test, scan, and deploy decisions automatically. Humans approve strategy; automation executes tactics.</w:t>
      </w:r>
    </w:p>
    <w:p>
      <w:pPr>
        <w:pStyle w:val="Heading2"/>
        <w:spacing w:after="160" w:before="280" w:line="312"/>
      </w:pPr>
      <w:bookmarkStart w:id="100067" w:name="_Toc100067"/>
      <w:r>
        <w:rPr>
          <w:rFonts w:ascii="Calibri" w:cs="Nirmala UI" w:eastAsia="Calibri"/>
          <w:b/>
          <w:bCs/>
          <w:color w:val="0B1C2C"/>
          <w:sz w:val="28"/>
          <w:szCs w:val="28"/>
        </w:rPr>
        <w:t xml:space="preserve">Pipeline Stages</w:t>
      </w:r>
      <w:bookmarkEnd w:id="100067"/>
    </w:p>
    <w:p>
      <w:pPr>
        <w:spacing w:after="160" w:before="0" w:line="312"/>
        <w:jc w:val="both"/>
      </w:pPr>
      <w:r>
        <w:rPr>
          <w:rFonts w:ascii="Calibri" w:cs="Nirmala UI" w:eastAsia="Calibri"/>
          <w:color w:val="000000"/>
          <w:sz w:val="24"/>
          <w:szCs w:val="24"/>
        </w:rPr>
        <w:t xml:space="preserve">Every commit to a feature branch triggers a 10-stage CI pipeline. The pipeline runs build, lint, unit tests, integration tests, SAST, container scan, staging deploy, performance test, and canary production deploy. Total pipeline duration is 30-60 minutes (most stages parallelize). Any stage failure blocks progression. The canary stage deploys to 5% of production traffic, monitors for 10 minutes, then ramps to 25%, 50%, 100% with auto-rollback on error rate &gt; 1%.</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Stage</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Actions</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Duration</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Block On</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Build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GitHub Actions + Docker Buildx</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Install deps, compile TS, build Docker image, push to registry</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3-5 min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Compile error, build script failure</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ESLint + Prettier + TypeScript strict</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Run linter, format check, type check</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 min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Any error or warning</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 Test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Jest</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Run unit tests, compute coverage, upload to SonarQube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2-4 min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Test failure, coverage &lt; 90%</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Test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Jest + testcontainers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Spin up Postgres + Redis, run integration suite, tear down</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5-10 min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Test failure</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Scan (SAST)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 + Snyk Code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Static analysis, security hotspot review, dependency vulnerability scan</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3-5 min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vulnerability, security hotspot unresolved</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Container Scan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Trivy + Grype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Scan Docker image for OS + library CVEs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 min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CVE in production image</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Deploy to Staging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ArgoCD + Helm</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GitOps deploy to staging, run smoke tests, run E2E suite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5-8 min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Smoke test failure, E2E failure</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Test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k6</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Load test critical endpoints, compare against baseline</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5-10 min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p95 latency &gt; baseline + 10%, error rate &gt; 0.5%</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Deploy to Production (Canary)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ArgoCD + Argo Rollouts</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Deploy to 5% traffic, monitor for 10 min, ramp to 25%, 50%, 100%</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30-60 min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 rate &gt; 1%, p95 latency &gt; 500ms, manual abort</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Post-Deploy Verification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Synthetic monitoring + Datadog</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Synthetic checks every 1 min, business metric dashboard review</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Continuous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Auto-rollback if checks fail for 5 min</w:t>
            </w:r>
          </w:p>
        </w:tc>
      </w:tr>
    </w:tbl>
    <w:p>
      <w:pPr>
        <w:pStyle w:val="Heading2"/>
        <w:spacing w:after="160" w:before="280" w:line="312"/>
      </w:pPr>
      <w:bookmarkStart w:id="100068" w:name="_Toc100068"/>
      <w:r>
        <w:rPr>
          <w:rFonts w:ascii="Calibri" w:cs="Nirmala UI" w:eastAsia="Calibri"/>
          <w:b/>
          <w:bCs/>
          <w:color w:val="0B1C2C"/>
          <w:sz w:val="28"/>
          <w:szCs w:val="28"/>
        </w:rPr>
        <w:t xml:space="preserve">Deployment Blockers</w:t>
      </w:r>
      <w:bookmarkEnd w:id="100068"/>
    </w:p>
    <w:p>
      <w:pPr>
        <w:spacing w:after="160" w:before="0" w:line="312"/>
        <w:jc w:val="both"/>
      </w:pPr>
      <w:r>
        <w:rPr>
          <w:rFonts w:ascii="Calibri" w:cs="Nirmala UI" w:eastAsia="Calibri"/>
          <w:color w:val="000000"/>
          <w:sz w:val="24"/>
          <w:szCs w:val="24"/>
        </w:rPr>
        <w:t xml:space="preserve">The following conditions block deployment to production. Some are CI-enforced (build failure, test failure, security scan); others are human-enforced (manual approval denied). The list is not exhaustive — the release manager may block deployment for any reason that compromises production stability. Blocked deployments are documented in the release notes with the blocking reason and remediation plan.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Build failed — compile error, missing dependency, build script error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Unit test failed — any test failure, regardless of 'flaky' claims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Coverage below 90% — SonarQube quality gate fail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Integration test failed — service wiring broken, migration broken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Critical security issue — SAST/Snyk critical finding unresolved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Lint failed — any ESLint error or Prettier diff</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Container scan critical CVE — Trivy/Grype critical finding in image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Performance regression — p95 latency worse than baseline by &gt; 10%</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Smoke test failure on staging — basic flows broken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Manual approval denied — release manager or on-call rejects</w:t>
      </w:r>
    </w:p>
    <w:p>
      <w:pPr>
        <w:pStyle w:val="Heading2"/>
        <w:spacing w:after="160" w:before="280" w:line="312"/>
      </w:pPr>
      <w:bookmarkStart w:id="100069" w:name="_Toc100069"/>
      <w:r>
        <w:rPr>
          <w:rFonts w:ascii="Calibri" w:cs="Nirmala UI" w:eastAsia="Calibri"/>
          <w:b/>
          <w:bCs/>
          <w:color w:val="0B1C2C"/>
          <w:sz w:val="28"/>
          <w:szCs w:val="28"/>
        </w:rPr>
        <w:t xml:space="preserve">Environments</w:t>
      </w:r>
      <w:bookmarkEnd w:id="100069"/>
    </w:p>
    <w:p>
      <w:pPr>
        <w:spacing w:after="160" w:before="0" w:line="312"/>
        <w:jc w:val="both"/>
      </w:pPr>
      <w:r>
        <w:rPr>
          <w:rFonts w:ascii="Calibri" w:cs="Nirmala UI" w:eastAsia="Calibri"/>
          <w:color w:val="000000"/>
          <w:sz w:val="24"/>
          <w:szCs w:val="24"/>
        </w:rPr>
        <w:t xml:space="preserve">PreOne maintains four environments. Local (developer laptop, Docker Compose) is for individual development. Dev (shared) is for cross-squad integration testing. Staging (production-mirror, anonymized data) is for performance, E2E, UAT, and pre-release validation. Production is the live customer environment with strict change management. Each environment has explicit access controls and data refresh policies.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Environment</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Data</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Access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local</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Developer laptop. Docker Compose for Postgres, Redis, MinIO. Hot reload.</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Synthetic test data, seeded via prisma db seed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Developer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dev</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Shared dev environment for integration testing across squad</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Synthetic, refreshed nightly</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engineers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staging</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Pre-prod mirror. Production-scale data (anonymized). Performance, E2E, UAT.</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Anonymized prod snapshot, refreshed weekly</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Engineers + QA + Product</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Live customer environment. Strict change management.</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 customer data</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On-call + release manager only</w:t>
            </w:r>
          </w:p>
        </w:tc>
      </w:tr>
    </w:tbl>
    <w:p>
      <w:pPr>
        <w:pStyle w:val="Heading2"/>
        <w:spacing w:after="160" w:before="280" w:line="312"/>
      </w:pPr>
      <w:bookmarkStart w:id="100070" w:name="_Toc100070"/>
      <w:r>
        <w:rPr>
          <w:rFonts w:ascii="Calibri" w:cs="Nirmala UI" w:eastAsia="Calibri"/>
          <w:b/>
          <w:bCs/>
          <w:color w:val="0B1C2C"/>
          <w:sz w:val="28"/>
          <w:szCs w:val="28"/>
        </w:rPr>
        <w:t xml:space="preserve">Deployment Strategies</w:t>
      </w:r>
      <w:bookmarkEnd w:id="100070"/>
    </w:p>
    <w:p>
      <w:pPr>
        <w:spacing w:after="160" w:before="0" w:line="312"/>
        <w:jc w:val="both"/>
      </w:pPr>
      <w:r>
        <w:rPr>
          <w:rFonts w:ascii="Calibri" w:cs="Nirmala UI" w:eastAsia="Calibri"/>
          <w:color w:val="000000"/>
          <w:sz w:val="24"/>
          <w:szCs w:val="24"/>
        </w:rPr>
        <w:t xml:space="preserve">PreOne uses four deployment strategies depending on the change. Canary is the default for all production deploys — 5% to 100% over 30-60 min with auto-rollback. Blue-Green is used for database schema changes (run both versions, switch atomically). Rolling is used for non-production environments. Feature flags (LaunchDarkly) provide instantaneous feature-level rollback without deployment, used for high-risk features and gradual rollouts.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Strategy</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When</w:t>
            </w:r>
          </w:p>
        </w:tc>
        <w:tc>
          <w:tcPr>
            <w:tcW w:type="pct" w:w="5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Canary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for all production deploys</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 → 25% → 50% → 100% over 30-60 min. Auto-rollback on error rate &gt; 1% or latency spike.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Blue-Green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schema changes</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Run both versions simultaneously, switch traffic atomically, keep old version warm for instant rollback.</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Rolling</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Non-production environments</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Replace pods one at a time. Slower but resource-efficient.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 Flags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High-risk features, gradual rollout</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LaunchDarkly flag per feature. Roll out to internal → 1 branch → 10% → 100%. Instant kill switch.</w:t>
            </w:r>
          </w:p>
        </w:tc>
      </w:tr>
    </w:tbl>
    <w:p>
      <w:pPr>
        <w:pStyle w:val="Heading2"/>
        <w:spacing w:after="160" w:before="280" w:line="312"/>
      </w:pPr>
      <w:bookmarkStart w:id="100071" w:name="_Toc100071"/>
      <w:r>
        <w:rPr>
          <w:rFonts w:ascii="Calibri" w:cs="Nirmala UI" w:eastAsia="Calibri"/>
          <w:b/>
          <w:bCs/>
          <w:color w:val="0B1C2C"/>
          <w:sz w:val="28"/>
          <w:szCs w:val="28"/>
        </w:rPr>
        <w:t xml:space="preserve">Rollback Policy</w:t>
      </w:r>
      <w:bookmarkEnd w:id="100071"/>
    </w:p>
    <w:p>
      <w:pPr>
        <w:spacing w:after="160" w:before="0" w:line="312"/>
        <w:jc w:val="both"/>
      </w:pPr>
      <w:r>
        <w:rPr>
          <w:rFonts w:ascii="Calibri" w:cs="Nirmala UI" w:eastAsia="Calibri"/>
          <w:color w:val="000000"/>
          <w:sz w:val="24"/>
          <w:szCs w:val="24"/>
        </w:rPr>
        <w:t xml:space="preserve">Rollback is a first-class operation — not an afterthought. Auto-rollback triggers on error rate &gt; 1% for 2 minutes, p95 latency &gt; 500ms for 5 minutes, or health check failure for 3 consecutive checks. Manual rollback via ArgoCD UI takes &lt; 2 minutes. Database rollback requires a forward migration (we do not run down migrations — they are dangerous with prod data). Every rollback triggers a blameless postmortem within 48 hours.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Auto-rollback on error rate &gt; 1% for 2 minutes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Auto-rollback on p95 latency &gt; 500ms for 5 minutes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Auto-rollback on health check failure for 3 consecutive checks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Manual rollback via ArgoCD UI — single button, takes &lt; 2 minutes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Database rollback requires forward migration (we don't run down migrations)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Rollback triggers incident postmortem within 48 hours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Feature flags provide instant feature-level rollback without deploy</w:t>
      </w:r>
    </w:p>
    <w:p>
      <w:pPr>
        <w:pStyle w:val="Heading2"/>
        <w:spacing w:after="160" w:before="280" w:line="312"/>
      </w:pPr>
      <w:bookmarkStart w:id="100072" w:name="_Toc100072"/>
      <w:r>
        <w:rPr>
          <w:rFonts w:ascii="Calibri" w:cs="Nirmala UI" w:eastAsia="Calibri"/>
          <w:b/>
          <w:bCs/>
          <w:color w:val="0B1C2C"/>
          <w:sz w:val="28"/>
          <w:szCs w:val="28"/>
        </w:rPr>
        <w:t xml:space="preserve">Quality Gates</w:t>
      </w:r>
      <w:bookmarkEnd w:id="100072"/>
    </w:p>
    <w:p>
      <w:pPr>
        <w:spacing w:after="160" w:before="0" w:line="312"/>
        <w:jc w:val="both"/>
      </w:pPr>
      <w:r>
        <w:rPr>
          <w:rFonts w:ascii="Calibri" w:cs="Nirmala UI" w:eastAsia="Calibri"/>
          <w:color w:val="000000"/>
          <w:sz w:val="24"/>
          <w:szCs w:val="24"/>
        </w:rPr>
        <w:t xml:space="preserve">Quality gates are the consolidated enforcement of ENG-001 through ENG-010 across the pipeline. Each gate has an explicit tool and block level. Hard gates block CI; soft gates block release but not PR. The gates are detailed in Appendix D; the summary below shows the gate-to-stage mapping.</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Stage</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Gate</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Build</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Compile success</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tsc + nest build</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Lint</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Zero errors, zero warnings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ESLint + Prettier</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 Test</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90% coverage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Jest + SonarQube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tests pass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Jest + testcontainers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critical issues</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 + Snyk + Trivy</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 Review</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 approvals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GitHub PR</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SLA met (p95 &lt; 300ms)</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k6</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Documentation</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 and reviewed</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 PR template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Release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QA sign-off</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Jira release workflow</w:t>
            </w:r>
          </w:p>
        </w:tc>
      </w:tr>
    </w:tbl>
    <w:p>
      <w:pPr>
        <w:pStyle w:val="Heading2"/>
        <w:spacing w:after="160" w:before="280" w:line="312"/>
      </w:pPr>
      <w:bookmarkStart w:id="100073" w:name="_Toc100073"/>
      <w:r>
        <w:rPr>
          <w:rFonts w:ascii="Calibri" w:cs="Nirmala UI" w:eastAsia="Calibri"/>
          <w:b/>
          <w:bCs/>
          <w:color w:val="0B1C2C"/>
          <w:sz w:val="28"/>
          <w:szCs w:val="28"/>
        </w:rPr>
        <w:t xml:space="preserve">Release Standards</w:t>
      </w:r>
      <w:bookmarkEnd w:id="100073"/>
    </w:p>
    <w:p>
      <w:pPr>
        <w:spacing w:after="160" w:before="0" w:line="312"/>
        <w:jc w:val="both"/>
      </w:pPr>
      <w:r>
        <w:rPr>
          <w:rFonts w:ascii="Calibri" w:cs="Nirmala UI" w:eastAsia="Calibri"/>
          <w:color w:val="000000"/>
          <w:sz w:val="24"/>
          <w:szCs w:val="24"/>
        </w:rPr>
        <w:t xml:space="preserve">Releases follow semantic versioning (MAJOR.MINOR.PATCH) and require release notes, a release branch, a GPG-signed tag, and a release-window check (Tuesday-Thursday 10am-4pm IST; no Friday releases). Hotfixes are exempt with on-call approval. Quarterly rollback drills on staging verify rollback works in &lt; 5 minutes; gaps are documented and remediated.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7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Semantic versioning</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MAJOR.MINOR.PATCH. Major = breaking API change. Minor = new feature. Patch = bug fix. Pre-release: -alpha, -beta, -rc.1</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Release notes mandatory</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release has CHANGELOG.md entry with: version, date, features, fixes, breaking changes, migration guide.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Release branch</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release/X.Y.Z branched from develop. Only bug fixes allowed. Merged to main and develop after release.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Release tag</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Annotated GPG-signed tag on main: v2.4.0. Tag message contains release notes summary.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Release window</w:t>
            </w:r>
          </w:p>
        </w:tc>
        <w:tc>
          <w:tcPr>
            <w:tcW w:type="pct" w:w="7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 releases Tuesday-Thursday 10am-4pm IST. No Friday releases. Hotfixes exempt with on-call approval.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Rollback drill</w:t>
            </w:r>
          </w:p>
        </w:tc>
        <w:tc>
          <w:tcPr>
            <w:tcW w:type="pct" w:w="7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 rollback drill on staging. Verify rollback works in &lt; 5 minutes. Document any gaps.</w:t>
            </w:r>
          </w:p>
        </w:tc>
      </w:tr>
    </w:tbl>
    <w:p>
      <w:r>
        <w:br w:type="page"/>
      </w:r>
    </w:p>
    <w:p>
      <w:pPr>
        <w:pStyle w:val="Heading1"/>
        <w:spacing w:after="200" w:before="360" w:line="312"/>
      </w:pPr>
      <w:bookmarkStart w:id="100074" w:name="_Toc100074"/>
      <w:r>
        <w:rPr>
          <w:rFonts w:ascii="Calibri" w:cs="Nirmala UI" w:eastAsia="Calibri"/>
          <w:b/>
          <w:bCs/>
          <w:color w:val="0B1C2C"/>
          <w:sz w:val="32"/>
          <w:szCs w:val="32"/>
        </w:rPr>
        <w:t xml:space="preserve">ENG-009: Performance &amp; Monitoring Standards</w:t>
      </w:r>
      <w:bookmarkEnd w:id="100074"/>
    </w:p>
    <w:p>
      <w:pPr>
        <w:spacing w:after="160" w:before="0" w:line="312"/>
        <w:jc w:val="both"/>
      </w:pPr>
      <w:r>
        <w:rPr>
          <w:rFonts w:ascii="Calibri" w:cs="Nirmala UI" w:eastAsia="Calibri"/>
          <w:color w:val="000000"/>
          <w:sz w:val="24"/>
          <w:szCs w:val="24"/>
        </w:rPr>
        <w:t xml:space="preserve">Define the performance budgets, monitoring coverage, and alerting rigor that keep PreOne fast and reliable. Performance is a feature — a slow app loses users faster than a buggy one. Monitoring is the only way to know you're fast; alerts are the only way to know you're broken.</w:t>
      </w:r>
    </w:p>
    <w:p>
      <w:pPr>
        <w:pStyle w:val="Heading2"/>
        <w:spacing w:after="160" w:before="280" w:line="312"/>
      </w:pPr>
      <w:bookmarkStart w:id="100075" w:name="_Toc100075"/>
      <w:r>
        <w:rPr>
          <w:rFonts w:ascii="Calibri" w:cs="Nirmala UI" w:eastAsia="Calibri"/>
          <w:b/>
          <w:bCs/>
          <w:color w:val="0B1C2C"/>
          <w:sz w:val="28"/>
          <w:szCs w:val="28"/>
        </w:rPr>
        <w:t xml:space="preserve">Performance Budgets</w:t>
      </w:r>
      <w:bookmarkEnd w:id="100075"/>
    </w:p>
    <w:p>
      <w:pPr>
        <w:spacing w:after="160" w:before="0" w:line="312"/>
        <w:jc w:val="both"/>
      </w:pPr>
      <w:r>
        <w:rPr>
          <w:rFonts w:ascii="Calibri" w:cs="Nirmala UI" w:eastAsia="Calibri"/>
          <w:color w:val="000000"/>
          <w:sz w:val="24"/>
          <w:szCs w:val="24"/>
        </w:rPr>
        <w:t xml:space="preserve">Performance budgets are the SLAs we hold ourselves to. They are measured continuously and alerted on breach. API p95 latency must be &lt; 300ms; p99 &lt; 500ms. DB query p95 must be &lt; 100ms. Web page LCP must be &lt; 2s. Mobile cold start must be &lt; 2s. Reports and AI endpoints have explicit exceptions documented. Performance regressions (&gt; 10% slower than baseline) block release; the release manager may grant exceptions with architecture approval.</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Metric</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Measurement</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Exceptions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p95 latency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300ms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Datadog APM, per-endpoint</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 (sync): &lt; 2s. AI endpoints: &lt; 5s. File upload: streaming, no budget.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p99 latency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500ms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Datadog APM, per-endpoint</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Same as p95</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DB query p95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100ms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pg_stat_statements + Datadog DBM</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Analytics queries (reviewed): &lt; 1s. Migrations: not budgeted.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 load (web)</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2s LCP</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Lighthouse + RUM (Real User Monitoring)</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 page: &lt; 5s LCP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 to Interactive (web)</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3s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Lighthouse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None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Mobile app cold start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2s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Firebase Performance Monitoring</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Background job pickup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30s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BullMQ metrics</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Nightly batch jobs: &lt; 1 hour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Webhook delivery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5s to first attempt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Webhook queue metrics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Retries follow exponential backoff up to 24h</w:t>
            </w:r>
          </w:p>
        </w:tc>
      </w:tr>
    </w:tbl>
    <w:p>
      <w:pPr>
        <w:pStyle w:val="Heading2"/>
        <w:spacing w:after="160" w:before="280" w:line="312"/>
      </w:pPr>
      <w:bookmarkStart w:id="100076" w:name="_Toc100076"/>
      <w:r>
        <w:rPr>
          <w:rFonts w:ascii="Calibri" w:cs="Nirmala UI" w:eastAsia="Calibri"/>
          <w:b/>
          <w:bCs/>
          <w:color w:val="0B1C2C"/>
          <w:sz w:val="28"/>
          <w:szCs w:val="28"/>
        </w:rPr>
        <w:t xml:space="preserve">Caching Strategy</w:t>
      </w:r>
      <w:bookmarkEnd w:id="100076"/>
    </w:p>
    <w:p>
      <w:pPr>
        <w:spacing w:after="160" w:before="0" w:line="312"/>
        <w:jc w:val="both"/>
      </w:pPr>
      <w:r>
        <w:rPr>
          <w:rFonts w:ascii="Calibri" w:cs="Nirmala UI" w:eastAsia="Calibri"/>
          <w:color w:val="000000"/>
          <w:sz w:val="24"/>
          <w:szCs w:val="24"/>
        </w:rPr>
        <w:t xml:space="preserve">Caching is the highest-leverage performance optimization — when used correctly. PreOne uses five caching layers. Redis (application cache) holds sessions, permissions, feature flags, rate limit counters, and OTPs. CloudFront (CDN) serves static assets (JS, CSS, images) with 1-year TTL and filename-hash cache-busting. Database query cache holds hot read queries (5-min TTL, flushed on write). HTTP cache (ETag) handles rarely-changing data. Browser cache serves static assets via Cache-Control headers.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Use</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Invalidation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Redis (Application cache)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 permission cache, feature flags, rate limit counters, OTP storage. TTL: 5 min - 24 hours.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TTL + explicit flush on change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CDN (CloudFront)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Static assets (JS, CSS, images, fonts). TTL: 1 year (file hash in URL). HTML: no-cache.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Cache-bust via filename hash</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query cache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Hot read queries (branch list, academic year, fee plans). TTL: 5 min. Cached at application layer.</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Flush on relevant write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HTTP cache (ETag/Last-Modified)</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GET responses for rarely-changing data (settings, configurations).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Automatic on data change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Browser cache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Static assets via Cache-Control headers.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Filename hash + Cache-Control: no-cache for HTML</w:t>
            </w:r>
          </w:p>
        </w:tc>
      </w:tr>
    </w:tbl>
    <w:p>
      <w:pPr>
        <w:pStyle w:val="Heading2"/>
        <w:spacing w:after="160" w:before="280" w:line="312"/>
      </w:pPr>
      <w:bookmarkStart w:id="100077" w:name="_Toc100077"/>
      <w:r>
        <w:rPr>
          <w:rFonts w:ascii="Calibri" w:cs="Nirmala UI" w:eastAsia="Calibri"/>
          <w:b/>
          <w:bCs/>
          <w:color w:val="0B1C2C"/>
          <w:sz w:val="28"/>
          <w:szCs w:val="28"/>
        </w:rPr>
        <w:t xml:space="preserve">Query Optimization</w:t>
      </w:r>
      <w:bookmarkEnd w:id="100077"/>
    </w:p>
    <w:p>
      <w:pPr>
        <w:spacing w:after="160" w:before="0" w:line="312"/>
        <w:jc w:val="both"/>
      </w:pPr>
      <w:r>
        <w:rPr>
          <w:rFonts w:ascii="Calibri" w:cs="Nirmala UI" w:eastAsia="Calibri"/>
          <w:color w:val="000000"/>
          <w:sz w:val="24"/>
          <w:szCs w:val="24"/>
        </w:rPr>
        <w:t xml:space="preserve">Database queries are the most common performance bottleneck in a SaaS application. PreOne enforces ten query optimization rules. No SELECT * (explicit column lists via Prisma select). Pagination mandatory. Indexes on every FK and frequently-filtered column. N+1 prevention via Prisma include or DataLoader. Cursor pagination for deep pages. Composite indexes ordered by selectivity. Partial indexes for soft-delete. EXPLAIN ANALYZE on every new query in review. Read replicas for analytics. Connection pooling via PgBouncer.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SELECT * — explicit column lists via Prisma select{}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Pagination mandatory — LIMIT + OFFSET or cursor for large tables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Indexes on every FK, every frequently-filtered column, every unique business key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N+1 prevention — Prisma include{} or DataLoader for batch loading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Avoid OFFSET for deep pagination — use WHERE created_at &lt; $1 (cursor)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Composite indexes ordered by selectivity — tenant_id first, then most selective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Partial indexes for soft-delete — WHERE deleted_at IS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EXPLAIN ANALYZE on every new query — verify index usage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Read replicas for analytics — never run heavy reports on primary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Connection pooling via PgBouncer — max 100 connections per service instance</w:t>
      </w:r>
    </w:p>
    <w:p>
      <w:pPr>
        <w:pStyle w:val="Heading2"/>
        <w:spacing w:after="160" w:before="280" w:line="312"/>
      </w:pPr>
      <w:bookmarkStart w:id="100078" w:name="_Toc100078"/>
      <w:r>
        <w:rPr>
          <w:rFonts w:ascii="Calibri" w:cs="Nirmala UI" w:eastAsia="Calibri"/>
          <w:b/>
          <w:bCs/>
          <w:color w:val="0B1C2C"/>
          <w:sz w:val="28"/>
          <w:szCs w:val="28"/>
        </w:rPr>
        <w:t xml:space="preserve">Monitoring Coverage</w:t>
      </w:r>
      <w:bookmarkEnd w:id="100078"/>
    </w:p>
    <w:p>
      <w:pPr>
        <w:spacing w:after="160" w:before="0" w:line="312"/>
        <w:jc w:val="both"/>
      </w:pPr>
      <w:r>
        <w:rPr>
          <w:rFonts w:ascii="Calibri" w:cs="Nirmala UI" w:eastAsia="Calibri"/>
          <w:color w:val="000000"/>
          <w:sz w:val="24"/>
          <w:szCs w:val="24"/>
        </w:rPr>
        <w:t xml:space="preserve">Monitoring covers seven layers: infrastructure (CPU, memory, disk, network), application (request rate, error rate, latency), database (connection pool, slow queries, replication lag), cache (hit rate, memory, eviction), queue (depth, processing rate, DLQ), external APIs (call rate, latency, error rate per provider), and business (admissions, fee collection, attendance, active users). Every layer has explicit metrics, dashboards, and alerts.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5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Metrics</w:t>
            </w:r>
          </w:p>
        </w:tc>
        <w:tc>
          <w:tcPr>
            <w:tcW w:type="pct" w:w="2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CPU, memory, disk, network per pod/node. Pod restarts, OOM kills, node health.</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Prometheus + Grafana, Datadog</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 rate, error rate, latency per endpoint. Background job throughput, queue depth.</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Datadog APM, OpenTelemetry</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Connection pool usage, slow queries, replication lag, disk usage, cache hit ratio.</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Datadog DBM, pg_stat_statements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Cache (Redis)</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Hit rate, memory usage, eviction rate, connected clients.</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Redis Insight, Datadog</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Queue</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Messages waiting, processing rate, dead letter queue size, consumer lag.</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BullMQ metrics, Datadog</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External APIs</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Call rate, latency, error rate per provider (payment, WhatsApp, SMS, AI).</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Datadog synthetics + custom</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fee collection, attendance rate, active users per tenant.</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dashboards in Datadog</w:t>
            </w:r>
          </w:p>
        </w:tc>
      </w:tr>
    </w:tbl>
    <w:p>
      <w:pPr>
        <w:pStyle w:val="Heading2"/>
        <w:spacing w:after="160" w:before="280" w:line="312"/>
      </w:pPr>
      <w:bookmarkStart w:id="100079" w:name="_Toc100079"/>
      <w:r>
        <w:rPr>
          <w:rFonts w:ascii="Calibri" w:cs="Nirmala UI" w:eastAsia="Calibri"/>
          <w:b/>
          <w:bCs/>
          <w:color w:val="0B1C2C"/>
          <w:sz w:val="28"/>
          <w:szCs w:val="28"/>
        </w:rPr>
        <w:t xml:space="preserve">Alert Severities</w:t>
      </w:r>
      <w:bookmarkEnd w:id="100079"/>
    </w:p>
    <w:p>
      <w:pPr>
        <w:spacing w:after="160" w:before="0" w:line="312"/>
        <w:jc w:val="both"/>
      </w:pPr>
      <w:r>
        <w:rPr>
          <w:rFonts w:ascii="Calibri" w:cs="Nirmala UI" w:eastAsia="Calibri"/>
          <w:color w:val="000000"/>
          <w:sz w:val="24"/>
          <w:szCs w:val="24"/>
        </w:rPr>
        <w:t xml:space="preserve">Alerts are classified into four severities with explicit notification SLAs. P1 (Critical) pages on-call within 5 minutes for service down, DB unreachable, error rate &gt; 5%, payment gateway down, data loss. P2 (High) notifies on-call within 30 minutes for latency spikes, queue depth, cache degradation. P3 (Medium) emails within 4 hours for slow queries, disk growth, cert expiry. P4 (Low) sends a daily digest for trends and deprecation warnings. Alert fatigue is real — every alert must be actionable.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Severity</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SLA</w:t>
            </w:r>
          </w:p>
        </w:tc>
        <w:tc>
          <w:tcPr>
            <w:tcW w:type="pct" w:w="5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P1 Critical</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Page on-call within 5 min</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down, DB unreachable, error rate &gt; 5%, payment gateway down, data loss detected</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P2 High</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Notify on-call within 30 min</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p95 &gt; 500ms for 5 min, queue depth &gt; 1000, cache hit &lt; 80%, replication lag &gt; 10s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P3 Medium</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 engineering within 4 hours</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Slow query &gt; 5s, disk &gt; 80%, cert expiring in 7 days, 4xx rate spike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P4 Low</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digest</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Deprecation warnings, capacity trend alerts, info anomalies</w:t>
            </w:r>
          </w:p>
        </w:tc>
      </w:tr>
    </w:tbl>
    <w:p>
      <w:pPr>
        <w:pStyle w:val="Heading2"/>
        <w:spacing w:after="160" w:before="280" w:line="312"/>
      </w:pPr>
      <w:bookmarkStart w:id="100080" w:name="_Toc100080"/>
      <w:r>
        <w:rPr>
          <w:rFonts w:ascii="Calibri" w:cs="Nirmala UI" w:eastAsia="Calibri"/>
          <w:b/>
          <w:bCs/>
          <w:color w:val="0B1C2C"/>
          <w:sz w:val="28"/>
          <w:szCs w:val="28"/>
        </w:rPr>
        <w:t xml:space="preserve">Incident Response</w:t>
      </w:r>
      <w:bookmarkEnd w:id="100080"/>
    </w:p>
    <w:p>
      <w:pPr>
        <w:spacing w:after="160" w:before="0" w:line="312"/>
        <w:jc w:val="both"/>
      </w:pPr>
      <w:r>
        <w:rPr>
          <w:rFonts w:ascii="Calibri" w:cs="Nirmala UI" w:eastAsia="Calibri"/>
          <w:color w:val="000000"/>
          <w:sz w:val="24"/>
          <w:szCs w:val="24"/>
        </w:rPr>
        <w:t xml:space="preserve">Incidents follow a six-phase response: Detect (&lt; 5 min), Triage (&lt; 10 min), Mitigate (&lt; 30 min), Resolve (&lt; 4 hours for P1), Postmortem (&lt; 48 hours), Follow-up (&lt; 30 days). The goal of mitigation is to stop the bleeding — rollback, feature flag off, scale up, fail safe — not to fix the root cause under pressure. Root cause analysis happens in the postmortem, which is blameless (focus on system failures, not individual mistakes).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Phase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SLA</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Detect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5 min</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Alert fires, on-call paged. Acknowledge in PagerDuty within 5 min.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Triage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10 min</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On-call assesses severity, opens incident channel, posts initial summary.</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Mitigate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30 min</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Stop the bleeding — rollback, feature flag off, scale up, fail safe. Not fix — mitigate.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Resolve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4 hours (P1)</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Root cause identified, fix deployed, normal operations restored.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Postmortem</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48 hours</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Blameless postmortem document. Action items filed. Review meeting scheduled.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Follow-up</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30 days</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Action items completed. Prevention measures deployed. Postmortem published.</w:t>
            </w:r>
          </w:p>
        </w:tc>
      </w:tr>
    </w:tbl>
    <w:p>
      <w:pPr>
        <w:pStyle w:val="Heading2"/>
        <w:spacing w:after="160" w:before="280" w:line="312"/>
      </w:pPr>
      <w:bookmarkStart w:id="100081" w:name="_Toc100081"/>
      <w:r>
        <w:rPr>
          <w:rFonts w:ascii="Calibri" w:cs="Nirmala UI" w:eastAsia="Calibri"/>
          <w:b/>
          <w:bCs/>
          <w:color w:val="0B1C2C"/>
          <w:sz w:val="28"/>
          <w:szCs w:val="28"/>
        </w:rPr>
        <w:t xml:space="preserve">Capacity Planning</w:t>
      </w:r>
      <w:bookmarkEnd w:id="100081"/>
    </w:p>
    <w:p>
      <w:pPr>
        <w:spacing w:after="160" w:before="0" w:line="312"/>
        <w:jc w:val="both"/>
      </w:pPr>
      <w:r>
        <w:rPr>
          <w:rFonts w:ascii="Calibri" w:cs="Nirmala UI" w:eastAsia="Calibri"/>
          <w:color w:val="000000"/>
          <w:sz w:val="24"/>
          <w:szCs w:val="24"/>
        </w:rPr>
        <w:t xml:space="preserve">Capacity planning is proactive, not reactive. PreOne tracks six capacity metrics with explicit thresholds. CPU utilization target is &lt; 70% average, &lt; 85% peak. Memory &lt; 75% average. DB connection pool &lt; 60% utilized. Disk &lt; 70%. Queue depth &lt; 1000 messages. API RPS plans for 10x current peak. Quarterly capacity reviews scale ahead of growth; alerts at 70% utilization trigger scaling actions before 85% is reached.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Metric</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CPU utilization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70% average, &lt; 85% peak</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Scale out if sustained &gt; 70% for 15 min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Memory utilization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75% average, &lt; 85% peak</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Scale out or up if sustained &gt; 75%</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DB connection pool</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60% utilized</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Add read replicas or increase pool size if &gt; 60%</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Disk usage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70%</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Alert at 70%, expand at 80%, critical at 90%</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Queue depth</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1000 messages</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Scale consumers if &gt; 1000 for 5 min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RPS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Plan for 10× current peak</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 capacity review, scale ahead of growth</w:t>
            </w:r>
          </w:p>
        </w:tc>
      </w:tr>
    </w:tbl>
    <w:p>
      <w:r>
        <w:br w:type="page"/>
      </w:r>
    </w:p>
    <w:p>
      <w:pPr>
        <w:pStyle w:val="Heading1"/>
        <w:spacing w:after="200" w:before="360" w:line="312"/>
      </w:pPr>
      <w:bookmarkStart w:id="100082" w:name="_Toc100082"/>
      <w:r>
        <w:rPr>
          <w:rFonts w:ascii="Calibri" w:cs="Nirmala UI" w:eastAsia="Calibri"/>
          <w:b/>
          <w:bCs/>
          <w:color w:val="0B1C2C"/>
          <w:sz w:val="32"/>
          <w:szCs w:val="32"/>
        </w:rPr>
        <w:t xml:space="preserve">ENG-010: AI-Assisted Development Standards</w:t>
      </w:r>
      <w:bookmarkEnd w:id="100082"/>
    </w:p>
    <w:p>
      <w:pPr>
        <w:spacing w:after="160" w:before="0" w:line="312"/>
        <w:jc w:val="both"/>
      </w:pPr>
      <w:r>
        <w:rPr>
          <w:rFonts w:ascii="Calibri" w:cs="Nirmala UI" w:eastAsia="Calibri"/>
          <w:color w:val="000000"/>
          <w:sz w:val="24"/>
          <w:szCs w:val="24"/>
        </w:rPr>
        <w:t xml:space="preserve">Define how PreOne engineers use AI coding tools (Copilot, Cursor, Claude Code, ChatGPT) safely and effectively. AI is a force multiplier — it accelerates implementation, but it does not absolve responsibility. Every line of AI-generated code is owned by the engineer who committed it, reviewed like human-written code, and held to the same security and quality bar.</w:t>
      </w:r>
    </w:p>
    <w:p>
      <w:pPr>
        <w:pStyle w:val="Heading2"/>
        <w:spacing w:after="160" w:before="280" w:line="312"/>
      </w:pPr>
      <w:bookmarkStart w:id="100083" w:name="_Toc100083"/>
      <w:r>
        <w:rPr>
          <w:rFonts w:ascii="Calibri" w:cs="Nirmala UI" w:eastAsia="Calibri"/>
          <w:b/>
          <w:bCs/>
          <w:color w:val="0B1C2C"/>
          <w:sz w:val="28"/>
          <w:szCs w:val="28"/>
        </w:rPr>
        <w:t xml:space="preserve">Core Principles</w:t>
      </w:r>
      <w:bookmarkEnd w:id="100083"/>
    </w:p>
    <w:p>
      <w:pPr>
        <w:spacing w:after="160" w:before="0" w:line="312"/>
        <w:jc w:val="both"/>
      </w:pPr>
      <w:r>
        <w:rPr>
          <w:rFonts w:ascii="Calibri" w:cs="Nirmala UI" w:eastAsia="Calibri"/>
          <w:color w:val="000000"/>
          <w:sz w:val="24"/>
          <w:szCs w:val="24"/>
        </w:rPr>
        <w:t xml:space="preserve">AI coding tools (Copilot, Cursor, Claude Code) are force multipliers — they accelerate implementation but do not absolve responsibility. The six principles below govern AI-assisted development at PreOne. They are not optional. Every engineer using AI tools must internalize them. Violations (e.g., pasting secrets into prompts, accepting AI code without review) are treated as security incidents.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 output is a draft, not a deliverable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 generates code that compiles, not code that is correct. Engineer must verify intent, security, performance, and alignment with architecture.</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Human owns every line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The engineer who commits AI-generated code is the author of record. 'Copilot wrote it' is not a defense in code review or incident postmortem.</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Never accept without review</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AI suggestion reviewed line-by-line before acceptance. Diff read in full. No 'accept all' without reading.</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 cannot make architectural decisions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 suggests patterns; engineers choose architecture. DDD boundaries, aggregate design, integration patterns — all human decisions, AI assists implementation.</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Never paste secrets or PII into AI</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 prompts are logged, trained on, and potentially leaked. No JWT secrets, no production data, no customer PII in prompts. Use synthetic data.</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Cite AI assistance in PR</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AI generated &gt; 20% of a PR, note in PR description: 'Generated with Copilot/Cursor — reviewed and tested by [engineer]'. Transparency for reviewers and audit.</w:t>
            </w:r>
          </w:p>
        </w:tc>
      </w:tr>
    </w:tbl>
    <w:p>
      <w:pPr>
        <w:pStyle w:val="Heading2"/>
        <w:spacing w:after="160" w:before="280" w:line="312"/>
      </w:pPr>
      <w:bookmarkStart w:id="100084" w:name="_Toc100084"/>
      <w:r>
        <w:rPr>
          <w:rFonts w:ascii="Calibri" w:cs="Nirmala UI" w:eastAsia="Calibri"/>
          <w:b/>
          <w:bCs/>
          <w:color w:val="0B1C2C"/>
          <w:sz w:val="28"/>
          <w:szCs w:val="28"/>
        </w:rPr>
        <w:t xml:space="preserve">Allowed AI Use Cases</w:t>
      </w:r>
      <w:bookmarkEnd w:id="100084"/>
    </w:p>
    <w:p>
      <w:pPr>
        <w:spacing w:after="160" w:before="0" w:line="312"/>
        <w:jc w:val="both"/>
      </w:pPr>
      <w:r>
        <w:rPr>
          <w:rFonts w:ascii="Calibri" w:cs="Nirmala UI" w:eastAsia="Calibri"/>
          <w:color w:val="000000"/>
          <w:sz w:val="24"/>
          <w:szCs w:val="24"/>
        </w:rPr>
        <w:t xml:space="preserve">AI excels at boilerplate generation, documentation drafts, refactoring suggestions, test case generation, code explanation, bug hypothesis, query optimization, and regex generation. These use cases are encouraged — they free engineers to focus on architecture, domain logic, and customer value. For each use case, the engineer remains responsible for verifying correctness, security, and alignment with PreOne standards.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Boilerplate generation — DTOs, mappers, CRUD controllers, test scaffolding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Documentation drafts — JSDoc, README sections, code comments (verify accuracy)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Refactoring suggestions — extract method, rename, simplify conditionals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 case generation — happy path, edge cases, error scenarios (verify against actual behavior)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Code explanation — 'explain this function' for onboarding unfamiliar code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Bug hypothesis — 'this code has a race condition — where?' — use as starting point, verify with tests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SQL query optimization — suggest indexes, rewrite for performance (verify with EXPLAIN ANALYZE)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Regular expressions — generate and explain complex regex (always test against real data)</w:t>
      </w:r>
    </w:p>
    <w:p>
      <w:pPr>
        <w:pStyle w:val="Heading2"/>
        <w:spacing w:after="160" w:before="280" w:line="312"/>
      </w:pPr>
      <w:bookmarkStart w:id="100085" w:name="_Toc100085"/>
      <w:r>
        <w:rPr>
          <w:rFonts w:ascii="Calibri" w:cs="Nirmala UI" w:eastAsia="Calibri"/>
          <w:b/>
          <w:bCs/>
          <w:color w:val="0B1C2C"/>
          <w:sz w:val="28"/>
          <w:szCs w:val="28"/>
        </w:rPr>
        <w:t xml:space="preserve">Forbidden AI Use Cases</w:t>
      </w:r>
      <w:bookmarkEnd w:id="100085"/>
    </w:p>
    <w:p>
      <w:pPr>
        <w:spacing w:after="160" w:before="0" w:line="312"/>
        <w:jc w:val="both"/>
      </w:pPr>
      <w:r>
        <w:rPr>
          <w:rFonts w:ascii="Calibri" w:cs="Nirmala UI" w:eastAsia="Calibri"/>
          <w:color w:val="000000"/>
          <w:sz w:val="24"/>
          <w:szCs w:val="24"/>
        </w:rPr>
        <w:t xml:space="preserve">AI cannot make architectural decisions — DDD boundaries, aggregate design, service decomposition are human decisions. AI cannot write security-critical code without expert review (auth, crypto, payment, PII). AI cannot author database migrations — it cannot reason about production data shape. AI must never receive production data or secrets in prompts. Blind acceptance of long AI suggestions is forbidden — every line must be read. AI is not a sole reviewer; AI code review tools complement human review, not replace it.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Architectural decisions — DDD boundaries, aggregate design, service decomposition. AI suggests; human decides.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Security-critical code without expert review — auth, crypto, payment, PII handling. AI code here requires security team sign-off.</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Database migrations — AI cannot reason about prod data shape. Human authors, AI may assist with syntax.</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Production data in prompts — no real customer records, no real PII, no real secrets. Synthetic data only.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Blind acceptance of long suggestions — if AI generates 200 lines, read all 200. 'Looks right' is not review.</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AI as sole reviewer — AI code review tools (Copilot review) complement human review, do not replace it.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Copyright-protected code — if AI reproduces GPL/aggressive-copyleft code, reject. Use AI tools with commercial-use indemnification.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Bypassing tests — 'AI wrote it, it probably works' is not a test. AI writes tests; human verifies they test the right thing.</w:t>
      </w:r>
    </w:p>
    <w:p>
      <w:pPr>
        <w:pStyle w:val="Heading2"/>
        <w:spacing w:after="160" w:before="280" w:line="312"/>
      </w:pPr>
      <w:bookmarkStart w:id="100086" w:name="_Toc100086"/>
      <w:r>
        <w:rPr>
          <w:rFonts w:ascii="Calibri" w:cs="Nirmala UI" w:eastAsia="Calibri"/>
          <w:b/>
          <w:bCs/>
          <w:color w:val="0B1C2C"/>
          <w:sz w:val="28"/>
          <w:szCs w:val="28"/>
        </w:rPr>
        <w:t xml:space="preserve">AI Code Review Requirements</w:t>
      </w:r>
      <w:bookmarkEnd w:id="100086"/>
    </w:p>
    <w:p>
      <w:pPr>
        <w:spacing w:after="160" w:before="0" w:line="312"/>
        <w:jc w:val="both"/>
      </w:pPr>
      <w:r>
        <w:rPr>
          <w:rFonts w:ascii="Calibri" w:cs="Nirmala UI" w:eastAsia="Calibri"/>
          <w:color w:val="000000"/>
          <w:sz w:val="24"/>
          <w:szCs w:val="24"/>
        </w:rPr>
        <w:t xml:space="preserve">AI-generated code must pass the same gates as human-written code: lint, type check, unit tests, security scan, DDD compliance, naming standards. Additionally, every AI-generated file must be opened, read, and approved by the committing engineer — no bulk-accept. AI code touching auth, payments, PII, or external APIs requires security team review, not just code review. The engineer who commits AI code is the author of record.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Requirement</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Pass lint</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ESLint + Prettier must pass. AI often generates code with style violations.</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Pass type check</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TypeScript strict mode must pass. AI often uses `any` or implicit types.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Pass unit tests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 code must have tests. AI-generated tests must verify correct behavior, not just shape.</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Pass security scan</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SAST must pass. AI sometimes generates vulnerable patterns (eval, unsanitized SQL).</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Follow DDD</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business logic in controller, no infrastructure in domain. AI often blurs layers — reviewer enforces.</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Follow naming standards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Variables camelCase, classes PascalCase, constants UPPER_SNAKE. AI is inconsistent — reviewer enforces.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Human approval on every file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AI-generated file must be opened, read, and approved by the committing engineer. No bulk-accept.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review for sensitive areas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 code touching auth, payments, PII, or external APIs requires security team review, not just code review.</w:t>
            </w:r>
          </w:p>
        </w:tc>
      </w:tr>
    </w:tbl>
    <w:p>
      <w:pPr>
        <w:pStyle w:val="Heading2"/>
        <w:spacing w:after="160" w:before="280" w:line="312"/>
      </w:pPr>
      <w:bookmarkStart w:id="100087" w:name="_Toc100087"/>
      <w:r>
        <w:rPr>
          <w:rFonts w:ascii="Calibri" w:cs="Nirmala UI" w:eastAsia="Calibri"/>
          <w:b/>
          <w:bCs/>
          <w:color w:val="0B1C2C"/>
          <w:sz w:val="28"/>
          <w:szCs w:val="28"/>
        </w:rPr>
        <w:t xml:space="preserve">Prompt Hygiene</w:t>
      </w:r>
      <w:bookmarkEnd w:id="100087"/>
    </w:p>
    <w:p>
      <w:pPr>
        <w:spacing w:after="160" w:before="0" w:line="312"/>
        <w:jc w:val="both"/>
      </w:pPr>
      <w:r>
        <w:rPr>
          <w:rFonts w:ascii="Calibri" w:cs="Nirmala UI" w:eastAsia="Calibri"/>
          <w:color w:val="000000"/>
          <w:sz w:val="24"/>
          <w:szCs w:val="24"/>
        </w:rPr>
        <w:t xml:space="preserve">AI prompts are not private — they are logged, potentially trained on, and discoverable in legal proceedings. PreOne enforces six prompt hygiene rules. No secrets in prompts (use placeholders). No production data (use synthetic). No proprietary third-party code (NDA risk). Sanitize before paste (strip real names, emails, phones, IDs). Use only approved AI tools (Copilot Enterprise, Cursor privacy mode, Claude via AWS Bedrock). Audit trail retained 90 days.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secrets in prompts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Never paste JWT signing keys, DB passwords, API keys, or customer data. Use placeholders: 'JWT_SECRET=&lt;redacted&gt;'.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production data</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 synthetic data. 'Customer John Doe with phone 9876543210' is forbidden. 'Customer TEST_001 with phone 5555555555' is fine.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proprietary third-party code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Don't paste vendor SDK code, customer code, or anything under NDA. AI may train on it.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Sanitize before paste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Strip real names, real emails, real phone numbers, real IDs before pasting logs or code into AI tools.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 approved AI tools only</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Corporate-approved: GitHub Copilot Enterprise, Cursor (with privacy mode), Claude via AWS Bedrock. Personal ChatGPT forbidden for work code.</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 trail</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 tool usage logs retained 90 days for security review. Prompt history is discoverable in legal proceedings.</w:t>
            </w:r>
          </w:p>
        </w:tc>
      </w:tr>
    </w:tbl>
    <w:p>
      <w:pPr>
        <w:pStyle w:val="Heading2"/>
        <w:spacing w:after="160" w:before="280" w:line="312"/>
      </w:pPr>
      <w:bookmarkStart w:id="100088" w:name="_Toc100088"/>
      <w:r>
        <w:rPr>
          <w:rFonts w:ascii="Calibri" w:cs="Nirmala UI" w:eastAsia="Calibri"/>
          <w:b/>
          <w:bCs/>
          <w:color w:val="0B1C2C"/>
          <w:sz w:val="28"/>
          <w:szCs w:val="28"/>
        </w:rPr>
        <w:t xml:space="preserve">AI Effectiveness Metrics</w:t>
      </w:r>
      <w:bookmarkEnd w:id="100088"/>
    </w:p>
    <w:p>
      <w:pPr>
        <w:spacing w:after="160" w:before="0" w:line="312"/>
        <w:jc w:val="both"/>
      </w:pPr>
      <w:r>
        <w:rPr>
          <w:rFonts w:ascii="Calibri" w:cs="Nirmala UI" w:eastAsia="Calibri"/>
          <w:color w:val="000000"/>
          <w:sz w:val="24"/>
          <w:szCs w:val="24"/>
        </w:rPr>
        <w:t xml:space="preserve">PreOne tracks four AI effectiveness metrics. AI-assisted PRs (goal: 60-80% of PRs use AI for at least boilerplate). AI-generated defect rate (defects per AI-assisted PR, compared to human-only baseline). AI code rework (percentage of AI suggestions significantly modified in review — high rework indicates poor prompt quality). Security findings in AI code (SAST findings per 1000 LOC, trended monthly). These metrics inform AI tool selection and prompt engineering training.</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Metric</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AI-assisted PRs</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Track percentage of PRs that use AI. Goal: 60-80% of PRs use AI for at least boilerplate.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Adoption tracking</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AI-generated defect rate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Defects found in review per AI-assisted PR. Compare to baseline. Investigate if higher than human-only baseline.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Quality monitoring</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 code rework</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of AI suggestions significantly modified during review. High rework = poor prompt quality or AI misuse.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Effectiveness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findings in AI code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SAST findings per 1000 LOC of AI code. Trend monitored monthly.</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posture</w:t>
            </w:r>
          </w:p>
        </w:tc>
      </w:tr>
    </w:tbl>
    <w:p>
      <w:r>
        <w:br w:type="page"/>
      </w:r>
    </w:p>
    <w:p>
      <w:pPr>
        <w:pStyle w:val="Heading1"/>
        <w:spacing w:after="200" w:before="360" w:line="312"/>
      </w:pPr>
      <w:bookmarkStart w:id="100089" w:name="_Toc100089"/>
      <w:r>
        <w:rPr>
          <w:rFonts w:ascii="Calibri" w:cs="Nirmala UI" w:eastAsia="Calibri"/>
          <w:b/>
          <w:bCs/>
          <w:color w:val="0B1C2C"/>
          <w:sz w:val="32"/>
          <w:szCs w:val="32"/>
        </w:rPr>
        <w:t xml:space="preserve">Appendix A: Engineering Checklist — Before Merge</w:t>
      </w:r>
      <w:bookmarkEnd w:id="100089"/>
    </w:p>
    <w:p>
      <w:pPr>
        <w:spacing w:after="160" w:before="0" w:line="312"/>
        <w:jc w:val="both"/>
      </w:pPr>
      <w:r>
        <w:rPr>
          <w:rFonts w:ascii="Calibri" w:cs="Nirmala UI" w:eastAsia="Calibri"/>
          <w:color w:val="000000"/>
          <w:sz w:val="24"/>
          <w:szCs w:val="24"/>
        </w:rPr>
        <w:t xml:space="preserve">This checklist is the consolidated engineering bar that every PR must meet before merge. It is not optional, not 'best effort', not 'we'll fix later'. Reviewers should reject any PR that cannot check every applicable box. The checklist is derived from ENG-001 through ENG-010 and represents the minimum quality bar for production code at PreOne.</w:t>
      </w:r>
    </w:p>
    <w:p>
      <w:pPr>
        <w:pStyle w:val="Heading2"/>
        <w:spacing w:after="160" w:before="280" w:line="312"/>
      </w:pPr>
      <w:bookmarkStart w:id="100090" w:name="_Toc100090"/>
      <w:r>
        <w:rPr>
          <w:rFonts w:ascii="Calibri" w:cs="Nirmala UI" w:eastAsia="Calibri"/>
          <w:b/>
          <w:bCs/>
          <w:color w:val="0B1C2C"/>
          <w:sz w:val="28"/>
          <w:szCs w:val="28"/>
        </w:rPr>
        <w:t xml:space="preserve">Code Quality</w:t>
      </w:r>
      <w:bookmarkEnd w:id="100090"/>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Code compiles without errors or warnings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ESLint passes with zero errors and zero warnings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Prettier formatting applied (no diff in CI)</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TypeScript strict mode passes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`any` type — use `unknown` + narrowing or proper types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magic numbers — extracted to named constants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hardcoded strings — use enums or constants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commented-out code — deleted; Git remembers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console.log — use structured logger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Function size ≤ 50 lines, class size ≤ 500 lines, nesting ≤ 3, params ≤ 5</w:t>
      </w:r>
    </w:p>
    <w:p>
      <w:pPr>
        <w:pStyle w:val="Heading2"/>
        <w:spacing w:after="160" w:before="280" w:line="312"/>
      </w:pPr>
      <w:bookmarkStart w:id="100091" w:name="_Toc100091"/>
      <w:r>
        <w:rPr>
          <w:rFonts w:ascii="Calibri" w:cs="Nirmala UI" w:eastAsia="Calibri"/>
          <w:b/>
          <w:bCs/>
          <w:color w:val="0B1C2C"/>
          <w:sz w:val="28"/>
          <w:szCs w:val="28"/>
        </w:rPr>
        <w:t xml:space="preserve">Tests</w:t>
      </w:r>
      <w:bookmarkEnd w:id="10009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Unit tests added for every new public method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Integration tests added for service methods touching DB</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API tests cover happy path + at least 2 error paths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Coverage ≥ 90% (100% for critical modules: auth, finance, admissions)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Tests test behavior, not implementation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Tests are independent and order-independent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Tests use fake clock for time-dependent logic</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Tests mock at boundaries, not at the system under test</w:t>
      </w:r>
    </w:p>
    <w:p>
      <w:pPr>
        <w:pStyle w:val="Heading2"/>
        <w:spacing w:after="160" w:before="280" w:line="312"/>
      </w:pPr>
      <w:bookmarkStart w:id="100092" w:name="_Toc100092"/>
      <w:r>
        <w:rPr>
          <w:rFonts w:ascii="Calibri" w:cs="Nirmala UI" w:eastAsia="Calibri"/>
          <w:b/>
          <w:bCs/>
          <w:color w:val="0B1C2C"/>
          <w:sz w:val="28"/>
          <w:szCs w:val="28"/>
        </w:rPr>
        <w:t xml:space="preserve">Security</w:t>
      </w:r>
      <w:bookmarkEnd w:id="100092"/>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Every endpoint requires authentication (or explicitly marked public with justification)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Every endpoint has authorization scope check</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Multi-tenant isolation verified — query filtered by tenant_id from JWT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Input validation on every DTO field (class-validator)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Output sanitization for any user-generated content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SQL injection — parameterized queries only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XSS — React auto-escaping + DOMPurify for rich text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secrets in code, logs, or error messages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Rate limiting applied to sensitive endpoints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File uploads scanned (ClamAV), extension + MIME validated</w:t>
      </w:r>
    </w:p>
    <w:p>
      <w:pPr>
        <w:pStyle w:val="Heading2"/>
        <w:spacing w:after="160" w:before="280" w:line="312"/>
      </w:pPr>
      <w:bookmarkStart w:id="100093" w:name="_Toc100093"/>
      <w:r>
        <w:rPr>
          <w:rFonts w:ascii="Calibri" w:cs="Nirmala UI" w:eastAsia="Calibri"/>
          <w:b/>
          <w:bCs/>
          <w:color w:val="0B1C2C"/>
          <w:sz w:val="28"/>
          <w:szCs w:val="28"/>
        </w:rPr>
        <w:t xml:space="preserve">Domain Driven Design</w:t>
      </w:r>
      <w:bookmarkEnd w:id="10009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Business logic in domain layer, not in controller or repository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Aggregate root enforces its own invariants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Cross-aggregate communication via domain events, not direct reference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Repository only for aggregate root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Value objects are immutable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 service orchestrates, doesn't compute business rules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DTO ↔ Entity ↔ Prisma Model mapping via explicit mapper functions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direct Prisma calls from controllers</w:t>
      </w:r>
    </w:p>
    <w:p>
      <w:pPr>
        <w:pStyle w:val="Heading2"/>
        <w:spacing w:after="160" w:before="280" w:line="312"/>
      </w:pPr>
      <w:bookmarkStart w:id="100094" w:name="_Toc100094"/>
      <w:r>
        <w:rPr>
          <w:rFonts w:ascii="Calibri" w:cs="Nirmala UI" w:eastAsia="Calibri"/>
          <w:b/>
          <w:bCs/>
          <w:color w:val="0B1C2C"/>
          <w:sz w:val="28"/>
          <w:szCs w:val="28"/>
        </w:rPr>
        <w:t xml:space="preserve">Error Handling</w:t>
      </w:r>
      <w:bookmarkEnd w:id="100094"/>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Domain exceptions thrown for business rule violations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Global exception filter catches and formats all errors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Error responses structured (code, message, traceId)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swallowed exceptions (empty catch blocks)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unhandled promise rejections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External API failures retried with exponential backoff</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Circuit breaker for external dependencies</w:t>
      </w:r>
    </w:p>
    <w:p>
      <w:pPr>
        <w:pStyle w:val="Heading2"/>
        <w:spacing w:after="160" w:before="280" w:line="312"/>
      </w:pPr>
      <w:bookmarkStart w:id="100095" w:name="_Toc100095"/>
      <w:r>
        <w:rPr>
          <w:rFonts w:ascii="Calibri" w:cs="Nirmala UI" w:eastAsia="Calibri"/>
          <w:b/>
          <w:bCs/>
          <w:color w:val="0B1C2C"/>
          <w:sz w:val="28"/>
          <w:szCs w:val="28"/>
        </w:rPr>
        <w:t xml:space="preserve">Logging &amp; Observability</w:t>
      </w:r>
      <w:bookmarkEnd w:id="10009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Structured logging (JSON, not string concatenation)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Right log level (INFO for business events, WARN for anomalies, ERROR for failures)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PII not logged (no passwords, OTPs, tokens, Aadhaar, PAN)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Request ID propagated through all logs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Trace ID set on every external call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Metrics emitted for business-relevant events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Dashboard updated if new metric added</w:t>
      </w:r>
    </w:p>
    <w:p>
      <w:pPr>
        <w:pStyle w:val="Heading2"/>
        <w:spacing w:after="160" w:before="280" w:line="312"/>
      </w:pPr>
      <w:bookmarkStart w:id="100096" w:name="_Toc100096"/>
      <w:r>
        <w:rPr>
          <w:rFonts w:ascii="Calibri" w:cs="Nirmala UI" w:eastAsia="Calibri"/>
          <w:b/>
          <w:bCs/>
          <w:color w:val="0B1C2C"/>
          <w:sz w:val="28"/>
          <w:szCs w:val="28"/>
        </w:rPr>
        <w:t xml:space="preserve">Database</w:t>
      </w:r>
      <w:bookmarkEnd w:id="100096"/>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Migration forward-only, tested on staging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Destructive migration uses expand-contract pattern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Index added for every new query pattern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Index created concurrently in migration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SELECT * — explicit column selection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Pagination on every list endpoint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Soft delete respected (deleted_at IS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UUID primary key on every table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Audit columns (created_at, updated_at, created_by, updated_by, deleted_at) on every table</w:t>
      </w:r>
    </w:p>
    <w:p>
      <w:pPr>
        <w:pStyle w:val="Heading2"/>
        <w:spacing w:after="160" w:before="280" w:line="312"/>
      </w:pPr>
      <w:bookmarkStart w:id="100097" w:name="_Toc100097"/>
      <w:r>
        <w:rPr>
          <w:rFonts w:ascii="Calibri" w:cs="Nirmala UI" w:eastAsia="Calibri"/>
          <w:b/>
          <w:bCs/>
          <w:color w:val="0B1C2C"/>
          <w:sz w:val="28"/>
          <w:szCs w:val="28"/>
        </w:rPr>
        <w:t xml:space="preserve">API Design</w:t>
      </w:r>
      <w:bookmarkEnd w:id="10009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Endpoint follows REST conventions (plural noun, correct method)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API versioned (/api/v1/)</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Request DTO validated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Response follows standard format (success, data, meta, traceId)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Error codes follow standard taxonomy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Idempotency-Key supported for POST/PATCH on critical endpoints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OpenAPI spec updated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Changelog updated</w:t>
      </w:r>
    </w:p>
    <w:p>
      <w:pPr>
        <w:pStyle w:val="Heading2"/>
        <w:spacing w:after="160" w:before="280" w:line="312"/>
      </w:pPr>
      <w:bookmarkStart w:id="100098" w:name="_Toc100098"/>
      <w:r>
        <w:rPr>
          <w:rFonts w:ascii="Calibri" w:cs="Nirmala UI" w:eastAsia="Calibri"/>
          <w:b/>
          <w:bCs/>
          <w:color w:val="0B1C2C"/>
          <w:sz w:val="28"/>
          <w:szCs w:val="28"/>
        </w:rPr>
        <w:t xml:space="preserve">Documentation</w:t>
      </w:r>
      <w:bookmarkEnd w:id="100098"/>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README updated if setup or behavior changed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API docs (OpenAPI) updated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JSDoc on public methods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ADR referenced if architectural decision involved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Sequence diagram updated if flow changed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ERD updated if schema changed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Changelog updated</w:t>
      </w:r>
    </w:p>
    <w:p>
      <w:pPr>
        <w:pStyle w:val="Heading2"/>
        <w:spacing w:after="160" w:before="280" w:line="312"/>
      </w:pPr>
      <w:bookmarkStart w:id="100099" w:name="_Toc100099"/>
      <w:r>
        <w:rPr>
          <w:rFonts w:ascii="Calibri" w:cs="Nirmala UI" w:eastAsia="Calibri"/>
          <w:b/>
          <w:bCs/>
          <w:color w:val="0B1C2C"/>
          <w:sz w:val="28"/>
          <w:szCs w:val="28"/>
        </w:rPr>
        <w:t xml:space="preserve">CI/CD &amp; Review</w:t>
      </w:r>
      <w:bookmarkEnd w:id="10009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CI pipeline passes (build, lint, test, scan)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SonarQube quality gate passes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Snyk vulnerability scan passes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 description complete (what, why, how to test, rollback)</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 linked to Jira issue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2 reviewers approved (1 for trivial PRs)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Squash-merge into target branch</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 deleted after merge</w:t>
      </w:r>
    </w:p>
    <w:p>
      <w:r>
        <w:br w:type="page"/>
      </w:r>
    </w:p>
    <w:p>
      <w:pPr>
        <w:pStyle w:val="Heading1"/>
        <w:spacing w:after="200" w:before="360" w:line="312"/>
      </w:pPr>
      <w:bookmarkStart w:id="100100" w:name="_Toc100100"/>
      <w:r>
        <w:rPr>
          <w:rFonts w:ascii="Calibri" w:cs="Nirmala UI" w:eastAsia="Calibri"/>
          <w:b/>
          <w:bCs/>
          <w:color w:val="0B1C2C"/>
          <w:sz w:val="32"/>
          <w:szCs w:val="32"/>
        </w:rPr>
        <w:t xml:space="preserve">Appendix B: Static Analysis Rules</w:t>
      </w:r>
      <w:bookmarkEnd w:id="100100"/>
    </w:p>
    <w:p>
      <w:pPr>
        <w:spacing w:after="160" w:before="0" w:line="312"/>
        <w:jc w:val="both"/>
      </w:pPr>
      <w:r>
        <w:rPr>
          <w:rFonts w:ascii="Calibri" w:cs="Nirmala UI" w:eastAsia="Calibri"/>
          <w:color w:val="000000"/>
          <w:sz w:val="24"/>
          <w:szCs w:val="24"/>
        </w:rPr>
        <w:t xml:space="preserve">Static analysis is the automated enforcement of ENG-001 through ENG-010. These rules run on every commit and every PR; violations block merge. SonarQube is the system of record; ESLint and Snyk run in CI as additional gates.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2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Enforcement</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ESLint</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Zero errors, zero warnings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 fails on any error or warning</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TypeScript files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Prettier</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Formatting mandatory</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 runs `prettier --check`, fails on diff</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TS, JS, JSON, MD, YAML files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Quality Gate = PASS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 cannot merge if gate fails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repositories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 duplication &lt; 3%</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Per-file duplication limit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source files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Cyclomatic complexity ≤ 10 per method</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Per-method check</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methods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Cognitive complexity ≤ 15 per method</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Per-method check</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methods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Maintainability Rating = A</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Per-file rating</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source files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Reliability Rating = A</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Per-file rating</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source files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Rating = A</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Per-file rating</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source files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Coverage ≥ 90% on new code</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Per-PR delta coverage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Changed files only</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Critical or Blocker security issues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Hard block on merge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findings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Bug issues (Critical, Blocker, High)</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Hard block on merge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findings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Snyk Code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high/critical security findings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 cannot merge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TS files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Snyk Open Source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critical CVEs in dependencies</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 fails on critical CVE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package.json, package-lock.json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Trivy</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critical CVEs in Docker image</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 fails on critical CVE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Built Docker image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Gitleaks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secrets in commit history</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Pre-commit + CI</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commits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TruffleHog</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high-entropy secrets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Pre-commit + CI</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commits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License checker</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GPL/AGPL/copyleft licenses</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 fails on copyleft license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dependencies</w:t>
            </w:r>
          </w:p>
        </w:tc>
      </w:tr>
    </w:tbl>
    <w:p>
      <w:r>
        <w:br w:type="page"/>
      </w:r>
    </w:p>
    <w:p>
      <w:pPr>
        <w:pStyle w:val="Heading1"/>
        <w:spacing w:after="200" w:before="360" w:line="312"/>
      </w:pPr>
      <w:bookmarkStart w:id="100101" w:name="_Toc100101"/>
      <w:r>
        <w:rPr>
          <w:rFonts w:ascii="Calibri" w:cs="Nirmala UI" w:eastAsia="Calibri"/>
          <w:b/>
          <w:bCs/>
          <w:color w:val="0B1C2C"/>
          <w:sz w:val="32"/>
          <w:szCs w:val="32"/>
        </w:rPr>
        <w:t xml:space="preserve">Appendix C: Secure Development Lifecycle (SDL)</w:t>
      </w:r>
      <w:bookmarkEnd w:id="100101"/>
    </w:p>
    <w:p>
      <w:pPr>
        <w:spacing w:after="160" w:before="0" w:line="312"/>
        <w:jc w:val="both"/>
      </w:pPr>
      <w:r>
        <w:rPr>
          <w:rFonts w:ascii="Calibri" w:cs="Nirmala UI" w:eastAsia="Calibri"/>
          <w:color w:val="000000"/>
          <w:sz w:val="24"/>
          <w:szCs w:val="24"/>
        </w:rPr>
        <w:t xml:space="preserve">The SDL is the end-to-end process that ensures security is built into every PreOne feature, not bolted on after a breach. Every feature moves through these 9 stages; security sign-off at each gate is mandatory. Skipping a stage is a security incident in itself.</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Stage</w:t>
            </w:r>
          </w:p>
        </w:tc>
        <w:tc>
          <w:tcPr>
            <w:tcW w:type="pct" w:w="4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Activity</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Owner</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Output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Requirement</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Capture security requirements per feature: auth model, authz scopes, PII handling, audit needs, compliance (DPDP, POSH, GST). Threat model for high-risk features (payments, PII, admin actions).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 Security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requirements in Jira</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 Threat Modeling</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STRIDE analysis for new endpoints, integrations, data flows. Identify attack surface, trust boundaries, data classification. Document in ADR.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 Security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Threat model document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 Design Review</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review for new endpoints, schema changes, integrations. Security design review for PII/payments. Validate against DDD, ENG-001, ENG-004.</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 Security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 design in ADR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 Implementation</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Follow secure coding guidelines (ENG-002, ENG-004). Pair programming on security-sensitive code. Pre-commit hooks for secret scanning. Daily pulls from main to catch security fixes.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Engineer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 in PR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 Static Analysis (SAST)</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 + ESLint security rules on every PR. Snyk Code for data flow analysis. Critical findings block merge. Security hotspots reviewed by security team.</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 + Engineer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Clean SAST report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 Dependency Scan</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Snyk Open Source + npm audit on every build. Critical CVEs block deploy. High CVEs require architecture sign-off. License check for copyleft.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 + Security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Clean dependency report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 Unit Testing</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unit tests: auth, authz, input validation, output encoding, multi-tenant isolation. Mutation testing on security-critical modules.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Engineer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Passing security tests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 Integration Testing</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End-to-end auth flows. Multi-tenant isolation tests (user from tenant A cannot read tenant B data). Permission boundary tests (teacher cannot access other classroom).</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QA + Engineer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Passing integration tests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 Security Testing</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OWASP ZAP automated scan on staging. Manual pentest on high-risk features. Annual third-party pentest. Bug bounty for external researchers.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 External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sign-off</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 Release Approval</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sign-off on release notes. SOC2 change management workflow. Rollback plan documented. On-call briefed on new security-relevant changes.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 Release Manager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 release</w:t>
            </w:r>
          </w:p>
        </w:tc>
      </w:tr>
    </w:tbl>
    <w:p>
      <w:r>
        <w:br w:type="page"/>
      </w:r>
    </w:p>
    <w:p>
      <w:pPr>
        <w:pStyle w:val="Heading1"/>
        <w:spacing w:after="200" w:before="360" w:line="312"/>
      </w:pPr>
      <w:bookmarkStart w:id="100102" w:name="_Toc100102"/>
      <w:r>
        <w:rPr>
          <w:rFonts w:ascii="Calibri" w:cs="Nirmala UI" w:eastAsia="Calibri"/>
          <w:b/>
          <w:bCs/>
          <w:color w:val="0B1C2C"/>
          <w:sz w:val="32"/>
          <w:szCs w:val="32"/>
        </w:rPr>
        <w:t xml:space="preserve">Appendix D: Quality Gates</w:t>
      </w:r>
      <w:bookmarkEnd w:id="100102"/>
    </w:p>
    <w:p>
      <w:pPr>
        <w:spacing w:after="160" w:before="0" w:line="312"/>
        <w:jc w:val="both"/>
      </w:pPr>
      <w:r>
        <w:rPr>
          <w:rFonts w:ascii="Calibri" w:cs="Nirmala UI" w:eastAsia="Calibri"/>
          <w:color w:val="000000"/>
          <w:sz w:val="24"/>
          <w:szCs w:val="24"/>
        </w:rPr>
        <w:t xml:space="preserve">Quality gates are the automated and human checks that every PR and every release must pass. A failed gate blocks progression; no override, no exception, no 'I'll fix it tomorrow'. The gates below are derived from ENG-001 through ENG-010 and enforced by CI, SonarQube, and the PR approval workflow.</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Stage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Gate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Block Level</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Override</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Build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Compile success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tsc + nest build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Hard — CI fails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None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Zero errors, zero warnings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ESLint + Prettier + TypeScript strict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Hard — CI fails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None</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 Test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90% coverage on new code; 100% on critical modules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Jest + SonarQube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Hard — CI fails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approval (rare)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Test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tests pass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Jest + testcontainers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Hard — CI fails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None</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Static Analysis (SAST)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critical/blocker issues; security hotspots reviewed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 + Snyk Code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Hard — CI fails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team approval (with tracking issue)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Dependency Scan</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critical CVEs in dependencies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Snyk Open Source + npm audit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Hard — CI fails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 Security approval (with remediation date)</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Container Scan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critical CVEs in Docker image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Trivy + Grype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Hard — CI fails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approval (with remediation date)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Secret Scan</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secrets in commits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Gitleaks + TruffleHog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Hard — pre-commit + CI</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None — secrets must be rotated</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Review</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 approvals (1 for trivial PRs)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GitHub PR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Hard — merge blocked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None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Test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p95 latency &lt; 300ms (or feature-specific SLA)</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k6 on staging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 — release blocked, not PR</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approval for known slow features</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Documentation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README + OpenAPI + ADR updated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 PR template checklist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Soft — reviewer discretion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Reviewer judgment</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Release Approval</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QA sign-off + release manager approval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Jira release workflow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Hard — deploy blocked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VP Engineering approval (emergency only)</w:t>
            </w:r>
          </w:p>
        </w:tc>
      </w:tr>
    </w:tbl>
    <w:p>
      <w:r>
        <w:br w:type="page"/>
      </w:r>
    </w:p>
    <w:p>
      <w:pPr>
        <w:pStyle w:val="Heading1"/>
        <w:spacing w:after="200" w:before="360" w:line="312"/>
      </w:pPr>
      <w:bookmarkStart w:id="100103" w:name="_Toc100103"/>
      <w:r>
        <w:rPr>
          <w:rFonts w:ascii="Calibri" w:cs="Nirmala UI" w:eastAsia="Calibri"/>
          <w:b/>
          <w:bCs/>
          <w:color w:val="0B1C2C"/>
          <w:sz w:val="32"/>
          <w:szCs w:val="32"/>
        </w:rPr>
        <w:t xml:space="preserve">Appendix E: Glossary</w:t>
      </w:r>
      <w:bookmarkEnd w:id="100103"/>
    </w:p>
    <w:p>
      <w:pPr>
        <w:spacing w:after="160" w:before="0" w:line="312"/>
        <w:jc w:val="both"/>
      </w:pPr>
      <w:r>
        <w:rPr>
          <w:rFonts w:ascii="Calibri" w:cs="Nirmala UI" w:eastAsia="Calibri"/>
          <w:color w:val="000000"/>
          <w:sz w:val="24"/>
          <w:szCs w:val="24"/>
        </w:rPr>
        <w:t xml:space="preserve">Terminology used throughout the Engineering Standards series. Definitions are PreOne-specific; where industry definitions differ, the PreOne definition takes precedence within this document set.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Term</w:t>
            </w:r>
          </w:p>
        </w:tc>
        <w:tc>
          <w:tcPr>
            <w:tcW w:type="pct" w:w="8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Definition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ACL</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Anti-Corruption Layer — pattern that isolates a bounded context from external systems by translating their schemas into local domain models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ADR</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Decision Record — immutable document capturing architectural decisions, context, consequences, and alternatives considered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Cluster of domain objects treated as a single unit for data consistency. Has one root entity; external references go to root only.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 Root</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The single entry point to an aggregate. Only the root is loaded/saved by the repository; internal entities accessed through it.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Argon2</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Modern password hashing algorithm (winner of Password Hashing Competition 2015). Used in PreOne for password storage.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Bounded Context</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Explicit boundary within which a ubiquitous language and domain model apply. Different contexts may use the same term differently.</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BRC</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Rules Catalog — PreOne document cataloging 176 business rules across 12 categories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Canary Deploy</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Deployment strategy that rolls out new version to a small percentage of traffic first, monitoring for issues before full rollout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CSP</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Content Security Policy — HTTP header that restricts which scripts/styles/resources the browser will execute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DDD</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Domain-Driven Design — methodology for software development centered on a domain model shared by experts and engineers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DLQ</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Dead Letter Queue — queue where messages that cannot be processed are sent for inspection and reprocessing</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DPDP</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Digital Personal Data Protection Act 2023 — India's data protection law governing PII handling</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DTO</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Transfer Object — object carrying data across process boundaries (e.g., HTTP request body to service layer)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E2E Test</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End-to-End Test — test exercising the full system from user action through all layers, including UI/DB/external APIs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EKS</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Elastic Kubernetes Service — AWS-managed Kubernetes cluster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ESLint</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Linter for JavaScript/TypeScript enforcing code quality and style rules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FIFO</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First In First Out — inventory valuation method where oldest stock is consumed first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GIN Index</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Generalized Inverted Index — PostgreSQL index type for full-text search and array/collection containment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Goods Receipt Note — acknowledgment of stock received against a purchase order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Goods and Services Tax — Indian indirect tax system</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HSTS</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HTTP Strict Transport Security — header forcing browsers to use HTTPS for a domain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Idempotency Key</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Client-provided identifier allowing safe retry of POST/PATCH without duplicate side effects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JWT</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 Web Token — compact, signed token carrying claims between parties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KISS</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Keep It Simple, Stupid — principle favoring simplest correct solution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LCP</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Largest Contentful Paint — Core Web Vital measuring perceived load speed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MFA</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Multi-Factor Authentication — requiring two or more independent factors for login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mTLS</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Mutual TLS — both client and server present certificates for mutual authentication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N+1 Query</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Anti-pattern where one query loads N records and N additional queries load related data; solved by eager loading</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OTLP</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OpenTelemetry Protocol — standard format for exporting traces, metrics, and logs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OWASP</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 Web Application Security Project — nonprofit publishing the OWASP Top 10 security risks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P95</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95th percentile — 95% of requests complete within this duration; 5% are slower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PII</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Personally Identifiable Information — data that can identify a specific individual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POSH</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Prevention of Sexual Harassment — Indian law (2013) requiring workplace compliance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Prisma</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TypeScript ORM used by PreOne for PostgreSQL access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RBAC</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Role-Based Access Control — model where permissions attach to roles, roles attach to users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RDBMS</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Relational Database Management System — database using tables, rows, and relations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 Metrics</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Rate, Errors, Duration — three key metrics for monitoring services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Repository Pattern</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Pattern isolating domain layer from persistence concerns via an interface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SAST</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Static Application Security Testing — analyzing source code for security vulnerabilities without running it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SDL</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Secure Development Lifecycle — process embedding security into every stage of software development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SLA</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 Level Agreement — contract specifying availability/performance guarantees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SLO</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 Level Objective — internal target for service reliability (e.g., 99.9% uptime)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SonarQube</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for continuous inspection of code quality and security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Snyk</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platform for dependency vulnerability scanning and code analysis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STRIDE</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Threat modeling framework: Spoofing, Tampering, Repudiation, Information Disclosure, Denial of Service, Elevation of Privilege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TLS</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Layer Security — cryptographic protocol encrypting network traffic</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TOTP</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Time-based One-Time Password — algorithm generating short-lived numeric codes for MFA</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 Metrics</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Utilization, Saturation, Errors — three key metrics for monitoring resources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Universally Unique Identifier — 128-bit identifier with negligible collision risk</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Value Object</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Immutable domain object identified by its values rather than an identity (e.g., Money, Address)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Vault</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HashiCorp Vault — secret management tool for storing and rotating credentials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Webhook</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HTTP callback triggered by an event; PreOne calls customer-configured URLs on events like AdmissionApproved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ZAP</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OWASP Zed Attack Proxy — free security scanner for finding vulnerabilities in web apps</w:t>
            </w:r>
          </w:p>
        </w:tc>
      </w:tr>
    </w:tbl>
    <w:p>
      <w:r>
        <w:br w:type="page"/>
      </w:r>
    </w:p>
    <w:p>
      <w:pPr>
        <w:pStyle w:val="Heading1"/>
        <w:spacing w:after="200" w:before="360" w:line="312"/>
      </w:pPr>
      <w:bookmarkStart w:id="100104" w:name="_Toc100104"/>
      <w:r>
        <w:rPr>
          <w:rFonts w:ascii="Calibri" w:cs="Nirmala UI" w:eastAsia="Calibri"/>
          <w:b/>
          <w:bCs/>
          <w:color w:val="0B1C2C"/>
          <w:sz w:val="32"/>
          <w:szCs w:val="32"/>
        </w:rPr>
        <w:t xml:space="preserve">Document Control &amp; Sign-off</w:t>
      </w:r>
      <w:bookmarkEnd w:id="100104"/>
    </w:p>
    <w:p>
      <w:pPr>
        <w:spacing w:after="160" w:before="0" w:line="312"/>
        <w:jc w:val="both"/>
      </w:pPr>
      <w:r>
        <w:rPr>
          <w:rFonts w:ascii="Calibri" w:cs="Nirmala UI" w:eastAsia="Calibri"/>
          <w:color w:val="000000"/>
          <w:sz w:val="24"/>
          <w:szCs w:val="24"/>
        </w:rPr>
        <w:t xml:space="preserve">This Engineering Standards document is the authoritative reference for all engineering work at PreOne. Compliance is mandatory for all engineers, contractors, and AI-assisted workflows. Deviations require architecture approval and ADR documentation.</w:t>
      </w:r>
    </w:p>
    <w:p>
      <w:pPr>
        <w:pStyle w:val="Heading2"/>
        <w:spacing w:after="160" w:before="280" w:line="312"/>
      </w:pPr>
      <w:bookmarkStart w:id="100105" w:name="_Toc100105"/>
      <w:r>
        <w:rPr>
          <w:rFonts w:ascii="Calibri" w:cs="Nirmala UI" w:eastAsia="Calibri"/>
          <w:b/>
          <w:bCs/>
          <w:color w:val="0B1C2C"/>
          <w:sz w:val="28"/>
          <w:szCs w:val="28"/>
        </w:rPr>
        <w:t xml:space="preserve">Approval Matrix</w:t>
      </w:r>
      <w:bookmarkEnd w:id="10010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Name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VP Engineering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Council</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Final authority on engineering standards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2026-07-13</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Chief Security Officer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Council</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standards sign-off (ENG-004, Appendix C)</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2026-07-13</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Head of Architecture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Council</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standards sign-off (ENG-001, ENG-003)</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2026-07-13</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Head of DevOps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DevOps Council</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CI/CD + monitoring standards sign-off (ENG-008, ENG-009)</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2026-07-13</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Head of QA</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QA Council</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Testing standards sign-off (ENG-006)</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2026-07-13</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Head of Product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Council</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alignment confirmation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2026-07-13</w:t>
            </w:r>
          </w:p>
        </w:tc>
      </w:tr>
    </w:tbl>
    <w:p>
      <w:pPr>
        <w:pStyle w:val="Heading2"/>
        <w:spacing w:after="160" w:before="280" w:line="312"/>
      </w:pPr>
      <w:bookmarkStart w:id="100106" w:name="_Toc100106"/>
      <w:r>
        <w:rPr>
          <w:rFonts w:ascii="Calibri" w:cs="Nirmala UI" w:eastAsia="Calibri"/>
          <w:b/>
          <w:bCs/>
          <w:color w:val="0B1C2C"/>
          <w:sz w:val="28"/>
          <w:szCs w:val="28"/>
        </w:rPr>
        <w:t xml:space="preserve">Revision History</w:t>
      </w:r>
      <w:bookmarkEnd w:id="10010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Date</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Author</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Changes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2026-07-13</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&amp; Engineering Team</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Initial release. Engineering Freeze status. 10 sub-standards (ENG-001 to ENG-010) + 5 appendices.</w:t>
            </w:r>
          </w:p>
        </w:tc>
      </w:tr>
    </w:tbl>
    <w:p>
      <w:pPr>
        <w:pStyle w:val="Heading2"/>
        <w:spacing w:after="160" w:before="280" w:line="312"/>
      </w:pPr>
      <w:bookmarkStart w:id="100107" w:name="_Toc100107"/>
      <w:r>
        <w:rPr>
          <w:rFonts w:ascii="Calibri" w:cs="Nirmala UI" w:eastAsia="Calibri"/>
          <w:b/>
          <w:bCs/>
          <w:color w:val="0B1C2C"/>
          <w:sz w:val="28"/>
          <w:szCs w:val="28"/>
        </w:rPr>
        <w:t xml:space="preserve">Document Control</w:t>
      </w:r>
      <w:bookmarkEnd w:id="100107"/>
    </w:p>
    <w:p>
      <w:pPr>
        <w:spacing w:after="160" w:before="0" w:line="312"/>
        <w:jc w:val="both"/>
      </w:pPr>
      <w:r>
        <w:rPr>
          <w:rFonts w:ascii="Calibri" w:cs="Nirmala UI" w:eastAsia="Calibri"/>
          <w:color w:val="000000"/>
          <w:sz w:val="24"/>
          <w:szCs w:val="24"/>
        </w:rPr>
        <w:t xml:space="preserve">This document is maintained by the PreOne Architecture &amp; Engineering Team. Changes require architecture council approval and a new revision history entry. The document is reviewed quarterly and updated as engineering practices evolve. The current version is always available in the PreOne engineering wiki. Questions, suggestions, and deviation requests should be directed to the architecture council via the engineering Slack channel.</w:t>
      </w:r>
    </w:p>
    <w:p>
      <w:pPr>
        <w:spacing w:after="160" w:before="0" w:line="312"/>
        <w:jc w:val="both"/>
      </w:pPr>
      <w:r>
        <w:rPr>
          <w:rFonts w:ascii="Calibri" w:cs="Nirmala UI" w:eastAsia="Calibri"/>
          <w:color w:val="000000"/>
          <w:sz w:val="24"/>
          <w:szCs w:val="24"/>
        </w:rPr>
        <w:t xml:space="preserve">Distribution: All PreOne engineers, contractors, and engineering managers. Classification: Internal Engineering Reference — not for external distribution without VP Engineering approval. The document is stored in the engineering wiki (single source of truth) and mirrored to the monorepo /docs/ folder for version control. The wiki version is authoritative when the two diverge.</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eastAsia="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spacing w:after="0" w:line="240"/>
      <w:jc w:val="right"/>
    </w:pPr>
    <w:r>
      <w:rPr>
        <w:rFonts w:ascii="Calibri" w:cs="Nirmala UI" w:eastAsia="Calibri"/>
        <w:i/>
        <w:iCs/>
        <w:color w:val="5B6B7D"/>
        <w:sz w:val="18"/>
        <w:szCs w:val="18"/>
      </w:rPr>
      <w:t xml:space="preserve">PreOne Engineering Standards v1.0  |  Engineering Freeze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cs="Nirmala UI" w:eastAsia="Calibri"/>
      <w:b/>
      <w:bCs/>
      <w:color w:val="0B1C2C"/>
      <w:sz w:val="32"/>
      <w:szCs w:val="32"/>
    </w:rPr>
  </w:style>
  <w:style w:type="paragraph" w:styleId="Heading2">
    <w:name w:val="Heading 2"/>
    <w:basedOn w:val="Normal"/>
    <w:next w:val="Normal"/>
    <w:qFormat/>
    <w:pPr>
      <w:spacing w:after="160" w:before="280" w:line="312"/>
      <w:outlineLvl w:val="1"/>
    </w:pPr>
    <w:rPr>
      <w:rFonts w:ascii="Calibri" w:cs="Nirmala UI" w:eastAsia="Calibri"/>
      <w:b/>
      <w:bCs/>
      <w:color w:val="0B1C2C"/>
      <w:sz w:val="28"/>
      <w:szCs w:val="28"/>
    </w:rPr>
  </w:style>
  <w:style w:type="paragraph" w:styleId="Heading3">
    <w:name w:val="Heading 3"/>
    <w:basedOn w:val="Normal"/>
    <w:next w:val="Normal"/>
    <w:qFormat/>
    <w:pPr>
      <w:spacing w:after="120" w:before="220" w:line="312"/>
      <w:outlineLvl w:val="2"/>
    </w:pPr>
    <w:rPr>
      <w:rFonts w:ascii="Calibri" w:cs="Nirmala UI" w:eastAsia="Calibri"/>
      <w:b/>
      <w:bCs/>
      <w:color w:val="529286"/>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Engineering Standards v1.0</dc:title>
  <dc:creator>Z.ai</dc:creator>
  <dc:description>Enterprise Preschool Operating System — Engineering Standards v1.0</dc:description>
  <cp:lastModifiedBy>Un-named</cp:lastModifiedBy>
  <cp:revision>1</cp:revision>
  <dcterms:created xsi:type="dcterms:W3CDTF">2026-07-13T06:05:04.559Z</dcterms:created>
  <dcterms:modified xsi:type="dcterms:W3CDTF">2026-07-13T06:05:04.560Z</dcterms:modified>
</cp:coreProperties>
</file>

<file path=docProps/custom.xml><?xml version="1.0" encoding="utf-8"?>
<Properties xmlns="http://schemas.openxmlformats.org/officeDocument/2006/custom-properties" xmlns:vt="http://schemas.openxmlformats.org/officeDocument/2006/docPropsVTypes"/>
</file>