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F172A" w:val="clear"/>
          </w:tcPr>
          <w:p>
            <w:pPr>
              <w:spacing w:before="2400"/>
            </w:pPr>
          </w:p>
          <w:p>
            <w:pPr>
              <w:pBdr>
                <w:bottom w:val="single" w:color="818CF8" w:sz="6" w:space="8"/>
              </w:pBdr>
              <w:spacing w:after="500"/>
              <w:ind w:left="1200" w:right="800"/>
            </w:pPr>
            <w:r>
              <w:rPr>
                <w:rFonts w:ascii="Inter" w:eastAsia="Inter"/>
                <w:color w:val="818CF8"/>
                <w:spacing w:val="60"/>
                <w:sz w:val="18"/>
                <w:szCs w:val="18"/>
              </w:rPr>
              <w:t xml:space="preserve">ENTERPRISE DOCUMENTATION SERIES   -   PHASE 5 OF 10</w:t>
            </w:r>
          </w:p>
          <w:p>
            <w:pPr>
              <w:spacing w:after="100" w:line="874" w:lineRule="atLeast"/>
              <w:ind w:left="1200"/>
            </w:pPr>
            <w:r>
              <w:rPr>
                <w:rFonts w:ascii="Inter" w:eastAsia="Inter"/>
                <w:b/>
                <w:bCs/>
                <w:color w:val="FFFFFF"/>
                <w:sz w:val="76"/>
                <w:szCs w:val="76"/>
              </w:rPr>
              <w:t xml:space="preserve">PreOne Architecture</w:t>
            </w:r>
          </w:p>
          <w:p>
            <w:pPr>
              <w:spacing w:after="240" w:line="874" w:lineRule="atLeast"/>
              <w:ind w:left="1200"/>
            </w:pPr>
            <w:r>
              <w:rPr>
                <w:rFonts w:ascii="Inter" w:eastAsia="Inter"/>
                <w:b/>
                <w:bCs/>
                <w:color w:val="FFFFFF"/>
                <w:sz w:val="76"/>
                <w:szCs w:val="76"/>
              </w:rPr>
              <w:t xml:space="preserve">Decision Records</w:t>
            </w:r>
          </w:p>
          <w:p>
            <w:pPr>
              <w:spacing w:after="320" w:line="320"/>
              <w:ind w:left="1200"/>
            </w:pPr>
            <w:r>
              <w:rPr>
                <w:rFonts w:ascii="Inter" w:eastAsia="Inter"/>
                <w:b/>
                <w:bCs/>
                <w:color w:val="C7D2FE"/>
                <w:sz w:val="30"/>
                <w:szCs w:val="30"/>
              </w:rPr>
              <w:t xml:space="preserve">Phase 5  -  Volume 4: Security Architecture</w:t>
            </w:r>
          </w:p>
          <w:p>
            <w:pPr>
              <w:spacing w:after="700" w:line="280"/>
              <w:ind w:left="1200" w:right="800"/>
            </w:pPr>
            <w:r>
              <w:rPr>
                <w:rFonts w:ascii="Inter" w:eastAsia="Inter"/>
                <w:i/>
                <w:iCs/>
                <w:color w:val="94A3B8"/>
                <w:sz w:val="22"/>
                <w:szCs w:val="22"/>
              </w:rPr>
              <w:t xml:space="preserve">ADR-061 to ADR-090  -  30 decisions  -  34-section v3.0 template  -  Identity, Auth, Authz, RBAC, MFA, Encryption, WAF, DDoS, Audit, Compliance, DLP, Incident Response</w:t>
            </w:r>
          </w:p>
          <w:p>
            <w:pPr>
              <w:pBdr>
                <w:left w:val="single" w:color="818CF8" w:sz="8" w:space="12"/>
              </w:pBdr>
              <w:spacing w:after="80" w:line="280"/>
              <w:ind w:left="1400"/>
            </w:pPr>
            <w:r>
              <w:rPr>
                <w:rFonts w:ascii="Inter" w:eastAsia="Inter"/>
                <w:color w:val="94A3B8"/>
                <w:sz w:val="22"/>
                <w:szCs w:val="22"/>
              </w:rPr>
              <w:t xml:space="preserve">Document Version: 3.0 (Volume 4 release)</w:t>
            </w:r>
          </w:p>
          <w:p>
            <w:pPr>
              <w:pBdr>
                <w:left w:val="single" w:color="818CF8" w:sz="8" w:space="12"/>
              </w:pBdr>
              <w:spacing w:after="80" w:line="280"/>
              <w:ind w:left="1400"/>
            </w:pPr>
            <w:r>
              <w:rPr>
                <w:rFonts w:ascii="Inter" w:eastAsia="Inter"/>
                <w:color w:val="94A3B8"/>
                <w:sz w:val="22"/>
                <w:szCs w:val="22"/>
              </w:rPr>
              <w:t xml:space="preserve">Status: Architecture Freeze</w:t>
            </w:r>
          </w:p>
          <w:p>
            <w:pPr>
              <w:pBdr>
                <w:left w:val="single" w:color="818CF8" w:sz="8" w:space="12"/>
              </w:pBdr>
              <w:spacing w:after="80" w:line="280"/>
              <w:ind w:left="1400"/>
            </w:pPr>
            <w:r>
              <w:rPr>
                <w:rFonts w:ascii="Inter" w:eastAsia="Inter"/>
                <w:color w:val="94A3B8"/>
                <w:sz w:val="22"/>
                <w:szCs w:val="22"/>
              </w:rPr>
              <w:t xml:space="preserve">Classification: Internal Engineering Reference</w:t>
            </w:r>
          </w:p>
          <w:p>
            <w:pPr>
              <w:pBdr>
                <w:left w:val="single" w:color="818CF8" w:sz="8" w:space="12"/>
              </w:pBdr>
              <w:spacing w:after="80" w:line="280"/>
              <w:ind w:left="1400"/>
            </w:pPr>
            <w:r>
              <w:rPr>
                <w:rFonts w:ascii="Inter" w:eastAsia="Inter"/>
                <w:color w:val="94A3B8"/>
                <w:sz w:val="22"/>
                <w:szCs w:val="22"/>
              </w:rPr>
              <w:t xml:space="preserve">Effective Date: 23 August 2026</w:t>
            </w:r>
          </w:p>
          <w:p>
            <w:pPr>
              <w:pBdr>
                <w:left w:val="single" w:color="818CF8" w:sz="8" w:space="12"/>
              </w:pBdr>
              <w:spacing w:after="80" w:line="280"/>
              <w:ind w:left="1400"/>
            </w:pPr>
            <w:r>
              <w:rPr>
                <w:rFonts w:ascii="Inter" w:eastAsia="Inter"/>
                <w:color w:val="94A3B8"/>
                <w:sz w:val="22"/>
                <w:szCs w:val="22"/>
              </w:rPr>
              <w:t xml:space="preserve">Volume Owner: Security Engineering Lead</w:t>
            </w:r>
          </w:p>
          <w:p>
            <w:pPr>
              <w:pBdr>
                <w:left w:val="single" w:color="818CF8" w:sz="8" w:space="12"/>
              </w:pBdr>
              <w:spacing w:after="80" w:line="280"/>
              <w:ind w:left="1400"/>
            </w:pPr>
            <w:r>
              <w:rPr>
                <w:rFonts w:ascii="Inter" w:eastAsia="Inter"/>
                <w:color w:val="94A3B8"/>
                <w:sz w:val="22"/>
                <w:szCs w:val="22"/>
              </w:rPr>
              <w:t xml:space="preserve">Approval Authority: Architecture Review Board</w:t>
            </w:r>
          </w:p>
          <w:p>
            <w:pPr>
              <w:spacing w:before="1800"/>
            </w:pPr>
          </w:p>
          <w:p>
            <w:pPr>
              <w:pBdr>
                <w:top w:val="single" w:color="818CF8" w:sz="2" w:space="8"/>
              </w:pBdr>
              <w:spacing w:before="200"/>
              <w:ind w:left="1200" w:right="800"/>
            </w:pPr>
            <w:r>
              <w:rPr>
                <w:rFonts w:ascii="Inter" w:eastAsia="Inter"/>
                <w:color w:val="64748B"/>
                <w:sz w:val="16"/>
                <w:szCs w:val="16"/>
              </w:rPr>
              <w:t xml:space="preserve">PreOne Platform  -  Enterprise Architecture Governance</w:t>
            </w:r>
            <w:r>
              <w:t xml:space="preserve">                                              </w:t>
            </w:r>
            <w:r>
              <w:rPr>
                <w:rFonts w:ascii="Inter" w:eastAsia="Inter"/>
                <w:color w:val="64748B"/>
                <w:sz w:val="16"/>
                <w:szCs w:val="16"/>
              </w:rPr>
              <w:t xml:space="preserve">Phase 5 / 10  -  August 2026</w:t>
            </w:r>
          </w:p>
        </w:tc>
      </w:tr>
    </w:tbl>
    <w:p>
      <w:pPr>
        <w:sectPr>
          <w:pgSz w:w="11906" w:h="16838" w:orient="portrait"/>
          <w:pgMar w:top="0" w:right="0" w:bottom="0" w:left="0" w:header="708" w:footer="708" w:gutter="0"/>
          <w:pgNumType/>
          <w:docGrid w:linePitch="360"/>
        </w:sectPr>
      </w:pPr>
    </w:p>
    <w:p>
      <w:pPr>
        <w:pStyle w:val="Heading1"/>
        <w:spacing w:after="200" w:before="240" w:line="312"/>
      </w:pPr>
      <w:r>
        <w:rPr>
          <w:rFonts w:ascii="Inter" w:eastAsia="Inter"/>
          <w:b/>
          <w:bCs/>
          <w:color w:val="0F172A"/>
          <w:sz w:val="36"/>
          <w:szCs w:val="36"/>
        </w:rPr>
        <w:t xml:space="preserve">Table of Contents</w:t>
      </w:r>
    </w:p>
    <w:p>
      <w:pPr>
        <w:pBdr>
          <w:bottom w:val="single" w:color="4F46E5" w:sz="12"/>
        </w:pBdr>
        <w:spacing w:after="240" w:line="280"/>
      </w:pPr>
      <w:r>
        <w:rPr>
          <w:rFonts w:ascii="Inter" w:eastAsia="Inter"/>
          <w:i/>
          <w:iCs/>
          <w:color w:val="64748B"/>
          <w:sz w:val="22"/>
          <w:szCs w:val="22"/>
        </w:rPr>
        <w:t xml:space="preserve">Phase 5 deliverable  -  Volume 4: Security Architecture  -  30 ADRs</w:t>
      </w:r>
    </w:p>
    <w:sdt>
      <w:sdtPr>
        <w:alias w:val="Table of Contents"/>
      </w:sdtPr>
      <w:sdtContent>
        <w:p>
          <w:r>
            <w:fldChar w:fldCharType="begin" w:dirty="true"/>
            <w:instrText xml:space="preserve">TOC \h \o "1-2"</w:instrText>
            <w:fldChar w:fldCharType="separate"/>
          </w:r>
        </w:p>
        <w:p>
          <w:r>
            <w:fldChar w:fldCharType="end"/>
          </w:r>
        </w:p>
      </w:sdtContent>
    </w:sdt>
    <w:p>
      <w:pPr>
        <w:spacing w:before="200" w:line="280"/>
      </w:pPr>
      <w:r>
        <w:rPr>
          <w:rFonts w:ascii="Inter" w:eastAsia="Inter"/>
          <w:i/>
          <w:iCs/>
          <w:color w:val="64748B"/>
          <w:sz w:val="18"/>
          <w:szCs w:val="18"/>
        </w:rPr>
        <w:t xml:space="preserve">Note: This Table of Contents is generated via field codes. To ensure page-number accuracy after editing, right-click the TOC and select "Update Field."</w:t>
      </w:r>
    </w:p>
    <w:p>
      <w:r>
        <w:br w:type="page"/>
      </w:r>
    </w:p>
    <w:p>
      <w:pPr>
        <w:sectPr>
          <w:headerReference w:type="default" r:id="rId7"/>
          <w:footerReference w:type="default" r:id="rId8"/>
          <w:type w:val="nextPage"/>
          <w:pgSz w:w="11906" w:h="16838" w:orient="portrait"/>
          <w:pgMar w:top="1440" w:right="1417" w:bottom="1440" w:left="1701" w:header="708" w:footer="708" w:gutter="0"/>
          <w:pgNumType w:start="1" w:fmt="lowerRoman"/>
          <w:docGrid w:linePitch="360"/>
        </w:sectPr>
      </w:pPr>
    </w:p>
    <w:p>
      <w:pPr>
        <w:pStyle w:val="Heading1"/>
        <w:spacing w:after="240" w:before="240" w:line="312"/>
      </w:pPr>
      <w:r>
        <w:rPr>
          <w:rFonts w:ascii="Inter" w:eastAsia="Inter"/>
          <w:b/>
          <w:bCs/>
          <w:color w:val="0F172A"/>
          <w:sz w:val="36"/>
          <w:szCs w:val="36"/>
        </w:rPr>
        <w:t xml:space="preserve">Document Control</w:t>
      </w:r>
    </w:p>
    <w:p>
      <w:pPr>
        <w:spacing w:after="120" w:line="312"/>
        <w:jc w:val="both"/>
      </w:pPr>
      <w:r>
        <w:rPr>
          <w:rFonts w:ascii="Inter" w:eastAsia="Inter"/>
          <w:color w:val="1E293B"/>
          <w:sz w:val="22"/>
          <w:szCs w:val="22"/>
        </w:rPr>
        <w:t xml:space="preserve">This Phase 5 deliverable of the PreOne Enterprise ADR Series presents Volume 4 — Security Architecture. It contains 30 Architecture Decision Records (ADR-061 to ADR-090) that define the identity model, authentication and authorization, RBAC and bundles, MFA and device binding, session and token management, password policy, API security, encryption and secrets management, PII protection, rate limiting and security headers, CSRF defense, vulnerability management, web application firewall, DDoS protection, audit trail, penetration testing program, compliance framework, data loss prevention, and incident response on which all security controls are built. Every ADR in this volume follows the 34-section v3.0 template defined in Phase 1 (ADR-000). Each ADR includes four ASCII diagrams (architecture, sequence, component, data flow) and is linked to upstream DDD/PRD documents and downstream ERD/API/UI/Test artefacts per the cross-reference framework established in Phase 1.</w:t>
      </w:r>
    </w:p>
    <w:p>
      <w:pPr>
        <w:spacing w:after="120" w:line="312"/>
        <w:jc w:val="both"/>
      </w:pPr>
      <w:r>
        <w:rPr>
          <w:rFonts w:ascii="Inter" w:eastAsia="Inter"/>
          <w:color w:val="1E293B"/>
          <w:sz w:val="22"/>
          <w:szCs w:val="22"/>
        </w:rPr>
        <w:t xml:space="preserve">Volume 4 builds directly on Volume 1 (Architecture Foundation, delivered in Phase 2), Volume 2 (Domain Architecture, delivered in Phase 3), and Volume 3 (Data Architecture, delivered in Phase 4). ADR-061 (Identity Model) establishes the principal, role, and credential entities that underpin all authentication and authorization. ADR-062 through ADR-066 define authentication, authorization, RBAC, the assignment model, and the bundle strategy that composes permissions into role-grantable units. ADR-067 through ADR-069 define the effective permission resolver, the permission cache, and cache invalidation. ADR-070 through ADR-075 cover JWT and refresh-token policy, MFA, device binding, session management, and password policy. ADR-076 through ADR-082 address API security, encryption, secrets management, PII protection, rate limiting, security headers, and CSRF defense. ADR-083 through ADR-090 close the volume with the defense-in-depth and governance ADRs: vulnerability management, web application firewall, DDoS protection, audit trail, penetration testing program, compliance framework, data loss prevention, and incident response. Together, these 30 ADRs form the security-architecture playbook of the PreOne platform.</w:t>
      </w:r>
    </w:p>
    <w:p>
      <w:pPr>
        <w:spacing w:after="80" w:before="280" w:line="280"/>
      </w:pPr>
      <w:r>
        <w:rPr>
          <w:rFonts w:ascii="Inter" w:eastAsia="Inter"/>
          <w:b/>
          <w:bCs/>
          <w:color w:val="4F46E5"/>
          <w:spacing w:val="50"/>
          <w:sz w:val="18"/>
          <w:szCs w:val="18"/>
        </w:rPr>
        <w:t xml:space="preserve">VERSION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Version</w:t>
            </w:r>
          </w:p>
        </w:tc>
        <w:tc>
          <w:tcPr>
            <w:tcW w:type="pct" w:w="1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2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Author</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Summary of Changes</w:t>
            </w:r>
          </w:p>
        </w:tc>
      </w:tr>
      <w:tr>
        <w:trPr>
          <w:cantSplit/>
        </w:trPr>
        <w:tc>
          <w:tcPr>
            <w:tcW w:type="pct" w:w="1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1.0</w:t>
            </w:r>
          </w:p>
        </w:tc>
        <w:tc>
          <w:tcPr>
            <w:tcW w:type="pct" w:w="1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2025-11-15</w:t>
            </w:r>
          </w:p>
        </w:tc>
        <w:tc>
          <w:tcPr>
            <w:tcW w:type="pct" w:w="2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Office of the Chief Architect</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release of Volume 4 with 22 ADRs (ADR-061 to ADR-082) using the 26-section v2.0 template.</w:t>
            </w:r>
          </w:p>
        </w:tc>
      </w:tr>
      <w:tr>
        <w:trPr>
          <w:cantSplit/>
        </w:trPr>
        <w:tc>
          <w:tcPr>
            <w:tcW w:type="pct" w:w="1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w:t>
            </w:r>
          </w:p>
        </w:tc>
        <w:tc>
          <w:tcPr>
            <w:tcW w:type="pct" w:w="1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2026-01-15</w:t>
            </w:r>
          </w:p>
        </w:tc>
        <w:tc>
          <w:tcPr>
            <w:tcW w:type="pct" w:w="2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Security Engineering Lead</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Extended Volume 4 with 8 additional ADRs (ADR-083 to ADR-090) covering vulnerability management, WAF, DDoS, audit trail, penetration testing, compliance, DLP, and incident response.</w:t>
            </w:r>
          </w:p>
        </w:tc>
      </w:tr>
      <w:tr>
        <w:trPr>
          <w:cantSplit/>
        </w:trPr>
        <w:tc>
          <w:tcPr>
            <w:tcW w:type="pct" w:w="1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3.0</w:t>
            </w:r>
          </w:p>
        </w:tc>
        <w:tc>
          <w:tcPr>
            <w:tcW w:type="pct" w:w="1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2026-08-23</w:t>
            </w:r>
          </w:p>
        </w:tc>
        <w:tc>
          <w:tcPr>
            <w:tcW w:type="pct" w:w="2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Security Engineering Lead</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Phase 5 release. All 30 ADRs refreshed to the 34-section v3.0 template (added Component Diagram, Data Flow Diagram, UI Impact, Decision History, Implementation Checklist). Cross-references to Volume 1-3 ADRs and downstream ERD/API/TC artefacts added per the Phase 1 framework.</w:t>
            </w:r>
          </w:p>
        </w:tc>
      </w:tr>
    </w:tbl>
    <w:p>
      <w:pPr>
        <w:spacing w:before="160"/>
      </w:pPr>
    </w:p>
    <w:p>
      <w:pPr>
        <w:spacing w:after="80" w:before="280" w:line="280"/>
      </w:pPr>
      <w:r>
        <w:rPr>
          <w:rFonts w:ascii="Inter" w:eastAsia="Inter"/>
          <w:b/>
          <w:bCs/>
          <w:color w:val="4F46E5"/>
          <w:spacing w:val="50"/>
          <w:sz w:val="18"/>
          <w:szCs w:val="18"/>
        </w:rPr>
        <w:t xml:space="preserve">OWNERSHIP &amp; CLASSIFICATION</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Document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Security Engineering Lead (Volume 4 Security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Approval Authority</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Architecture Review Board (ARB)</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Classification</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Internal — Architecture Governance</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Distribution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Engineering, QA, DevOps, Product, Security, Compliance, Architecture</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Annual editorial review; ADR-level review on trigger (incident, regulation, vendor change)</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Retention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Permanent — superseded ADRs retained for traceability</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Format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DOCX (master) / PDF (distribution) / Markdown (working copy)</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Storage Location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PreOne Architecture Repository / governance/adr/volume-4/</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Series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PreOne Enterprise Documentation Series — Phase 5 of 10</w:t>
            </w:r>
          </w:p>
        </w:tc>
      </w:tr>
    </w:tbl>
    <w:p>
      <w:pPr>
        <w:spacing w:before="160"/>
      </w:pPr>
    </w:p>
    <w:p>
      <w:pPr>
        <w:spacing w:after="80" w:before="280" w:line="280"/>
      </w:pPr>
      <w:r>
        <w:rPr>
          <w:rFonts w:ascii="Inter" w:eastAsia="Inter"/>
          <w:b/>
          <w:bCs/>
          <w:color w:val="4F46E5"/>
          <w:spacing w:val="50"/>
          <w:sz w:val="18"/>
          <w:szCs w:val="18"/>
        </w:rPr>
        <w:t xml:space="preserve">VOLUME 4 ADR SUMMARY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ADR</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Title</w:t>
            </w:r>
          </w:p>
        </w:tc>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Category</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Sections</w:t>
            </w:r>
          </w:p>
        </w:tc>
      </w:tr>
      <w:tr>
        <w:trPr>
          <w:cantSplit/>
        </w:trPr>
        <w:tc>
          <w:tcPr>
            <w:tcW w:type="pct" w:w="1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ADR-061</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Identity Model</w:t>
            </w:r>
          </w:p>
        </w:tc>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Identity &amp; Security</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ADR-062</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Authentication</w:t>
            </w:r>
          </w:p>
        </w:tc>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Identity &amp; Security</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ADR-063</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Authorization</w:t>
            </w:r>
          </w:p>
        </w:tc>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Identity &amp; Security</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ADR-064</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RBAC Model</w:t>
            </w:r>
          </w:p>
        </w:tc>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Identity &amp; Security</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ADR-065</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Assignment Model</w:t>
            </w:r>
          </w:p>
        </w:tc>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Identity &amp; Security</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ADR-066</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Bundle Strategy</w:t>
            </w:r>
          </w:p>
        </w:tc>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Identity &amp; Security</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ADR-067</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Effective Permission Resolver</w:t>
            </w:r>
          </w:p>
        </w:tc>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Identity &amp; Security</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ADR-068</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Permission Cache</w:t>
            </w:r>
          </w:p>
        </w:tc>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Identity &amp; Security</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ADR-069</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Cache Invalidation</w:t>
            </w:r>
          </w:p>
        </w:tc>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Identity &amp; Security</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ADR-070</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JWT Policy</w:t>
            </w:r>
          </w:p>
        </w:tc>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Identity &amp; Security</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ADR-071</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Refresh Token Policy</w:t>
            </w:r>
          </w:p>
        </w:tc>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Identity &amp; Security</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ADR-072</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MFA</w:t>
            </w:r>
          </w:p>
        </w:tc>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Identity &amp; Security</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ADR-073</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Device Binding</w:t>
            </w:r>
          </w:p>
        </w:tc>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Identity &amp; Security</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ADR-074</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Session Management</w:t>
            </w:r>
          </w:p>
        </w:tc>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Identity &amp; Security</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ADR-075</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Password Policy</w:t>
            </w:r>
          </w:p>
        </w:tc>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Identity &amp; Security</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ADR-076</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API Security</w:t>
            </w:r>
          </w:p>
        </w:tc>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Identity &amp; Security</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ADR-077</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Encryption</w:t>
            </w:r>
          </w:p>
        </w:tc>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Identity &amp; Security</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ADR-078</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Secrets Management</w:t>
            </w:r>
          </w:p>
        </w:tc>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Identity &amp; Security</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ADR-079</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PII Protection</w:t>
            </w:r>
          </w:p>
        </w:tc>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Identity &amp; Security</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ADR-080</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Rate Limiting</w:t>
            </w:r>
          </w:p>
        </w:tc>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Identity &amp; Security</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ADR-081</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Security Headers</w:t>
            </w:r>
          </w:p>
        </w:tc>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Identity &amp; Security</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ADR-082</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CSRF Strategy</w:t>
            </w:r>
          </w:p>
        </w:tc>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Identity &amp; Security</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ADR-083</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Vulnerability Management</w:t>
            </w:r>
          </w:p>
        </w:tc>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Identity &amp; Security</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ADR-084</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Web Application Firewall</w:t>
            </w:r>
          </w:p>
        </w:tc>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Identity &amp; Security</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ADR-085</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DDoS Protection</w:t>
            </w:r>
          </w:p>
        </w:tc>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Identity &amp; Security</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ADR-086</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Audit Trail</w:t>
            </w:r>
          </w:p>
        </w:tc>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Identity &amp; Security</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ADR-087</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Penetration Testing Program</w:t>
            </w:r>
          </w:p>
        </w:tc>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Identity &amp; Security</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ADR-088</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Compliance Framework</w:t>
            </w:r>
          </w:p>
        </w:tc>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Identity &amp; Security</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ADR-089</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Data Loss Prevention</w:t>
            </w:r>
          </w:p>
        </w:tc>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Identity &amp; Security</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ADR-090</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Incident Response</w:t>
            </w:r>
          </w:p>
        </w:tc>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Identity &amp; Security</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34</w:t>
            </w:r>
          </w:p>
        </w:tc>
      </w:tr>
    </w:tbl>
    <w:p>
      <w:r>
        <w:br w:type="page"/>
      </w:r>
    </w:p>
    <w:p>
      <w:r>
        <w:br w:type="page"/>
      </w:r>
    </w:p>
    <w:p>
      <w:pPr>
        <w:spacing w:after="200" w:before="3600" w:line="280"/>
        <w:jc w:val="left"/>
      </w:pPr>
      <w:r>
        <w:rPr>
          <w:rFonts w:ascii="Inter" w:eastAsia="Inter"/>
          <w:b/>
          <w:bCs/>
          <w:color w:val="4F46E5"/>
          <w:spacing w:val="80"/>
          <w:sz w:val="22"/>
          <w:szCs w:val="22"/>
        </w:rPr>
        <w:t xml:space="preserve">VOLUME 4</w:t>
      </w:r>
    </w:p>
    <w:p>
      <w:pPr>
        <w:pStyle w:val="Heading1"/>
        <w:spacing w:after="240" w:before="100" w:line="360"/>
      </w:pPr>
      <w:r>
        <w:rPr>
          <w:rFonts w:ascii="Inter" w:eastAsia="Inter"/>
          <w:b/>
          <w:bCs/>
          <w:color w:val="0F172A"/>
          <w:sz w:val="48"/>
          <w:szCs w:val="48"/>
        </w:rPr>
        <w:t xml:space="preserve">Security Architecture</w:t>
      </w:r>
    </w:p>
    <w:p>
      <w:pPr>
        <w:pBdr>
          <w:bottom w:val="single" w:color="4F46E5" w:sz="12"/>
        </w:pBdr>
        <w:spacing w:after="600" w:line="280"/>
      </w:pPr>
      <w:r>
        <w:rPr>
          <w:rFonts w:ascii="Inter" w:eastAsia="Inter"/>
          <w:color w:val="64748B"/>
          <w:spacing w:val="40"/>
          <w:sz w:val="22"/>
          <w:szCs w:val="22"/>
        </w:rPr>
        <w:t xml:space="preserve">ADR-061 to ADR-090  -  30 decisions  -  34 sections each</w:t>
      </w:r>
    </w:p>
    <w:p>
      <w:pPr>
        <w:spacing w:after="200" w:line="360"/>
        <w:jc w:val="both"/>
      </w:pPr>
      <w:r>
        <w:rPr>
          <w:rFonts w:ascii="Inter" w:eastAsia="Inter"/>
          <w:color w:val="1E293B"/>
          <w:sz w:val="24"/>
          <w:szCs w:val="24"/>
        </w:rPr>
        <w:t xml:space="preserve">Volume 4 defines the security architecture of the PreOne platform. The 30 ADRs in this volume translate the structural foundation (Volume 1), the domain model (Volume 2), and the data architecture (Volume 3) into a comprehensive security posture. ADR-061 establishes the identity model — principals, roles, and credentials — that underpins all authentication and authorization. ADR-062 through ADR-066 define authentication (bcrypt + JWT + MFA), authorization (permission resolver), the RBAC model, the assignment model, and the bundle strategy that composes permissions into role-grantable units. ADR-067 through ADR-069 define the effective permission resolver, the Redis-backed permission cache, and the cache invalidation strategy that ensures permission changes propagate within seconds. ADR-070 through ADR-075 cover JWT and refresh-token policy, multi-factor authentication (TOTP, SMS, push, hardware, WebAuthn passkeys), device binding, session management, and the password policy (length, complexity, history, breach database). ADR-076 through ADR-082 address API security (OAuth 2.0, API keys, rate-limit headers), encryption (at-rest, in-transit, field-level), secrets management (AWS Secrets Manager with auto-rotation), PII protection (field-level encryption + masking + audit), rate limiting (tiered per endpoint), security headers (CSP, HSTS, X-Frame-Options), and CSRF defense (token + SameSite cookies). ADR-083 through ADR-090 close the volume with the defense-in-depth and governance ADRs: vulnerability management (SAST, SCA, DAST, secret, IaC, container scanning — 6 tools in CI/CD), web application firewall (AWS WAF v2 with managed rules and virtual patching), DDoS protection (Shield Standard + Shield Advanced with DRT access), audit trail (Postgres with Outbox atomicity and hash-chain tamper detection), penetration testing program (annual Bishop Fox + quarterly red-team + continuous HackerOne bug-bounty), compliance framework (FERPA, GDPR, DPDP, COPPA mapped to 12 NIST CSF control domains with automated evidence collection), data loss prevention (in-app, email, endpoint, SaaS layered DLP), and incident response (NIST SP 800-61-aligned plan with 4 severity levels, Incident Commander role, and quarterly tabletop exercises). Together, these 30 ADRs are the security-architecture playbook of the PreOne platform — the patterns that every engineer applies when designing or modifying security controls.</w:t>
      </w:r>
    </w:p>
    <w:p>
      <w:pPr>
        <w:spacing w:after="60" w:before="360" w:line="280"/>
      </w:pPr>
      <w:r>
        <w:rPr>
          <w:rFonts w:ascii="Inter" w:eastAsia="Inter"/>
          <w:b/>
          <w:bCs/>
          <w:color w:val="4F46E5"/>
          <w:spacing w:val="60"/>
          <w:sz w:val="22"/>
          <w:szCs w:val="22"/>
        </w:rPr>
        <w:t xml:space="preserve">ADR-061</w:t>
      </w:r>
    </w:p>
    <w:p>
      <w:pPr>
        <w:pStyle w:val="Heading1"/>
        <w:spacing w:after="200" w:before="60" w:line="312"/>
      </w:pPr>
      <w:r>
        <w:rPr>
          <w:rFonts w:ascii="Inter" w:eastAsia="Inter"/>
          <w:b/>
          <w:bCs/>
          <w:color w:val="0F172A"/>
          <w:sz w:val="36"/>
          <w:szCs w:val="36"/>
        </w:rPr>
        <w:t xml:space="preserve">Identity Model</w:t>
      </w:r>
    </w:p>
    <w:p>
      <w:pPr>
        <w:spacing w:after="120" w:line="280"/>
      </w:pPr>
      <w:r>
        <w:rPr>
          <w:rFonts w:ascii="Inter" w:eastAsia="Inter"/>
          <w:color w:val="64748B"/>
          <w:sz w:val="20"/>
          <w:szCs w:val="20"/>
        </w:rPr>
        <w:t xml:space="preserve">Volume 4 — Security Architecture  -  </w:t>
      </w:r>
      <w:r>
        <w:rPr>
          <w:rFonts w:ascii="Inter" w:eastAsia="Inter"/>
          <w:color w:val="64748B"/>
          <w:sz w:val="20"/>
          <w:szCs w:val="20"/>
        </w:rPr>
        <w:t xml:space="preserve">Identity &amp; Security</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Adopt a unified identity model that treats humans, service accounts, and devices as first-class principals. All principals share a common identity record format with a discriminator that drives subtype-specific behaviour. The model is tenant-scoped, externally federatable, and serves as the substrate for every authentication, authorization, and audit decision in the PreOne platform.</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Platform Security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review, or on security incident, or on customer procurement requirement</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refreshes for series alignment and cross-references)</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PreOne serves three distinct populations of actors. The first is human users: students, teachers, administrators, parents, and platform operators, each with very different lifecycle, consent, and regulatory profiles. The second is service accounts: backend services that authenticate to other services, scheduled jobs that need elevated but bounded privileges, and integration adapters that bridge to third-party SIS, LMS, and payment systems. The third is devices: school-issued tablets, BYOD laptops, kiosk terminals in computer labs, and the increasingly common classroom IoT peripherals.
Historically these three populations were modelled in separate tables with separate authentication paths, which produced predictable pathologies: a teacher acting as a proctor on a loaner tablet could not be cleanly represented; a service account that needed to impersonate a user for support had to be hand-wired; audit logs could not correlate a device fingerprint with a user action because they lived in different identity spaces. The 2025 Q2 audit found eleven places where the same physical actor was represented by three different identifiers depending on which subsystem issued the call.
The Architecture Review Board concluded that a single, unified identity model with explicit subtypes was required before any further security work could be considered sound. This ADR defines that model. It is the keystone of Volume 4: ADR-062 (Authentication), ADR-063 (Authorization), ADR-067 (Effective Permission Resolver), and ADR-086 (Audit Trail) all depend on the principal shape defined here.</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The PreOne platform is contractually obliged to support parental consent flows (COPPA), student data portability (GDPR Article 20), and verifiable audit chains (DPDP Section 8). None of these obligations can be honoured reliably when human, service, and device identities live in different stores. A unified identity model is a prerequisite for the 2026 international expansion because the EU and Indian regulatory regimes both require demonstrable correlation between the actor who caused a data event and the actor who consented to it.
A second driver is operational efficiency. The support team currently maintains three identity-resolution runbooks for the three legacy identity stores. A single model collapses this to one. A third driver is the planned launch of classroom IoT peripherals (smart speakers, attendance scanners) in Q3 2026, which would require a fourth identity store under the legacy model and a fourth runbook.</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PreOne lacks a single, authoritative identity model that unifies human users, service accounts, and devices. The result is inconsistent principal representation across subsystems, audit gaps, and an inability to satisfy regulatory correlation requirements. The platform needs one canonical identity model that all security-sensitive subsystems can rely on.</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The model must be tenant-scoped; cross-tenant identity correlation is forbidden except for platform operators under break-glass.</w:t>
      </w:r>
    </w:p>
    <w:p>
      <w:pPr>
        <w:pStyle w:val="ListParagraph"/>
        <w:numPr>
          <w:ilvl w:val="0"/>
          <w:numId w:val="1"/>
        </w:numPr>
        <w:spacing w:after="60" w:line="312"/>
        <w:ind w:left="720" w:hanging="360"/>
      </w:pPr>
      <w:r>
        <w:rPr>
          <w:rFonts w:ascii="Inter" w:eastAsia="Inter"/>
          <w:color w:val="1E293B"/>
          <w:sz w:val="22"/>
          <w:szCs w:val="22"/>
        </w:rPr>
        <w:t xml:space="preserve">The model must support federation with external IdPs (Google Workspace, Microsoft Entra ID, SAML 2.0 school federations) without duplicating identity.</w:t>
      </w:r>
    </w:p>
    <w:p>
      <w:pPr>
        <w:pStyle w:val="ListParagraph"/>
        <w:numPr>
          <w:ilvl w:val="0"/>
          <w:numId w:val="1"/>
        </w:numPr>
        <w:spacing w:after="60" w:line="312"/>
        <w:ind w:left="720" w:hanging="360"/>
      </w:pPr>
      <w:r>
        <w:rPr>
          <w:rFonts w:ascii="Inter" w:eastAsia="Inter"/>
          <w:color w:val="1E293B"/>
          <w:sz w:val="22"/>
          <w:szCs w:val="22"/>
        </w:rPr>
        <w:t xml:space="preserve">The model must remain compatible with the existing PostgreSQL user table to avoid a flag-day migration of two hundred thousand rows.</w:t>
      </w:r>
    </w:p>
    <w:p>
      <w:pPr>
        <w:pStyle w:val="ListParagraph"/>
        <w:numPr>
          <w:ilvl w:val="0"/>
          <w:numId w:val="1"/>
        </w:numPr>
        <w:spacing w:after="60" w:line="312"/>
        <w:ind w:left="720" w:hanging="360"/>
      </w:pPr>
      <w:r>
        <w:rPr>
          <w:rFonts w:ascii="Inter" w:eastAsia="Inter"/>
          <w:color w:val="1E293B"/>
          <w:sz w:val="22"/>
          <w:szCs w:val="22"/>
        </w:rPr>
        <w:t xml:space="preserve">The model must distinguish human, service, and device principals while sharing a common identifier space.</w:t>
      </w:r>
    </w:p>
    <w:p>
      <w:pPr>
        <w:pStyle w:val="ListParagraph"/>
        <w:numPr>
          <w:ilvl w:val="0"/>
          <w:numId w:val="1"/>
        </w:numPr>
        <w:spacing w:after="60" w:line="312"/>
        <w:ind w:left="720" w:hanging="360"/>
      </w:pPr>
      <w:r>
        <w:rPr>
          <w:rFonts w:ascii="Inter" w:eastAsia="Inter"/>
          <w:color w:val="1E293B"/>
          <w:sz w:val="22"/>
          <w:szCs w:val="22"/>
        </w:rPr>
        <w:t xml:space="preserve">The model must record consent, custodianship, and data-residency attributes per principal for regulatory compliance.</w:t>
      </w:r>
    </w:p>
    <w:p>
      <w:pPr>
        <w:pStyle w:val="ListParagraph"/>
        <w:numPr>
          <w:ilvl w:val="0"/>
          <w:numId w:val="1"/>
        </w:numPr>
        <w:spacing w:after="60" w:line="312"/>
        <w:ind w:left="720" w:hanging="360"/>
      </w:pPr>
      <w:r>
        <w:rPr>
          <w:rFonts w:ascii="Inter" w:eastAsia="Inter"/>
          <w:color w:val="1E293B"/>
          <w:sz w:val="22"/>
          <w:szCs w:val="22"/>
        </w:rPr>
        <w:t xml:space="preserve">The model must not leak personally identifiable information into the principal identifier itself.</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UUIDv7 will be adopted as the canonical principal identifier (per ADR-041), giving time-ordered uniqueness suitable for indexing and sharding.</w:t>
      </w:r>
    </w:p>
    <w:p>
      <w:pPr>
        <w:pStyle w:val="ListParagraph"/>
        <w:numPr>
          <w:ilvl w:val="0"/>
          <w:numId w:val="1"/>
        </w:numPr>
        <w:spacing w:after="60" w:line="312"/>
        <w:ind w:left="720" w:hanging="360"/>
      </w:pPr>
      <w:r>
        <w:rPr>
          <w:rFonts w:ascii="Inter" w:eastAsia="Inter"/>
          <w:color w:val="1E293B"/>
          <w:sz w:val="22"/>
          <w:szCs w:val="22"/>
        </w:rPr>
        <w:t xml:space="preserve">External IdPs continue to support OIDC and SAML 2.0; no exotic federation protocol needs first-class support in v1.</w:t>
      </w:r>
    </w:p>
    <w:p>
      <w:pPr>
        <w:pStyle w:val="ListParagraph"/>
        <w:numPr>
          <w:ilvl w:val="0"/>
          <w:numId w:val="1"/>
        </w:numPr>
        <w:spacing w:after="60" w:line="312"/>
        <w:ind w:left="720" w:hanging="360"/>
      </w:pPr>
      <w:r>
        <w:rPr>
          <w:rFonts w:ascii="Inter" w:eastAsia="Inter"/>
          <w:color w:val="1E293B"/>
          <w:sz w:val="22"/>
          <w:szCs w:val="22"/>
        </w:rPr>
        <w:t xml:space="preserve">The device-attestation ecosystem (WebAuthn CTAP2, Android Play Integrity, Apple DeviceCheck) is stable enough to build on for the device subtype.</w:t>
      </w:r>
    </w:p>
    <w:p>
      <w:pPr>
        <w:pStyle w:val="ListParagraph"/>
        <w:numPr>
          <w:ilvl w:val="0"/>
          <w:numId w:val="1"/>
        </w:numPr>
        <w:spacing w:after="60" w:line="312"/>
        <w:ind w:left="720" w:hanging="360"/>
      </w:pPr>
      <w:r>
        <w:rPr>
          <w:rFonts w:ascii="Inter" w:eastAsia="Inter"/>
          <w:color w:val="1E293B"/>
          <w:sz w:val="22"/>
          <w:szCs w:val="22"/>
        </w:rPr>
        <w:t xml:space="preserve">Service-account credential rotation will be handled by ADR-078 (Secrets Management); this ADR defines only the identity record.</w:t>
      </w:r>
    </w:p>
    <w:p>
      <w:pPr>
        <w:pStyle w:val="ListParagraph"/>
        <w:numPr>
          <w:ilvl w:val="0"/>
          <w:numId w:val="1"/>
        </w:numPr>
        <w:spacing w:after="60" w:line="312"/>
        <w:ind w:left="720" w:hanging="360"/>
      </w:pPr>
      <w:r>
        <w:rPr>
          <w:rFonts w:ascii="Inter" w:eastAsia="Inter"/>
          <w:color w:val="1E293B"/>
          <w:sz w:val="22"/>
          <w:szCs w:val="22"/>
        </w:rPr>
        <w:t xml:space="preserve">Tenant administrators will accept that the unified identity record is the system of record, superseding their local spreadsheets.</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Unified identity table with a discriminator column (principal_type) and subtype-specific JSONB extension columns.</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Single source of truth, single query path, easy to extend with new subtypes. Minimal migration from the existing users table.</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Sparse columns for subtypes that do not need them. Risk of uncontrolled JSONB schema drift if subtype contracts are not enforced.</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Adopted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Three separate tables (humans, services, devices) with a shared view layer that fakes a unified model.</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Clean schema per subtype. No sparse columns. Familiar to engineers coming from a classic RBAC background.</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Cross-subtype joins are expensive at query time. Audit correlation requires application-layer stitching. Encourages subsystems to drift back toward single-subtype queries.</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Event-sourced identity aggregate where the principal is a fold over an event log.</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Complete audit history for free. Natural fit for consent lifecycle. Replayable for debugging.</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Read latency unacceptable for the authz hot path. Operational complexity of event sourcing is disproportionate to the benefit at PreOne's scale.</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Adopt an off-the-shelf identity provider (Auth0, Okta CIAM) and accept its principal model wholesale.</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Eliminates in-house identity engineering. Vendor handles compliance certifications.</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Loss of control over tenant-scoped consent modelling. Cost scales with MAU in a way that is unattractive at PreOne's projected growth. Vendor data-residency story does not cover all three target regions.</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Adopt a unified identity model in which every principal is a row in the identities table with a UUIDv7 primary key, a tenant_id, a principal_type discriminator of HUMAN | SERVICE | DEVICE, and a JSONB attributes column that carries subtype-specific fields under a versioned schema. The model is the canonical system of record for principal identity. Authentication, authorization, audit, and consent subsystems MUST resolve to a principal_id before recording any security event. External IdP subjects are stored in the linked identities index, never as the primary identifier. A principal_id, once issued, is never reused and never reissued to a different actor.</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The unified-table approach was chosen over the separate-tables approach because PreOne's defining use case is cross-subtype correlation. A teacher proctoring an exam on a loaner device is a HUMAN principal acting through a DEVICE principal, with the action attributed to the HUMAN but the device fingerprint preserved in the audit record. A scheduled job that impersonates a teacher to generate reports is a SERVICE principal acting on behalf of a HUMAN principal. Under the separate-tables approach, these joins require three-way queries that quickly become unwieldy and are silently skipped under deadline pressure, producing audit gaps. Under the unified model, the join is a single foreign key, which makes the correct thing easy and the wrong thing awkward.
The JSONB subtype attributes are versioned with a schema_version field and validated by a JSON Schema enforced at the application layer (not at the database layer) to allow independent evolution of subtype contracts without table migrations. The HUMAN subtype carries display_name, email, locale, custodian_principal_id (for minors), consent_state, and data_residency_region. The SERVICE subtype carries owner_team, allowed_scopes, credential_fingerprint, and rotation_due_at. The DEVICE subtype carries attestation_type, hardware_fingerprint, last_seen_at, and trust_level. Each subtype contract is defined in its own ADR-companion document and reviewed by the ARB when changed.
The decision to forbid reuse of principal identifiers is driven by regulatory audit requirements. GDPR Article 15 access requests, DPDP Section 11 grievance handling, and COPPA verifiable parental consent all require that a principal identifier, once seen in an audit record, refers unambiguously to the same actor for the entire regulatory retention window. Identifier reuse breaks this property and creates indefensible audit gaps.
The federation strategy keeps external IdP subjects in a separate linked_identities index rather than promoting them to the primary key. This decouples PreOne's internal identity lifecycle from the external IdP's lifecycle: if a school switches from Google Workspace to Microsoft Entra ID, the underlying principal_id is unchanged and all historical audit records remain valid. This pattern is sometimes called stable internal identity and is well-established in CIAM literature.
The model deliberately does not prescribe the authentication mechanism, authorization policy, or credential format. Those are defined in ADR-062, ADR-063, and ADR-070 respectively. This separation allows each concern to evolve independently, which is critical because authentication changes far more frequently than the identity model itself.</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PREONE UNIFIED IDENTITY MODEL                    |
+---------------------------------------------------------------+
|  identities (PostgreSQL, tenant-scoped)                       |
|  - principal_id (UUIDv7, PK, never reused)                    |
|  - tenant_id (FK -&gt; tenants)                                  |
|  - principal_type (HUMAN | SERVICE | DEVICE)                  |
|  - attributes (JSONB, schema_versioned, subtype-specific)     |
|  - status (ACTIVE | SUSPENDED | DELETED)                      |
|  - created_at, deleted_at                                     |
+---------------------------------------------------------------+
            |                |                |
            v                v                v
   +----------------+ +----------------+ +----------------+
   | HUMAN          | | SERVICE        | | DEVICE         |
   | display_name   | | owner_team     | | attestation    |
   | email          | | allowed_scopes | | hw_fingerprint |
   | custodian_id   | | cred_fingerprint| | trust_level   |
   | consent_state  | | rotation_due   | | last_seen_at   |
   | residency      | |                | |                |
   +----------------+ +----------------+ +----------------+
            |                |                |
            v                v                v
   +-----------------------------------------------------------+
   | linked_identities (external IdP federation index)         |
   | - principal_id (FK)                                       |
   | - idp_issuer, idp_subject, idp_type (OIDC|SAML)           |
   +-----------------------------------------------------------+
            |
            v
   AuthN (ADR-062)  AuthZ (ADR-063)  Audit (ADR-086)  Consent</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Admin -&gt; Identities API: Create HUMAN principal
Identities API -&gt; Schema Validator: Validate HUMAN attributes
Schema Validator -&gt; Identities API: Valid
Identities API -&gt; PostgreSQL: INSERT identities row
PostgreSQL -&gt; Identities API: principal_id (UUIDv7)
Identities API -&gt; Audit Service: Record CREATE event
Audit Service -&gt; Audit Log: Append with principal_id
Identities API -&gt; Admin: Return principal_id
Teacher -&gt; Identities API: Login via Google OIDC
Identities API -&gt; Linked Identities: Upsert (idp_subject)
Linked Identities -&gt; Identities API: Resolved principal_id
Identities API -&gt; AuthN: Issue token with principal_id</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ADR-061 — Identity Model  -  Component View             |
+-------------------------------------------------------------+
|                                                             |
|  +----------------+        +----------------------+         |
|  | Auth Service   |  issue | Identity Aggregate   |         |
|  |                |-------&gt;| (Principal, Role,    |         |
|  |                |        |  Credential)         |         |
|  +----------------+        +----------+-----------+         |
|                                       |                     |
|                                       | persists            |
|                                       v                     |
|  +----------------+        +----------+-----------+         |
|  | Repository     |  CRUD  | Postgres identity    |         |
|  |                |-------&gt;| schema               |         |
|  +----------------+        +----------------------+         |
|                                                             |
|  +----------------+        +----------------------+         |
|  | Audit Service  |  log   | Audit Trail (ADR-086)|         |
|  |                |-------&gt;|                      |         |
|  +----------------+        +----------------------+         |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Identity Lifecycle Flow:
  Admin -&gt; Identity Service: create principal (name, email, role)
  Identity Service -&gt; Repository: persist
  Identity Service -&gt; Audit Service: log 'PRINCIPAL_CREATED'
  Identity Service -&gt; Notification: send welcome email
Authentication Flow:
  User -&gt; Auth Service: submit credentials
  Auth Service -&gt; Identity Repository: verify
  Auth Service -&gt; JWT Issuer: issue token
  Auth Service -&gt; Audit: log 'AUTH_SUCCESS' or 'AUTH_FAILURE'</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The identities table replaces three legacy tables (users, service_accounts, devices) over a phased migration (see Migration Plan). The table is partitioned by tenant_id using PostgreSQL declarative partitioning, with one partition per tenant for the largest tenants and a default partition for smaller tenants grouped by hash. The linked_identities index is a separate table with a unique constraint on (idp_issuer, idp_subject) and a non-unique index on principal_id for reverse lookups. Sparse JSONB is managed through TOAST, and typical HUMAN rows compress to under 1KB. A retention column shadows the legacy deleted_at column so that ADR-053 (Data Retention) policies can be applied uniformly. No PII is stored in the principal identifier itself; the email is in attributes.email, encrypted at the column level per ADR-079.</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All security-sensitive APIs now accept a principal_id rather than a user_id, service_id, or device_id. The /identities endpoint is the canonical CRUD surface; subtype-specific endpoints (/identities/human, /identities/service, /identities/device) are convenience wrappers that enforce subtype schema validation. The internal IdentityResolver component is the single point through which all subsystems resolve any external identifier (idp_subject, hardware_fingerprint, credential_fingerprint) to a canonical principal_id. APIs that previously accepted the legacy identifiers are deprecated for two release cycles and then removed. The principal_id is carried in the JWT subject claim per ADR-070 and in the X-Principal-Id header for service-to-service calls per ADR-076.</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The Identity model surfaces in the admin UI as the 'Users' management page. Admins can create, edit, deactivate, and view user principals; each principal has a detail page showing roles, bundles, last login, and MFA enrollment status. The UI never displays passwords or credential hashes — only a 'password last changed' timestamp. The Identity model also drives the user-profile page (top-right dropdown) where end users view their own principal info, change password, and manage MFA factors. No PII is displayed in lists; only name and email are shown in detail views.</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The unified model directly enables least-privilege audit correlation. Because every security event resolves to a single principal_id, the audit trail can answer the question who caused this data event? without ambiguity. The model enforces tenant scoping at the schema level: every principal_id is bound to a tenant_id at creation and cannot be reassigned, which prevents the cross-tenant correlation attacks that were possible under the legacy model. The linked_identities index makes external IdP takeover detectable: if an attacker gains control of an external IdP account, the principal_id it links to is unchanged, and break-glass revocation of the linked identity is a single DELETE. The model also enables ADR-079 (PII Protection) by giving every PII-bearing attribute a clear principal_id owner, which is required for GDPR Article 17 erasure.</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Identity resolution moves from three queries (one per legacy table) to one query against the identities table, which is a net improvement. The identities table is indexed on (tenant_id, principal_type, status) for the common listing queries and on principal_id for point lookups. The JSONB attributes column is GIN-indexed for the rare queries that filter on subtype-specific fields. In load testing, the unified model resolves principals in under 2ms at p99 on the hot path, compared to 6-9ms for the legacy three-query path. The cost is a slightly larger row size (~1.2KB vs ~0.8KB), which is offset by TOAST compression. No measurable regression was observed in the authz hot path during the migration dry run.</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The model scales with the number of principals, projected to grow from two hundred thousand to four million over three years. Tenant-based partitioning keeps individual partitions under one million rows for the largest tenants, which is well within PostgreSQL's comfort zone for point lookups. The linked_identities index is the secondary scaling concern; at four million principals with an average of 1.4 linked identities each (some users link both Google and Microsoft), the index is 5.6 million rows, which fits comfortably in memory on the current cache tier. Cross-tenant queries are forbidden by policy and not indexed, which prevents the unbounded scans that would otherwise be the scaling ceiling.</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The migration from three legacy tables to one unified table is the principal operational concern. A dual-write period of four weeks is planned, during which both the legacy and new tables are written, with a nightly reconciliation job flagging drift. Read traffic is cut over per subsystem, starting with the audit service (which is read-mostly and low-risk) and ending with the authentication service (which is on the hot path). The IdentityResolver component is the new critical-path dependency and is therefore deployed with three replicas across two regions, with health checks that fail fast when the database is unreachable. The on-call runbook for identity resolution is published alongside this ADR and tested in the quarterly game-day exercise.</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JSONB subtype attributes drift out of schema compliance as teams add fields without updating the JSON Schema.</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Schema validation is enforced in the IdentityResolver and tested in CI. Quarterly schema audit by the ARB. Schema-breaking changes require a new ADR.</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Legacy subsystems continue to query the old tables after deprecation, creating split-brain identity state.</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Two-release deprecation with a hard removal date. CI checks reject new code that imports the legacy identity repositories. Quarterly dependency audit.</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 principal_id is accidentally reused after a hard delete, breaking audit immutability guarantees.</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principal_id is a UUIDv7 generated by a centralized service; the identities table enforces no-reuse through a tombstone table. Deleted rows are soft-deleted for the retention window then archived.</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Federation with an external IdP leaks more PII into the linked_identities index than is necessary.</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Only idp_issuer, idp_subject, and idp_type are stored. Attribute mapping is performed in flight during authentication, not persisted. Reviewed in the annual PII minimization audit.</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Single source of truth for principal identity across the platform.</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Sparse JSONB columns for subtypes that do not need every field.</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Clean cross-subtype correlation for audit and consent.</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Schema validation moves from database constraints to application layer, requiring tooling investment.</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Stable internal identity decoupled from external IdP changes.</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Migration of two hundred thousand rows is non-trivial and requires a dual-write period.</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Uniform tenant scoping enforced at the schema level.</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Cross-tenant operator workflows require explicit break-glass and are more cumbersome.</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The separate-tables approach was rejected because it makes the cross-subtype joins that PreOne needs for audit and consent prohibitively awkward in practice; under deadline pressure, engineers simply skip the join, producing audit gaps that are discovered only during regulatory review. Event-sourced identity was rejected after a four-week spike showed read latency on the authz hot path exceeding 15ms even with materialized projections, well above the 5ms budget; the audit-history benefit, while real, did not justify the operational complexity at PreOne's scale. The off-the-shelf CIAM option (Auth0, Okta) was rejected primarily on data-residency grounds: neither vendor could commit to in-region storage for the Indian DPDP regime at PreOne's projected MAU, and the cost model penalised the growth trajectory that the business plan assumes. The full reasoning is captured in the Options Considered table.</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Migration is phased over one quarter. Phase 1 (weeks 1-3): create the identities and linked_identities tables, deploy the IdentityResolver, and begin dual-write from the legacy repositories. Phase 2 (weeks 4-6): cut over read traffic for the audit, consent, and reporting subsystems, which are read-mostly and tolerant of brief inconsistency. Phase 3 (weeks 7-9): cut over the authentication and authorization subsystems, which are on the hot path; each subsystem is cut over individually with a 24-hour rollback window. Phase 4 (weeks 10-12): cut over the remaining subsystems and remove the dual-write code. Phase 5 (week 13): the legacy tables are marked read-only and a final reconciliation is performed. The legacy tables are retained in read-only mode for the duration of the regulatory retention window (per ADR-053) and then archived. Rollback is possible at any point in phases 1-3 by re-pointing the IdentityResolver at the legacy tables.</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The unified identity model is tested at three levels. Unit tests cover the IdentityResolver, schema validators, and the legacy-to-new mapping functions; coverage target is 95%. Integration tests cover the dual-write reconciliation, the federation flow with each supported IdP type, and the tenant-scoping enforcement. End-to-end tests cover the audit-correlation flow: a HUMAN acting through a DEVICE must produce an audit record that references both principal_ids. The migration itself is tested in a staging environment that mirrors production data volume, with a four-hour rehearsal before each phase cutover. The acceptance criterion is zero reconciliation drift during the dual-write period and zero unattributed security events during the cutover.</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Three golden signals are monitored for the identity subsystem. (1) Resolution latency: p50, p95, p99 for IdentityResolver calls; target p99 under 5ms, alert at 10ms. (2) Resolution error rate: percentage of resolutions that return not-found or schema-invalid; target under 0.1%, alert at 0.5%. (3) Dual-write drift count: number of rows where the legacy and new tables disagree during the dual-write period; target zero, alert on any non-zero value. A dedicated dashboard surfaces these alongside the principal-creation rate, federation success rate, and tenant-scoping violation attempts. The on-call runbook for identity incidents is published alongside this ADR and tested in the quarterly game-day.</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The model is expected to evolve in three directions. First, a fourth principal subtype (WORKLOAD) may be added to represent Kubernetes service accounts and event-driven functions that do not map cleanly to SERVICE; this would be a backward-compatible JSONB addition. Second, the linked_identities index may grow to support verifiable credentials (W3C VC) for the EU regulatory regime; this would add a credential_type column. Third, the model may be extended to support delegated custodianship chains (parent -&gt; school -&gt; district) more explicitly; the current single custodian_principal_id field is adequate for v1 but may not suffice for the district-level deployments planned for 2027. Each evolution will be its own ADR.</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ADR-002 - Modular Monolith Strategy (identity is a bounded context within the monolith)</w:t>
      </w:r>
    </w:p>
    <w:p>
      <w:pPr>
        <w:pStyle w:val="ListParagraph"/>
        <w:numPr>
          <w:ilvl w:val="0"/>
          <w:numId w:val="1"/>
        </w:numPr>
        <w:spacing w:after="60" w:line="312"/>
        <w:ind w:left="720" w:hanging="360"/>
      </w:pPr>
      <w:r>
        <w:rPr>
          <w:rFonts w:ascii="Inter" w:eastAsia="Inter"/>
          <w:color w:val="1E293B"/>
          <w:sz w:val="22"/>
          <w:szCs w:val="22"/>
        </w:rPr>
        <w:t xml:space="preserve">ADR-041 - UUIDv7 Identifier Strategy (canonical principal identifier)</w:t>
      </w:r>
    </w:p>
    <w:p>
      <w:pPr>
        <w:pStyle w:val="ListParagraph"/>
        <w:numPr>
          <w:ilvl w:val="0"/>
          <w:numId w:val="1"/>
        </w:numPr>
        <w:spacing w:after="60" w:line="312"/>
        <w:ind w:left="720" w:hanging="360"/>
      </w:pPr>
      <w:r>
        <w:rPr>
          <w:rFonts w:ascii="Inter" w:eastAsia="Inter"/>
          <w:color w:val="1E293B"/>
          <w:sz w:val="22"/>
          <w:szCs w:val="22"/>
        </w:rPr>
        <w:t xml:space="preserve">ADR-043 - Tenant Isolation (tenant-scoped identity enforcement)</w:t>
      </w:r>
    </w:p>
    <w:p>
      <w:pPr>
        <w:pStyle w:val="ListParagraph"/>
        <w:numPr>
          <w:ilvl w:val="0"/>
          <w:numId w:val="1"/>
        </w:numPr>
        <w:spacing w:after="60" w:line="312"/>
        <w:ind w:left="720" w:hanging="360"/>
      </w:pPr>
      <w:r>
        <w:rPr>
          <w:rFonts w:ascii="Inter" w:eastAsia="Inter"/>
          <w:color w:val="1E293B"/>
          <w:sz w:val="22"/>
          <w:szCs w:val="22"/>
        </w:rPr>
        <w:t xml:space="preserve">ADR-062 - Authentication (consumes the identity model)</w:t>
      </w:r>
    </w:p>
    <w:p>
      <w:pPr>
        <w:pStyle w:val="ListParagraph"/>
        <w:numPr>
          <w:ilvl w:val="0"/>
          <w:numId w:val="1"/>
        </w:numPr>
        <w:spacing w:after="60" w:line="312"/>
        <w:ind w:left="720" w:hanging="360"/>
      </w:pPr>
      <w:r>
        <w:rPr>
          <w:rFonts w:ascii="Inter" w:eastAsia="Inter"/>
          <w:color w:val="1E293B"/>
          <w:sz w:val="22"/>
          <w:szCs w:val="22"/>
        </w:rPr>
        <w:t xml:space="preserve">ADR-063 - Authorization (resolves principal_id to permissions)</w:t>
      </w:r>
    </w:p>
    <w:p>
      <w:pPr>
        <w:pStyle w:val="ListParagraph"/>
        <w:numPr>
          <w:ilvl w:val="0"/>
          <w:numId w:val="1"/>
        </w:numPr>
        <w:spacing w:after="60" w:line="312"/>
        <w:ind w:left="720" w:hanging="360"/>
      </w:pPr>
      <w:r>
        <w:rPr>
          <w:rFonts w:ascii="Inter" w:eastAsia="Inter"/>
          <w:color w:val="1E293B"/>
          <w:sz w:val="22"/>
          <w:szCs w:val="22"/>
        </w:rPr>
        <w:t xml:space="preserve">ADR-079 - PII Protection (field-level encryption of identity attributes)</w:t>
      </w:r>
    </w:p>
    <w:p>
      <w:pPr>
        <w:pStyle w:val="ListParagraph"/>
        <w:numPr>
          <w:ilvl w:val="0"/>
          <w:numId w:val="1"/>
        </w:numPr>
        <w:spacing w:after="60" w:line="312"/>
        <w:ind w:left="720" w:hanging="360"/>
      </w:pPr>
      <w:r>
        <w:rPr>
          <w:rFonts w:ascii="Inter" w:eastAsia="Inter"/>
          <w:color w:val="1E293B"/>
          <w:sz w:val="22"/>
          <w:szCs w:val="22"/>
        </w:rPr>
        <w:t xml:space="preserve">ADR-086 - Audit Trail (correlates security events to principal_id)</w:t>
      </w:r>
    </w:p>
    <w:p>
      <w:pPr>
        <w:pStyle w:val="ListParagraph"/>
        <w:numPr>
          <w:ilvl w:val="0"/>
          <w:numId w:val="1"/>
        </w:numPr>
        <w:spacing w:after="60" w:line="312"/>
        <w:ind w:left="720" w:hanging="360"/>
      </w:pPr>
      <w:r>
        <w:rPr>
          <w:rFonts w:ascii="Inter" w:eastAsia="Inter"/>
          <w:color w:val="1E293B"/>
          <w:sz w:val="22"/>
          <w:szCs w:val="22"/>
        </w:rPr>
        <w:t xml:space="preserve">ADR-053 - Data Retention (governs identity record lifecycle)</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NIST SP 800-63-3 - Digital Identity Guidelines. NIST. 2017.</w:t>
      </w:r>
    </w:p>
    <w:p>
      <w:pPr>
        <w:pStyle w:val="ListParagraph"/>
        <w:numPr>
          <w:ilvl w:val="0"/>
          <w:numId w:val="1"/>
        </w:numPr>
        <w:spacing w:after="60" w:line="312"/>
        <w:ind w:left="720" w:hanging="360"/>
      </w:pPr>
      <w:r>
        <w:rPr>
          <w:rFonts w:ascii="Inter" w:eastAsia="Inter"/>
          <w:color w:val="1E293B"/>
          <w:sz w:val="22"/>
          <w:szCs w:val="22"/>
        </w:rPr>
        <w:t xml:space="preserve">OAuth 2.1, RFC Draft - Section on Client Identity. IETF. 2024.</w:t>
      </w:r>
    </w:p>
    <w:p>
      <w:pPr>
        <w:pStyle w:val="ListParagraph"/>
        <w:numPr>
          <w:ilvl w:val="0"/>
          <w:numId w:val="1"/>
        </w:numPr>
        <w:spacing w:after="60" w:line="312"/>
        <w:ind w:left="720" w:hanging="360"/>
      </w:pPr>
      <w:r>
        <w:rPr>
          <w:rFonts w:ascii="Inter" w:eastAsia="Inter"/>
          <w:color w:val="1E293B"/>
          <w:sz w:val="22"/>
          <w:szCs w:val="22"/>
        </w:rPr>
        <w:t xml:space="preserve">W3C Verifiable Credentials Data Model 1.1. W3C. 2022.</w:t>
      </w:r>
    </w:p>
    <w:p>
      <w:pPr>
        <w:pStyle w:val="ListParagraph"/>
        <w:numPr>
          <w:ilvl w:val="0"/>
          <w:numId w:val="1"/>
        </w:numPr>
        <w:spacing w:after="60" w:line="312"/>
        <w:ind w:left="720" w:hanging="360"/>
      </w:pPr>
      <w:r>
        <w:rPr>
          <w:rFonts w:ascii="Inter" w:eastAsia="Inter"/>
          <w:color w:val="1E293B"/>
          <w:sz w:val="22"/>
          <w:szCs w:val="22"/>
        </w:rPr>
        <w:t xml:space="preserve">OWASP CIAM Cheat Sheet. OWASP Foundation. 2024.</w:t>
      </w:r>
    </w:p>
    <w:p>
      <w:pPr>
        <w:pStyle w:val="ListParagraph"/>
        <w:numPr>
          <w:ilvl w:val="0"/>
          <w:numId w:val="1"/>
        </w:numPr>
        <w:spacing w:after="60" w:line="312"/>
        <w:ind w:left="720" w:hanging="360"/>
      </w:pPr>
      <w:r>
        <w:rPr>
          <w:rFonts w:ascii="Inter" w:eastAsia="Inter"/>
          <w:color w:val="1E293B"/>
          <w:sz w:val="22"/>
          <w:szCs w:val="22"/>
        </w:rPr>
        <w:t xml:space="preserve">PreOne Engineering Handbook, Section 4 - Identity &amp; Security. Internal. 2025.</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2025-08-01</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Platform Security Architect</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options enumerated; consultation with security and engineering teams</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2025-09-17</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Platform Security Architect</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Architecture Review Board after cross-team review</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2025-10-15</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published to architecture repository</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2026-07-15</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cross-references to Vol 1-3 ADRs added; 34-section template applied</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Platform Security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Identity Platform Lead</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Architecture Review Board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ADR published to architecture repository (Done)</w:t>
      </w:r>
    </w:p>
    <w:p>
      <w:pPr>
        <w:pStyle w:val="ListParagraph"/>
        <w:numPr>
          <w:ilvl w:val="0"/>
          <w:numId w:val="1"/>
        </w:numPr>
        <w:spacing w:after="60" w:line="312"/>
        <w:ind w:left="720" w:hanging="360"/>
      </w:pPr>
      <w:r>
        <w:rPr>
          <w:rFonts w:ascii="Inter" w:eastAsia="Inter"/>
          <w:color w:val="1E293B"/>
          <w:sz w:val="22"/>
          <w:szCs w:val="22"/>
        </w:rPr>
        <w:t xml:space="preserve">Cross-references to upstream/downstream artefacts added (Done)</w:t>
      </w:r>
    </w:p>
    <w:p>
      <w:pPr>
        <w:pStyle w:val="ListParagraph"/>
        <w:numPr>
          <w:ilvl w:val="0"/>
          <w:numId w:val="1"/>
        </w:numPr>
        <w:spacing w:after="60" w:line="312"/>
        <w:ind w:left="720" w:hanging="360"/>
      </w:pPr>
      <w:r>
        <w:rPr>
          <w:rFonts w:ascii="Inter" w:eastAsia="Inter"/>
          <w:color w:val="1E293B"/>
          <w:sz w:val="22"/>
          <w:szCs w:val="22"/>
        </w:rPr>
        <w:t xml:space="preserve">Security team briefed in monthly architecture sync (Done)</w:t>
      </w:r>
    </w:p>
    <w:p>
      <w:pPr>
        <w:pStyle w:val="ListParagraph"/>
        <w:numPr>
          <w:ilvl w:val="0"/>
          <w:numId w:val="1"/>
        </w:numPr>
        <w:spacing w:after="60" w:line="312"/>
        <w:ind w:left="720" w:hanging="360"/>
      </w:pPr>
      <w:r>
        <w:rPr>
          <w:rFonts w:ascii="Inter" w:eastAsia="Inter"/>
          <w:color w:val="1E293B"/>
          <w:sz w:val="22"/>
          <w:szCs w:val="22"/>
        </w:rPr>
        <w:t xml:space="preserve">Code review checklist updated to enforce this ADR (Done)</w:t>
      </w:r>
    </w:p>
    <w:p>
      <w:pPr>
        <w:pStyle w:val="ListParagraph"/>
        <w:numPr>
          <w:ilvl w:val="0"/>
          <w:numId w:val="1"/>
        </w:numPr>
        <w:spacing w:after="60" w:line="312"/>
        <w:ind w:left="720" w:hanging="360"/>
      </w:pPr>
      <w:r>
        <w:rPr>
          <w:rFonts w:ascii="Inter" w:eastAsia="Inter"/>
          <w:color w:val="1E293B"/>
          <w:sz w:val="22"/>
          <w:szCs w:val="22"/>
        </w:rPr>
        <w:t xml:space="preserve">On-call runbook updated with operational procedures (Done)</w:t>
      </w:r>
    </w:p>
    <w:p>
      <w:pPr>
        <w:pStyle w:val="ListParagraph"/>
        <w:numPr>
          <w:ilvl w:val="0"/>
          <w:numId w:val="1"/>
        </w:numPr>
        <w:spacing w:after="60" w:line="312"/>
        <w:ind w:left="720" w:hanging="360"/>
      </w:pPr>
      <w:r>
        <w:rPr>
          <w:rFonts w:ascii="Inter" w:eastAsia="Inter"/>
          <w:color w:val="1E293B"/>
          <w:sz w:val="22"/>
          <w:szCs w:val="22"/>
        </w:rPr>
        <w:t xml:space="preserve">Identity aggregate implemented in Identity BC (Done)</w:t>
      </w:r>
    </w:p>
    <w:p>
      <w:pPr>
        <w:pStyle w:val="ListParagraph"/>
        <w:numPr>
          <w:ilvl w:val="0"/>
          <w:numId w:val="1"/>
        </w:numPr>
        <w:spacing w:after="60" w:line="312"/>
        <w:ind w:left="720" w:hanging="360"/>
      </w:pPr>
      <w:r>
        <w:rPr>
          <w:rFonts w:ascii="Inter" w:eastAsia="Inter"/>
          <w:color w:val="1E293B"/>
          <w:sz w:val="22"/>
          <w:szCs w:val="22"/>
        </w:rPr>
        <w:t xml:space="preserve">Principal, Role, Credential entities defined (Done)</w:t>
      </w:r>
    </w:p>
    <w:p>
      <w:pPr>
        <w:pStyle w:val="ListParagraph"/>
        <w:numPr>
          <w:ilvl w:val="0"/>
          <w:numId w:val="1"/>
        </w:numPr>
        <w:spacing w:after="60" w:line="312"/>
        <w:ind w:left="720" w:hanging="360"/>
      </w:pPr>
      <w:r>
        <w:rPr>
          <w:rFonts w:ascii="Inter" w:eastAsia="Inter"/>
          <w:color w:val="1E293B"/>
          <w:sz w:val="22"/>
          <w:szCs w:val="22"/>
        </w:rPr>
        <w:t xml:space="preserve">Postgres identity schema deployed (Done)</w:t>
      </w:r>
    </w:p>
    <w:p>
      <w:pPr>
        <w:pStyle w:val="ListParagraph"/>
        <w:numPr>
          <w:ilvl w:val="0"/>
          <w:numId w:val="1"/>
        </w:numPr>
        <w:spacing w:after="60" w:line="312"/>
        <w:ind w:left="720" w:hanging="360"/>
      </w:pPr>
      <w:r>
        <w:rPr>
          <w:rFonts w:ascii="Inter" w:eastAsia="Inter"/>
          <w:color w:val="1E293B"/>
          <w:sz w:val="22"/>
          <w:szCs w:val="22"/>
        </w:rPr>
        <w:t xml:space="preserve">Audit integration for identity events (Done)</w:t>
      </w:r>
    </w:p>
    <w:p>
      <w:pPr>
        <w:pStyle w:val="ListParagraph"/>
        <w:numPr>
          <w:ilvl w:val="0"/>
          <w:numId w:val="1"/>
        </w:numPr>
        <w:spacing w:after="60" w:line="312"/>
        <w:ind w:left="720" w:hanging="360"/>
      </w:pPr>
      <w:r>
        <w:rPr>
          <w:rFonts w:ascii="Inter" w:eastAsia="Inter"/>
          <w:color w:val="1E293B"/>
          <w:sz w:val="22"/>
          <w:szCs w:val="22"/>
        </w:rPr>
        <w:t xml:space="preserve">Admin UI for user management deployed (Done)</w:t>
      </w:r>
    </w:p>
    <w:p>
      <w:pPr>
        <w:spacing w:after="60" w:before="360" w:line="280"/>
      </w:pPr>
      <w:r>
        <w:rPr>
          <w:rFonts w:ascii="Inter" w:eastAsia="Inter"/>
          <w:b/>
          <w:bCs/>
          <w:color w:val="4F46E5"/>
          <w:spacing w:val="60"/>
          <w:sz w:val="22"/>
          <w:szCs w:val="22"/>
        </w:rPr>
        <w:t xml:space="preserve">ADR-062</w:t>
      </w:r>
    </w:p>
    <w:p>
      <w:pPr>
        <w:pStyle w:val="Heading1"/>
        <w:spacing w:after="200" w:before="60" w:line="312"/>
      </w:pPr>
      <w:r>
        <w:rPr>
          <w:rFonts w:ascii="Inter" w:eastAsia="Inter"/>
          <w:b/>
          <w:bCs/>
          <w:color w:val="0F172A"/>
          <w:sz w:val="36"/>
          <w:szCs w:val="36"/>
        </w:rPr>
        <w:t xml:space="preserve">Authentication</w:t>
      </w:r>
    </w:p>
    <w:p>
      <w:pPr>
        <w:spacing w:after="120" w:line="280"/>
      </w:pPr>
      <w:r>
        <w:rPr>
          <w:rFonts w:ascii="Inter" w:eastAsia="Inter"/>
          <w:color w:val="64748B"/>
          <w:sz w:val="20"/>
          <w:szCs w:val="20"/>
        </w:rPr>
        <w:t xml:space="preserve">Volume 4 — Security Architecture  -  </w:t>
      </w:r>
      <w:r>
        <w:rPr>
          <w:rFonts w:ascii="Inter" w:eastAsia="Inter"/>
          <w:color w:val="64748B"/>
          <w:sz w:val="20"/>
          <w:szCs w:val="20"/>
        </w:rPr>
        <w:t xml:space="preserve">Identity &amp; Security</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Adopt Spring Security 6 with an embedded OAuth 2.1 authorization server for all authentication flows. Human principals authenticate via OIDC through federated external IdPs or a local credential store; service principals authenticate via mTLS client certificates with short-lived bearer tokens; device principals authenticate via WebAuthn attestation. The authorization server is the sole issuer of PreOne access tokens and the sole arbiter of session establishment.</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Platform Security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review, or on security incident, or on customer procurement requirement</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refreshes for series alignment and cross-references)</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Authentication at PreOne must serve three populations (per ADR-061) under three regulatory regimes (GDPR, COPPA, DPDP) with a four-nines availability target. The legacy authentication stack was a hand-rolled Spring MVC controller backed by bcrypt-hashed local credentials and a separate JWT issuer for service-to-service calls. It worked for the first three years but has reached its limits in three ways.
First, federation. Schools increasingly want their teachers to sign in with Google Workspace or Microsoft Entra ID, and the legacy stack supports this only through brittle SAML adapters that have broken twice in the last year. Second, service authentication. The legacy mTLS setup uses long-lived certificates that are rotated annually by hand, which is both an operational burden and a security exposure. Third, MFA. Teachers and administrators have requested MFA since 2024, but the legacy stack has no clean place to insert it; bolting it onto the login controller has been prototyped and rejected as unmaintainable.
The ARB considered four candidate stacks: extending the legacy stack, adopting Spring Authorization Server (the Spring community's reference implementation of OAuth 2.1), adopting Keycloak as a managed identity platform, and adopting a commercial CIAM (Auth0 or Okta). This ADR selects Spring Authorization Server because it integrates cleanly with the existing Spring backend, gives PreOne full control over the consent and tenant-scoping flows that the regulated education market demands, and avoids the data-residency and cost concerns of the commercial options. The full reasoning is in the Options Considered table.</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The 2026 international expansion requires federation with EU school federations (e.g., eduGAIN), US K-12 district SSO providers (ClassLink, Clever), and Indian school management systems. None of these federations are supported by the legacy stack. The expansion also requires MFA for any principal with access to PII, which is a DPDP Section 8 expectation and an emerging COPPA best practice. The commercial CIAM options would impose per-MAU pricing that, at PreOne's projected four-million-MAU scale, exceeds the cost of running Spring Authorization Server in-house by a factor of four. The business therefore rewards an in-house solution that meets the federation and MFA requirements without the per-MAU penalty.</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The legacy authentication stack cannot meet the federation, MFA, and service-authentication requirements of the 2026 international expansion. PreOne needs a unified authentication layer that serves human, service, and device principals, supports external federation, integrates MFA, and issues tokens in a standards-compliant OAuth 2.1 / OIDC shape.</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Authentication latency must remain under 200ms at p99 for the federated login redirect path.</w:t>
      </w:r>
    </w:p>
    <w:p>
      <w:pPr>
        <w:pStyle w:val="ListParagraph"/>
        <w:numPr>
          <w:ilvl w:val="0"/>
          <w:numId w:val="1"/>
        </w:numPr>
        <w:spacing w:after="60" w:line="312"/>
        <w:ind w:left="720" w:hanging="360"/>
      </w:pPr>
      <w:r>
        <w:rPr>
          <w:rFonts w:ascii="Inter" w:eastAsia="Inter"/>
          <w:color w:val="1E293B"/>
          <w:sz w:val="22"/>
          <w:szCs w:val="22"/>
        </w:rPr>
        <w:t xml:space="preserve">The authorization server must run inside PreOne's VPC; no authentication traffic may traverse a third-party SaaS.</w:t>
      </w:r>
    </w:p>
    <w:p>
      <w:pPr>
        <w:pStyle w:val="ListParagraph"/>
        <w:numPr>
          <w:ilvl w:val="0"/>
          <w:numId w:val="1"/>
        </w:numPr>
        <w:spacing w:after="60" w:line="312"/>
        <w:ind w:left="720" w:hanging="360"/>
      </w:pPr>
      <w:r>
        <w:rPr>
          <w:rFonts w:ascii="Inter" w:eastAsia="Inter"/>
          <w:color w:val="1E293B"/>
          <w:sz w:val="22"/>
          <w:szCs w:val="22"/>
        </w:rPr>
        <w:t xml:space="preserve">The authorization server must support tenant-scoped consent screens per ADR-043.</w:t>
      </w:r>
    </w:p>
    <w:p>
      <w:pPr>
        <w:pStyle w:val="ListParagraph"/>
        <w:numPr>
          <w:ilvl w:val="0"/>
          <w:numId w:val="1"/>
        </w:numPr>
        <w:spacing w:after="60" w:line="312"/>
        <w:ind w:left="720" w:hanging="360"/>
      </w:pPr>
      <w:r>
        <w:rPr>
          <w:rFonts w:ascii="Inter" w:eastAsia="Inter"/>
          <w:color w:val="1E293B"/>
          <w:sz w:val="22"/>
          <w:szCs w:val="22"/>
        </w:rPr>
        <w:t xml:space="preserve">Credential storage must satisfy NIST 800-63B (per ADR-075) for any local credential fallback.</w:t>
      </w:r>
    </w:p>
    <w:p>
      <w:pPr>
        <w:pStyle w:val="ListParagraph"/>
        <w:numPr>
          <w:ilvl w:val="0"/>
          <w:numId w:val="1"/>
        </w:numPr>
        <w:spacing w:after="60" w:line="312"/>
        <w:ind w:left="720" w:hanging="360"/>
      </w:pPr>
      <w:r>
        <w:rPr>
          <w:rFonts w:ascii="Inter" w:eastAsia="Inter"/>
          <w:color w:val="1E293B"/>
          <w:sz w:val="22"/>
          <w:szCs w:val="22"/>
        </w:rPr>
        <w:t xml:space="preserve">The token issuer must be horizontally scalable with sticky-session-free operation.</w:t>
      </w:r>
    </w:p>
    <w:p>
      <w:pPr>
        <w:pStyle w:val="ListParagraph"/>
        <w:numPr>
          <w:ilvl w:val="0"/>
          <w:numId w:val="1"/>
        </w:numPr>
        <w:spacing w:after="60" w:line="312"/>
        <w:ind w:left="720" w:hanging="360"/>
      </w:pPr>
      <w:r>
        <w:rPr>
          <w:rFonts w:ascii="Inter" w:eastAsia="Inter"/>
          <w:color w:val="1E293B"/>
          <w:sz w:val="22"/>
          <w:szCs w:val="22"/>
        </w:rPr>
        <w:t xml:space="preserve">All authentication events must be auditable with principal_id correlation per ADR-061.</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Spring Authorization Server 1.3+ is production-ready for the volume PreOne expects (50k logins per day peak).</w:t>
      </w:r>
    </w:p>
    <w:p>
      <w:pPr>
        <w:pStyle w:val="ListParagraph"/>
        <w:numPr>
          <w:ilvl w:val="0"/>
          <w:numId w:val="1"/>
        </w:numPr>
        <w:spacing w:after="60" w:line="312"/>
        <w:ind w:left="720" w:hanging="360"/>
      </w:pPr>
      <w:r>
        <w:rPr>
          <w:rFonts w:ascii="Inter" w:eastAsia="Inter"/>
          <w:color w:val="1E293B"/>
          <w:sz w:val="22"/>
          <w:szCs w:val="22"/>
        </w:rPr>
        <w:t xml:space="preserve">External IdPs continue to support OIDC; SAML 2.0 remains necessary for legacy school federations only.</w:t>
      </w:r>
    </w:p>
    <w:p>
      <w:pPr>
        <w:pStyle w:val="ListParagraph"/>
        <w:numPr>
          <w:ilvl w:val="0"/>
          <w:numId w:val="1"/>
        </w:numPr>
        <w:spacing w:after="60" w:line="312"/>
        <w:ind w:left="720" w:hanging="360"/>
      </w:pPr>
      <w:r>
        <w:rPr>
          <w:rFonts w:ascii="Inter" w:eastAsia="Inter"/>
          <w:color w:val="1E293B"/>
          <w:sz w:val="22"/>
          <w:szCs w:val="22"/>
        </w:rPr>
        <w:t xml:space="preserve">WebAuthn (CTAP2) is supported on the device fleet PreOne targets for the device principal subtype.</w:t>
      </w:r>
    </w:p>
    <w:p>
      <w:pPr>
        <w:pStyle w:val="ListParagraph"/>
        <w:numPr>
          <w:ilvl w:val="0"/>
          <w:numId w:val="1"/>
        </w:numPr>
        <w:spacing w:after="60" w:line="312"/>
        <w:ind w:left="720" w:hanging="360"/>
      </w:pPr>
      <w:r>
        <w:rPr>
          <w:rFonts w:ascii="Inter" w:eastAsia="Inter"/>
          <w:color w:val="1E293B"/>
          <w:sz w:val="22"/>
          <w:szCs w:val="22"/>
        </w:rPr>
        <w:t xml:space="preserve">mTLS for service-to-service is already deployed per ADR-076; this ADR defines the token issuance on top of it.</w:t>
      </w:r>
    </w:p>
    <w:p>
      <w:pPr>
        <w:pStyle w:val="ListParagraph"/>
        <w:numPr>
          <w:ilvl w:val="0"/>
          <w:numId w:val="1"/>
        </w:numPr>
        <w:spacing w:after="60" w:line="312"/>
        <w:ind w:left="720" w:hanging="360"/>
      </w:pPr>
      <w:r>
        <w:rPr>
          <w:rFonts w:ascii="Inter" w:eastAsia="Inter"/>
          <w:color w:val="1E293B"/>
          <w:sz w:val="22"/>
          <w:szCs w:val="22"/>
        </w:rPr>
        <w:t xml:space="preserve">Redis is available for session state with cross-region replication per ADR-068 and ADR-069.</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Spring Authorization Server 1.3 embedded in the PreOne backend, federating to external IdPs via OIDC.</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Full control over consent and tenant scoping. Native Spring integration. No per-MAU cost. Standards-compliant OAuth 2.1.</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PreOne owns the operational burden. Team must build MFA plug-in. Federation edge cases are PreOne's problem.</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Adopted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Keycloak as a managed platform (CloudFormation-deployed, self-operated).</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Mature, battle-tested. Federation and MFA built-in. Less code to write.</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Heavyweight JVM footprint. Customization requires Keycloak-specific SPI development. Tenant-scoping is an afterthought.</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Commercial CIAM (Auth0 or Okta) as the authentication front door.</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Best-in-class federation. MFA and anomaly detection built-in. Vendor handles compliance certifications.</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Per-MAU pricing punitive at scale. Data-residency gaps for DPDP India. Loss of control over consent UX.</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Extend the legacy stack with SAML adapters, an MFA interceptor, and a separate service-token issuer.</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No new framework. Reuses team's Spring MVC expertise. Smallest blast radius for the change.</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Continues to accumulate technical debt. OAuth 2.1 compliance is partial. Federation edge cases remain brittle. Rejected by the ARB as not viable for the 2026 expansion.</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Adopt Spring Security 6 with Spring Authorization Server 1.3 as the embedded OAuth 2.1 authorization server for the PreOne platform. The authorization server is the sole issuer of PreOne access tokens and the sole arbiter of session establishment. Human principals authenticate via federated OIDC (preferred) or a local credential store (fallback for offline-first schools). Service principals authenticate via mTLS client certificates (per ADR-076) and receive short-lived bearer tokens. Device principals authenticate via WebAuthn attestation. All authentication events emit a structured audit record with principal_id correlation per ADR-061. MFA is enforced through a pluggable AuthenticationProvider per ADR-072.</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Spring Authorization Server was chosen over Keycloak and the commercial CIAM options for three reasons. First, integration. PreOne's backend is already a Spring Boot 3 application, and Spring Security 6 is the natural security layer. Embedding Spring Authorization Server means authentication shares the same deployment pipeline, observability stack, and on-call rotation as the rest of the backend, which is a significant operational simplification. Keycloak, by contrast, would introduce a separate JVM, a separate database, and a separate operational discipline, all of which would dilute the team's focus.
Second, control. The regulated education market has consent requirements that off-the-shelf CIAM products handle poorly. COPPA requires verifiable parental consent for minors, with audit trails that survive school-year transitions. GDPR requires granular, withdrawable consent per processing purpose. DPDP requires consent in Indian languages with explicit data-fiduciary disclosure. Spring Authorization Server lets PreOne implement these consent flows as first-class Spring beans, integrated with the unified identity model (ADR-061) and the audit trail (ADR-086). Keycloak supports custom consent via SPIs but the SPI model is awkward and the documentation is sparse; the commercial CIAM products support consent but charge for it as a premium feature.
Third, cost. The commercial CIAM options price per MAU, and at PreOne's projected four-million-MAU scale, the annual cost would exceed the fully-loaded cost of two engineers to operate Spring Authorization Server in-house. The in-house option also avoids the data-residency gap: neither Auth0 nor Okta could commit, at the time of decision, to in-region storage for the Indian DPDP regime at PreOne's projected MAU.
The legacy stack was rejected not because it cannot be extended but because extending it would perpetuate the technical debt that motivated this ADR. The legacy stack has no clean place for OAuth 2.1 features like PKCE, refresh token rotation, and pushed authorization requests, all of which are required for the 2026 expansion. Retrofitting them would amount to reimplementing Spring Authorization Server badly.
The choice of mTLS for service authentication (rather than, say, long-lived API keys) is driven by the zero-trust posture defined in ADR-090. mTLS gives every service call a cryptographically verified caller identity, which is the foundation on which the rest of the zero-trust stack is built. Short-lived bearer tokens issued on top of mTLS limit the blast radius of a stolen token: a token expires in 15 minutes (per ADR-070), while a stolen client certificate is detected at the next rotation.
The choice of WebAuthn for device authentication is driven by the phishing-resistance requirement. Phishing is the most common attack vector against education platforms, and WebAuthn's bound-origin credentials are immune to the credential phishing attacks that OTP-based MFA is vulnerable to. The device principal subtype defined in ADR-061 carries the attestation as a first-class attribute, which gives the audit trail cryptographic evidence of the device that participated in each authentication.</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PREONE AUTHENTICATION STACK                    |
+-------------------------------------------------------------+
|  Client (Browser | Service | Device)                        |
+-------+-----------------+-------------------+---------------+
        |                 |                   |
        v                 v                   v
  +-----------+    +---------------+   +--------------+
  | OIDC IdP  |    | mTLS Termination|  | WebAuthn     |
  | (Google,  |    | (API Gateway)   |  | Authenticator|
  |  MS, SAML)|    +---------------+   +--------------+
  +-----+-----+             |                  |
        |                   v                  |
        |   +-------------------------------+  |
        +--&gt;| Spring Authorization Server   |&lt;--+
            | (OAuth 2.1, OIDC, PKCE)       |
            | - Token endpoint              |
            | - Authorize endpoint          |
            | - Consent screen (tenant)     |
            | - MFA plug-in (ADR-072)       |
            +-------+-----------------------+
                    |
            +-------v---------+
            | IdentityResolver| (ADR-061)
            +-------+---------+
                    |
            +-------v---------+     +----------------+
            | Token Issuer    |----&gt;| Redis Session  |
            | (RS256 JWT)     |     | (ADR-074)      |
            +-------+---------+     +----------------+
                    |
                    v
            +----------------+
            | Audit Service  | (ADR-086)
            +----------------+</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User -&gt; Browser: Clicks "Sign in with Google"
Browser -&gt; Spring Authz Server: /authorize?client_id=preone
Spring Authz Server -&gt; User: Redirect to Google OIDC
User -&gt; Google: Authenticate
Google -&gt; Spring Authz Server: Authorization code
Spring Authz Server -&gt; Google: Exchange code for tokens
Spring Authz Server -&gt; IdentityResolver: Resolve idp_subject
IdentityResolver -&gt; Spring Authz Server: principal_id
Spring Authz Server -&gt; MFA Provider: Trigger MFA (ADR-072)
MFA Provider -&gt; User: TOTP prompt
User -&gt; MFA Provider: TOTP code
MFA Provider -&gt; Spring Authz Server: Verified
Spring Authz Server -&gt; Token Issuer: Issue JWT (RS256)
Token Issuer -&gt; Audit Service: Record LOGIN event
Spring Authz Server -&gt; Browser: Set cookies + redirect</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ADR-062 — Authentication  -  Component View             |
+-------------------------------------------------------------+
|                                                             |
|  +----------------+        +----------------------+         |
|  | Login API      | submit | Auth Service         |         |
|  |                | creds  |                      |         |
|  +----------------+        +----------+-----------+         |
|                                       |                     |
|                                       | verify              |
|                                       v                     |
|  +----------------+        +----------------------+         |
|  | Identity       | lookup | Credential Store     |         |
|  | Repository     |-------&gt;| (bcrypt hash)        |         |
|  +----------------+        +----------------------+         |
|                                       |                     |
|                                       | match?              |
|                                       v                     |
|  +----------------+        +----------------------+         |
|  | JWT Issuer     | issue  | JWT (ADR-070)        |         |
|  |                |-------&gt;| + Refresh Token      |         |
|  +----------------+        +----------------------+         |
|                                                             |
|  MFA (ADR-072) and Device Binding (ADR-073) layered on top  |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Login Flow:
  User -&gt; Login API: email + password
  Login API -&gt; Auth Service: authenticate
  Auth Service -&gt; Identity Repo: lookup user
  Auth Service -&gt; Password Hasher: verify bcrypt
  Auth Service -&gt; MFA Service: trigger (if enabled)
  Auth Service -&gt; JWT Issuer: issue access + refresh tokens
  Auth Service -&gt; Audit: log 'AUTH_SUCCESS'
  Auth Service -&gt; User: return tokens
Token Refresh Flow:
  User -&gt; Refresh API: refresh token
  Refresh API -&gt; Token Validator: validate refresh token
  Refresh API -&gt; JWT Issuer: issue new access token
  Refresh API -&gt; Audit: log 'TOKEN_REFRESHED'</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Authentication adds two new tables. oauth_authorization holds in-flight authorization grants (authorization code, PKCE verifier, consent state) with a 10-minute TTL enforced by a scheduled cleanup job. oauth_refresh_token holds refresh token metadata (jti, principal_id, issued_at, expires_at, rotated_from) for the refresh-token rotation policy defined in ADR-071. Both tables are tenant-scoped via principal_id join. The legacy credentials table is retained for the local-credential fallback and is bcrypt-hashed per ADR-075; new columns for argon2id migration are added but the cutover is deferred to ADR-075. No changes to the identities table defined in ADR-061; authentication reads from it but does not write.</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Three new public endpoints are introduced under /oauth2: /authorize (authorization endpoint, GET/POST), /token (token endpoint, POST, mTLS for service clients), and /revoke (RFC 7009 token revocation). The /userinfo endpoint (OIDC) is served at /oauth2/userinfo. The legacy /login endpoint is deprecated for two release cycles and then removed; existing sessions are migrated by issuing a refresh token on first visit to the new stack. All protected API endpoints now accept an Authorization: Bearer &lt;jwt&gt; header validated by the Spring Security filter chain; the legacy X-Auth-Token header is accepted during the deprecation window and then removed. Consent endpoints under /consent are tenant-scoped and require an active authorization grant.</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Authentication surfaces in the UI as the login page (email + password), the MFA challenge page (TOTP code / push notification / SMS code), and the post-login redirect. The login page includes 'forgot password' and 'remember this device' affordances (the latter tied to Device Binding, ADR-073). Failed login attempts display a generic error ('invalid email or password') to prevent user enumeration. Account lockout after 5 failed attempts displays a 'contact admin' message. The UI was updated to support WebAuthn (passkeys) in 2025, with a 'Sign in with passkey' option on the login page.</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The OAuth 2.1 stack materially raises the security floor. PKCE is mandatory for all authorization-code flows, eliminating the authorization-code interception attack that affected the legacy stack. Refresh token rotation (per ADR-071) limits the blast radius of a stolen refresh token to one rotation window. Pushed Authorization Requests (PAR, RFC 9126) are mandatory for any client requesting elevated scopes, preventing login-phishing attacks that tamper with authorize-request parameters. mTLS for service clients (per RFC 8705) gives every service-to-service call a cryptographically verified caller, which is the foundation of the zero-trust posture defined in ADR-090. The Spring Security filter chain enforces tenant-scoped authorization at every request, preventing the cross-tenant access that was possible under the legacy stack's session-based checks.</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The federated login redirect path adds two round trips (IdP redirect and code exchange) compared to the legacy direct-login path, increasing wall-clock login time from ~300ms to ~600ms at p50. This is acceptable because login is a low-frequency operation (average 1.2 sessions per user per day) and the user perceives the redirect as familiar. The token validation path on every API request is significantly faster: RS256 JWT validation is a single asymmetric signature check (~0.3ms), compared to the legacy session-database lookup (~4ms). Net API latency improves by approximately 3ms at p99 for protected endpoints. Redis-backed session state (per ADR-074) keeps logout and revocation checks under 1ms.</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The Spring Authorization Server is horizontally scalable and stateless across the token endpoint; the authorize endpoint uses short-lived Redis-backed session state for the consent flow. At the projected peak of 50k logins per day (roughly 0.6 logins per second sustained, 5 per second peak), three replicas in each region handle the load with 70% headroom. The Redis session tier is the scaling bottleneck; it is sized for 200k concurrent sessions per region, which exceeds the projected peak by a factor of four. The bottleneck beyond that is the IdentityResolver database queries, which scale with the identities table partitioning strategy defined in ADR-061. No architectural ceiling is anticipated within the three-year planning horizon.</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The Spring Authorization Server is deployed as a Spring Boot application alongside the main PreOne backend, sharing its observability stack and on-call rotation. The RS256 signing key is stored in AWS KMS per ADR-078 and rotated quarterly per ADR-070. The Redis session tier is deployed in a three-node cluster per region with cross-region replication for session failover. The on-call runbook covers four failure modes: authorization server unavailable (fail-closed, return 503), Redis unavailable (fail-open for token validation, fail-closed for new logins), IdP unavailable (fallback to local credentials for designated schools), and signing-key rotation in progress (dual-key validation window). Each failure mode is tested in the quarterly game-day.</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Spring Authorization Server has a smaller community than Keycloak and may lag on OAuth 2.1 final-spec compliance.</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Track the Spring Authorization Server release notes. Maintain a fork-friendly posture. ARB reviews compliance quarterly.</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Federated login adds latency that users perceive as a regression versus the legacy direct login.</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Local credential fallback for offline-first schools. Optimized redirect chain. User-facing messaging that explains the federation benefit.</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RS256 signing-key rotation disrupts in-flight tokens if the dual-validation window is misconfigured.</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Rotation is automated with a 24-hour dual-key validation window. Rotation rehearsed in staging quarterly. Rollback path: previous key remains valid for 7 days.</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MFA plug-in becomes a single point of failure for all logins when enabled platform-wide.</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MFA provider deployed with three replicas and a circuit breaker that fails open for low-risk logins during outage. Documented in ADR-072.</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Standards-compliant OAuth 2.1 / OIDC stack with first-class federation.</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Operational ownership of the authorization server falls on PreOne's team.</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mTLS for service authentication gives cryptographically verified caller identity.</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Certificate rotation discipline becomes mandatory; manual rotation is no longer viable.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WebAuthn for device authentication is phishing-resistant.</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Device fleet must support CTAP2; older devices fall back to TOTP MFA.</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Consent and tenant-scoping flows are first-class Spring beans.</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PreOne owns the consent UX; no vendor best-practice template.</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Keycloak was rejected primarily on operational grounds: it would introduce a separate JVM, database, and operational discipline that the team judged not worth the benefit at PreOne's scale, and its SPI-based customization model is awkward for the tenant-scoped consent flows that the regulated education market demands. Commercial CIAM (Auth0, Okta) was rejected on cost and data-residency grounds: per-MAU pricing at four-million MAU exceeds the in-house cost by a factor of four, and neither vendor could commit to in-region storage for the Indian DPDP regime at PreOne's projected MAU. Extending the legacy stack was rejected because retrofitting PKCE, refresh token rotation, PAR, and mTLS-bound tokens would amount to reimplementing Spring Authorization Server badly, while continuing to accumulate the technical debt that motivated this ADR.</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Migration is phased over one quarter. Phase 1 (weeks 1-3): deploy Spring Authorization Server alongside the legacy stack; both issue tokens, but the legacy stack is the default. Phase 2 (weeks 4-6): new schools are provisioned on the new stack; existing schools are invited to opt in via a tenant-admin toggle. Phase 3 (weeks 7-9): opt-in schools reach 50% of MAU; the new stack is now the default for new logins, with the legacy stack accepting only existing sessions. Phase 4 (weeks 10-12): the legacy stack is decommissioned; any remaining sessions are migrated by a forced re-login. Phase 5 (week 13): the legacy /login endpoint is removed. Rollback is possible at any point in phases 1-3 by flipping the default back to the legacy stack; the dual-issuance window ensures no user is locked out.</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The authentication stack is tested at four levels. Unit tests cover token issuance, validation, and the consent flow; coverage target is 90%. Integration tests cover the OIDC federation flow with each supported IdP (Google, Microsoft, SAML), the mTLS service flow, and the WebAuthn device flow. End-to-end tests cover the full login-to-API-call path for each principal subtype. Security tests cover PKCE enforcement, refresh token rotation, PAR enforcement, and the MFA plug-in. Load tests cover 5x projected peak login rate. The acceptance criterion is zero authentication failures attributable to the new stack during the 30-day post-cutover stabilization period.</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Five golden signals are monitored. (1) Login success rate: target above 99%, alert below 98%. (2) Login latency p99: target under 800ms, alert above 1200ms. (3) Token validation latency p99: target under 2ms, alert above 5ms. (4) Federation error rate: target under 0.5%, alert above 1%. (5) MFA failure rate: target under 5% (legitimate user error), alert above 10% (possible attack). A dedicated authentication dashboard surfaces these alongside the principal-creation rate, federation provider breakdown, and the geographic distribution of logins. Anomaly detection (per ADR-088) flags unusual login patterns (impossible travel, new geographies, credential stuffing signatures) for review.</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The stack is expected to evolve in three directions. First, the local credential fallback may be replaced by a passkey-only flow (WebAuthn for humans, not just devices) once browser support is sufficient; this would eliminate the bcrypt-hashed credential store entirely. Second, the RS256 signing key may migrate to ES256 for smaller token sizes once all clients support ECDSA validation. Third, the authorization server may be split into a separate deployment unit (separate JVM, separate autoscaling group) if the login volume grows to the point where sharing the main backend's resources becomes a contention concern; this is not anticipated within the three-year planning horizon.</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ADR-061 - Identity Model (provides principal_id resolution)</w:t>
      </w:r>
    </w:p>
    <w:p>
      <w:pPr>
        <w:pStyle w:val="ListParagraph"/>
        <w:numPr>
          <w:ilvl w:val="0"/>
          <w:numId w:val="1"/>
        </w:numPr>
        <w:spacing w:after="60" w:line="312"/>
        <w:ind w:left="720" w:hanging="360"/>
      </w:pPr>
      <w:r>
        <w:rPr>
          <w:rFonts w:ascii="Inter" w:eastAsia="Inter"/>
          <w:color w:val="1E293B"/>
          <w:sz w:val="22"/>
          <w:szCs w:val="22"/>
        </w:rPr>
        <w:t xml:space="preserve">ADR-063 - Authorization (consumes authenticated principal)</w:t>
      </w:r>
    </w:p>
    <w:p>
      <w:pPr>
        <w:pStyle w:val="ListParagraph"/>
        <w:numPr>
          <w:ilvl w:val="0"/>
          <w:numId w:val="1"/>
        </w:numPr>
        <w:spacing w:after="60" w:line="312"/>
        <w:ind w:left="720" w:hanging="360"/>
      </w:pPr>
      <w:r>
        <w:rPr>
          <w:rFonts w:ascii="Inter" w:eastAsia="Inter"/>
          <w:color w:val="1E293B"/>
          <w:sz w:val="22"/>
          <w:szCs w:val="22"/>
        </w:rPr>
        <w:t xml:space="preserve">ADR-070 - JWT Policy (token format and lifetime)</w:t>
      </w:r>
    </w:p>
    <w:p>
      <w:pPr>
        <w:pStyle w:val="ListParagraph"/>
        <w:numPr>
          <w:ilvl w:val="0"/>
          <w:numId w:val="1"/>
        </w:numPr>
        <w:spacing w:after="60" w:line="312"/>
        <w:ind w:left="720" w:hanging="360"/>
      </w:pPr>
      <w:r>
        <w:rPr>
          <w:rFonts w:ascii="Inter" w:eastAsia="Inter"/>
          <w:color w:val="1E293B"/>
          <w:sz w:val="22"/>
          <w:szCs w:val="22"/>
        </w:rPr>
        <w:t xml:space="preserve">ADR-071 - Refresh Token Policy (rotation strategy)</w:t>
      </w:r>
    </w:p>
    <w:p>
      <w:pPr>
        <w:pStyle w:val="ListParagraph"/>
        <w:numPr>
          <w:ilvl w:val="0"/>
          <w:numId w:val="1"/>
        </w:numPr>
        <w:spacing w:after="60" w:line="312"/>
        <w:ind w:left="720" w:hanging="360"/>
      </w:pPr>
      <w:r>
        <w:rPr>
          <w:rFonts w:ascii="Inter" w:eastAsia="Inter"/>
          <w:color w:val="1E293B"/>
          <w:sz w:val="22"/>
          <w:szCs w:val="22"/>
        </w:rPr>
        <w:t xml:space="preserve">ADR-072 - MFA (multi-factor enforcement)</w:t>
      </w:r>
    </w:p>
    <w:p>
      <w:pPr>
        <w:pStyle w:val="ListParagraph"/>
        <w:numPr>
          <w:ilvl w:val="0"/>
          <w:numId w:val="1"/>
        </w:numPr>
        <w:spacing w:after="60" w:line="312"/>
        <w:ind w:left="720" w:hanging="360"/>
      </w:pPr>
      <w:r>
        <w:rPr>
          <w:rFonts w:ascii="Inter" w:eastAsia="Inter"/>
          <w:color w:val="1E293B"/>
          <w:sz w:val="22"/>
          <w:szCs w:val="22"/>
        </w:rPr>
        <w:t xml:space="preserve">ADR-074 - Session Management (session lifecycle)</w:t>
      </w:r>
    </w:p>
    <w:p>
      <w:pPr>
        <w:pStyle w:val="ListParagraph"/>
        <w:numPr>
          <w:ilvl w:val="0"/>
          <w:numId w:val="1"/>
        </w:numPr>
        <w:spacing w:after="60" w:line="312"/>
        <w:ind w:left="720" w:hanging="360"/>
      </w:pPr>
      <w:r>
        <w:rPr>
          <w:rFonts w:ascii="Inter" w:eastAsia="Inter"/>
          <w:color w:val="1E293B"/>
          <w:sz w:val="22"/>
          <w:szCs w:val="22"/>
        </w:rPr>
        <w:t xml:space="preserve">ADR-076 - API Security (mTLS for service clients)</w:t>
      </w:r>
    </w:p>
    <w:p>
      <w:pPr>
        <w:pStyle w:val="ListParagraph"/>
        <w:numPr>
          <w:ilvl w:val="0"/>
          <w:numId w:val="1"/>
        </w:numPr>
        <w:spacing w:after="60" w:line="312"/>
        <w:ind w:left="720" w:hanging="360"/>
      </w:pPr>
      <w:r>
        <w:rPr>
          <w:rFonts w:ascii="Inter" w:eastAsia="Inter"/>
          <w:color w:val="1E293B"/>
          <w:sz w:val="22"/>
          <w:szCs w:val="22"/>
        </w:rPr>
        <w:t xml:space="preserve">ADR-075 - Password Policy (local credential fallback)</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RFC 6749 - The OAuth 2.0 Authorization Framework. IETF. 2012.</w:t>
      </w:r>
    </w:p>
    <w:p>
      <w:pPr>
        <w:pStyle w:val="ListParagraph"/>
        <w:numPr>
          <w:ilvl w:val="0"/>
          <w:numId w:val="1"/>
        </w:numPr>
        <w:spacing w:after="60" w:line="312"/>
        <w:ind w:left="720" w:hanging="360"/>
      </w:pPr>
      <w:r>
        <w:rPr>
          <w:rFonts w:ascii="Inter" w:eastAsia="Inter"/>
          <w:color w:val="1E293B"/>
          <w:sz w:val="22"/>
          <w:szCs w:val="22"/>
        </w:rPr>
        <w:t xml:space="preserve">OAuth 2.1, RFC Draft. IETF. 2024.</w:t>
      </w:r>
    </w:p>
    <w:p>
      <w:pPr>
        <w:pStyle w:val="ListParagraph"/>
        <w:numPr>
          <w:ilvl w:val="0"/>
          <w:numId w:val="1"/>
        </w:numPr>
        <w:spacing w:after="60" w:line="312"/>
        <w:ind w:left="720" w:hanging="360"/>
      </w:pPr>
      <w:r>
        <w:rPr>
          <w:rFonts w:ascii="Inter" w:eastAsia="Inter"/>
          <w:color w:val="1E293B"/>
          <w:sz w:val="22"/>
          <w:szCs w:val="22"/>
        </w:rPr>
        <w:t xml:space="preserve">Spring Authorization Server Reference Documentation, v1.3. VMware. 2024.</w:t>
      </w:r>
    </w:p>
    <w:p>
      <w:pPr>
        <w:pStyle w:val="ListParagraph"/>
        <w:numPr>
          <w:ilvl w:val="0"/>
          <w:numId w:val="1"/>
        </w:numPr>
        <w:spacing w:after="60" w:line="312"/>
        <w:ind w:left="720" w:hanging="360"/>
      </w:pPr>
      <w:r>
        <w:rPr>
          <w:rFonts w:ascii="Inter" w:eastAsia="Inter"/>
          <w:color w:val="1E293B"/>
          <w:sz w:val="22"/>
          <w:szCs w:val="22"/>
        </w:rPr>
        <w:t xml:space="preserve">RFC 8705 - OAuth 2.0 Mutual-TLS Client Authentication. IETF. 2020.</w:t>
      </w:r>
    </w:p>
    <w:p>
      <w:pPr>
        <w:pStyle w:val="ListParagraph"/>
        <w:numPr>
          <w:ilvl w:val="0"/>
          <w:numId w:val="1"/>
        </w:numPr>
        <w:spacing w:after="60" w:line="312"/>
        <w:ind w:left="720" w:hanging="360"/>
      </w:pPr>
      <w:r>
        <w:rPr>
          <w:rFonts w:ascii="Inter" w:eastAsia="Inter"/>
          <w:color w:val="1E293B"/>
          <w:sz w:val="22"/>
          <w:szCs w:val="22"/>
        </w:rPr>
        <w:t xml:space="preserve">RFC 9126 - Pushed Authorization Requests. IETF. 2022.</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2025-08-01</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Platform Security Architect</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options enumerated; consultation with security and engineering teams</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2025-09-17</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Platform Security Architect</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Architecture Review Board after cross-team review</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2025-10-15</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published to architecture repository</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2026-07-15</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cross-references to Vol 1-3 ADRs added; 34-section template applied</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Platform Security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Authentication Platform Lead</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Architecture Review Board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ADR published to architecture repository (Done)</w:t>
      </w:r>
    </w:p>
    <w:p>
      <w:pPr>
        <w:pStyle w:val="ListParagraph"/>
        <w:numPr>
          <w:ilvl w:val="0"/>
          <w:numId w:val="1"/>
        </w:numPr>
        <w:spacing w:after="60" w:line="312"/>
        <w:ind w:left="720" w:hanging="360"/>
      </w:pPr>
      <w:r>
        <w:rPr>
          <w:rFonts w:ascii="Inter" w:eastAsia="Inter"/>
          <w:color w:val="1E293B"/>
          <w:sz w:val="22"/>
          <w:szCs w:val="22"/>
        </w:rPr>
        <w:t xml:space="preserve">Cross-references to upstream/downstream artefacts added (Done)</w:t>
      </w:r>
    </w:p>
    <w:p>
      <w:pPr>
        <w:pStyle w:val="ListParagraph"/>
        <w:numPr>
          <w:ilvl w:val="0"/>
          <w:numId w:val="1"/>
        </w:numPr>
        <w:spacing w:after="60" w:line="312"/>
        <w:ind w:left="720" w:hanging="360"/>
      </w:pPr>
      <w:r>
        <w:rPr>
          <w:rFonts w:ascii="Inter" w:eastAsia="Inter"/>
          <w:color w:val="1E293B"/>
          <w:sz w:val="22"/>
          <w:szCs w:val="22"/>
        </w:rPr>
        <w:t xml:space="preserve">Security team briefed in monthly architecture sync (Done)</w:t>
      </w:r>
    </w:p>
    <w:p>
      <w:pPr>
        <w:pStyle w:val="ListParagraph"/>
        <w:numPr>
          <w:ilvl w:val="0"/>
          <w:numId w:val="1"/>
        </w:numPr>
        <w:spacing w:after="60" w:line="312"/>
        <w:ind w:left="720" w:hanging="360"/>
      </w:pPr>
      <w:r>
        <w:rPr>
          <w:rFonts w:ascii="Inter" w:eastAsia="Inter"/>
          <w:color w:val="1E293B"/>
          <w:sz w:val="22"/>
          <w:szCs w:val="22"/>
        </w:rPr>
        <w:t xml:space="preserve">Code review checklist updated to enforce this ADR (Done)</w:t>
      </w:r>
    </w:p>
    <w:p>
      <w:pPr>
        <w:pStyle w:val="ListParagraph"/>
        <w:numPr>
          <w:ilvl w:val="0"/>
          <w:numId w:val="1"/>
        </w:numPr>
        <w:spacing w:after="60" w:line="312"/>
        <w:ind w:left="720" w:hanging="360"/>
      </w:pPr>
      <w:r>
        <w:rPr>
          <w:rFonts w:ascii="Inter" w:eastAsia="Inter"/>
          <w:color w:val="1E293B"/>
          <w:sz w:val="22"/>
          <w:szCs w:val="22"/>
        </w:rPr>
        <w:t xml:space="preserve">On-call runbook updated with operational procedures (Done)</w:t>
      </w:r>
    </w:p>
    <w:p>
      <w:pPr>
        <w:pStyle w:val="ListParagraph"/>
        <w:numPr>
          <w:ilvl w:val="0"/>
          <w:numId w:val="1"/>
        </w:numPr>
        <w:spacing w:after="60" w:line="312"/>
        <w:ind w:left="720" w:hanging="360"/>
      </w:pPr>
      <w:r>
        <w:rPr>
          <w:rFonts w:ascii="Inter" w:eastAsia="Inter"/>
          <w:color w:val="1E293B"/>
          <w:sz w:val="22"/>
          <w:szCs w:val="22"/>
        </w:rPr>
        <w:t xml:space="preserve">Auth Service implemented (login, logout, refresh) (Done)</w:t>
      </w:r>
    </w:p>
    <w:p>
      <w:pPr>
        <w:pStyle w:val="ListParagraph"/>
        <w:numPr>
          <w:ilvl w:val="0"/>
          <w:numId w:val="1"/>
        </w:numPr>
        <w:spacing w:after="60" w:line="312"/>
        <w:ind w:left="720" w:hanging="360"/>
      </w:pPr>
      <w:r>
        <w:rPr>
          <w:rFonts w:ascii="Inter" w:eastAsia="Inter"/>
          <w:color w:val="1E293B"/>
          <w:sz w:val="22"/>
          <w:szCs w:val="22"/>
        </w:rPr>
        <w:t xml:space="preserve">bcrypt password hashing deployed (Done)</w:t>
      </w:r>
    </w:p>
    <w:p>
      <w:pPr>
        <w:pStyle w:val="ListParagraph"/>
        <w:numPr>
          <w:ilvl w:val="0"/>
          <w:numId w:val="1"/>
        </w:numPr>
        <w:spacing w:after="60" w:line="312"/>
        <w:ind w:left="720" w:hanging="360"/>
      </w:pPr>
      <w:r>
        <w:rPr>
          <w:rFonts w:ascii="Inter" w:eastAsia="Inter"/>
          <w:color w:val="1E293B"/>
          <w:sz w:val="22"/>
          <w:szCs w:val="22"/>
        </w:rPr>
        <w:t xml:space="preserve">JWT issuance with 15-min access + 30-day refresh (Done)</w:t>
      </w:r>
    </w:p>
    <w:p>
      <w:pPr>
        <w:pStyle w:val="ListParagraph"/>
        <w:numPr>
          <w:ilvl w:val="0"/>
          <w:numId w:val="1"/>
        </w:numPr>
        <w:spacing w:after="60" w:line="312"/>
        <w:ind w:left="720" w:hanging="360"/>
      </w:pPr>
      <w:r>
        <w:rPr>
          <w:rFonts w:ascii="Inter" w:eastAsia="Inter"/>
          <w:color w:val="1E293B"/>
          <w:sz w:val="22"/>
          <w:szCs w:val="22"/>
        </w:rPr>
        <w:t xml:space="preserve">MFA integration (ADR-072) (Done)</w:t>
      </w:r>
    </w:p>
    <w:p>
      <w:pPr>
        <w:pStyle w:val="ListParagraph"/>
        <w:numPr>
          <w:ilvl w:val="0"/>
          <w:numId w:val="1"/>
        </w:numPr>
        <w:spacing w:after="60" w:line="312"/>
        <w:ind w:left="720" w:hanging="360"/>
      </w:pPr>
      <w:r>
        <w:rPr>
          <w:rFonts w:ascii="Inter" w:eastAsia="Inter"/>
          <w:color w:val="1E293B"/>
          <w:sz w:val="22"/>
          <w:szCs w:val="22"/>
        </w:rPr>
        <w:t xml:space="preserve">Device binding integration (ADR-073) (Done)</w:t>
      </w:r>
    </w:p>
    <w:p>
      <w:pPr>
        <w:pStyle w:val="ListParagraph"/>
        <w:numPr>
          <w:ilvl w:val="0"/>
          <w:numId w:val="1"/>
        </w:numPr>
        <w:spacing w:after="60" w:line="312"/>
        <w:ind w:left="720" w:hanging="360"/>
      </w:pPr>
      <w:r>
        <w:rPr>
          <w:rFonts w:ascii="Inter" w:eastAsia="Inter"/>
          <w:color w:val="1E293B"/>
          <w:sz w:val="22"/>
          <w:szCs w:val="22"/>
        </w:rPr>
        <w:t xml:space="preserve">Failed-login lockout after 5 attempts (Done)</w:t>
      </w:r>
    </w:p>
    <w:p>
      <w:pPr>
        <w:pStyle w:val="ListParagraph"/>
        <w:numPr>
          <w:ilvl w:val="0"/>
          <w:numId w:val="1"/>
        </w:numPr>
        <w:spacing w:after="60" w:line="312"/>
        <w:ind w:left="720" w:hanging="360"/>
      </w:pPr>
      <w:r>
        <w:rPr>
          <w:rFonts w:ascii="Inter" w:eastAsia="Inter"/>
          <w:color w:val="1E293B"/>
          <w:sz w:val="22"/>
          <w:szCs w:val="22"/>
        </w:rPr>
        <w:t xml:space="preserve">Audit logging for all auth events (Done)</w:t>
      </w:r>
    </w:p>
    <w:p>
      <w:pPr>
        <w:spacing w:after="60" w:before="360" w:line="280"/>
      </w:pPr>
      <w:r>
        <w:rPr>
          <w:rFonts w:ascii="Inter" w:eastAsia="Inter"/>
          <w:b/>
          <w:bCs/>
          <w:color w:val="4F46E5"/>
          <w:spacing w:val="60"/>
          <w:sz w:val="22"/>
          <w:szCs w:val="22"/>
        </w:rPr>
        <w:t xml:space="preserve">ADR-063</w:t>
      </w:r>
    </w:p>
    <w:p>
      <w:pPr>
        <w:pStyle w:val="Heading1"/>
        <w:spacing w:after="200" w:before="60" w:line="312"/>
      </w:pPr>
      <w:r>
        <w:rPr>
          <w:rFonts w:ascii="Inter" w:eastAsia="Inter"/>
          <w:b/>
          <w:bCs/>
          <w:color w:val="0F172A"/>
          <w:sz w:val="36"/>
          <w:szCs w:val="36"/>
        </w:rPr>
        <w:t xml:space="preserve">Authorization</w:t>
      </w:r>
    </w:p>
    <w:p>
      <w:pPr>
        <w:spacing w:after="120" w:line="280"/>
      </w:pPr>
      <w:r>
        <w:rPr>
          <w:rFonts w:ascii="Inter" w:eastAsia="Inter"/>
          <w:color w:val="64748B"/>
          <w:sz w:val="20"/>
          <w:szCs w:val="20"/>
        </w:rPr>
        <w:t xml:space="preserve">Volume 4 — Security Architecture  -  </w:t>
      </w:r>
      <w:r>
        <w:rPr>
          <w:rFonts w:ascii="Inter" w:eastAsia="Inter"/>
          <w:color w:val="64748B"/>
          <w:sz w:val="20"/>
          <w:szCs w:val="20"/>
        </w:rPr>
        <w:t xml:space="preserve">Identity &amp; Security</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Adopt a policy-based authorization layer that combines role-based access control (RBAC) as the primary mechanism with attribute-based access control (ABAC) as the fallback for fine-grained, context-dependent decisions. The layer is enforced at three checkpoints: the API gateway (coarse scope checks), the Spring Security filter chain (tenant and principal checks), and the service layer (resource-level checks). The Effective Permission Resolver (ADR-067) is the single source of truth for the resolved permission set of any principal at any moment.</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Platform Security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review, or on security incident, or on customer procurement requirement</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refreshes for series alignment and cross-references)</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The legacy authorization model is a tangle of @PreAuthorize annotations scattered across controllers, hand-rolled if (user.role == ADMIN) checks in service code, and a custom policy engine for the few cases where neither suffices. The 2025 Q2 audit found forty-three distinct authorization patterns across the codebase, with inconsistent enforcement of tenant scoping and at least seven locations where a teacher from tenant A could read data from tenant B if they crafted the right URL.
The root cause is that authorization has been treated as an afterthought, bolted on at whatever layer was convenient at the time. The result is a defense-in-depth failure: an attacker who bypasses one check at one layer often finds no further check at the next layer. The ARB concluded that authorization must be redesigned as a first-class subsystem with a single source of truth, three explicit enforcement checkpoints, and a clear separation between coarse role checks (RBAC) and fine-grained context checks (ABAC).
This ADR defines the architecture of the authorization layer. The RBAC model itself (roles, hierarchies, bundles) is defined in ADR-064; the effective permission resolver that turns roles into a flat permission set is defined in ADR-067; the caching strategy that makes the resolver fast enough for the hot path is defined in ADR-068. This ADR is the umbrella that ties them together and defines the enforcement architecture.</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The 2026 international expansion requires demonstrable authorization controls for the EU GDPR data-processor obligations, the US COPPA parental-consent obligations, and the Indian DPDP data-fiduciary obligations. All three regimes require that the platform be able to answer who could have accessed this data event? with a degree of precision that the legacy forty-three-pattern model cannot provide. The business also requires that tenant administrators be able to customize roles within their tenant (e.g., a school that wants a Principal role distinct from the Administrator role) without code changes, which the legacy model cannot support because roles are baked into annotations.</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The legacy authorization model is fragmented across forty-three patterns with inconsistent tenant-scoping enforcement and at least seven cross-tenant access paths. PreOne needs a unified authorization layer with a single source of truth for permission resolution, three explicit enforcement checkpoints, and a clean separation between coarse role checks and fine-grained context checks.</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Authorization checks must complete in under 5ms at p99 on the API hot path.</w:t>
      </w:r>
    </w:p>
    <w:p>
      <w:pPr>
        <w:pStyle w:val="ListParagraph"/>
        <w:numPr>
          <w:ilvl w:val="0"/>
          <w:numId w:val="1"/>
        </w:numPr>
        <w:spacing w:after="60" w:line="312"/>
        <w:ind w:left="720" w:hanging="360"/>
      </w:pPr>
      <w:r>
        <w:rPr>
          <w:rFonts w:ascii="Inter" w:eastAsia="Inter"/>
          <w:color w:val="1E293B"/>
          <w:sz w:val="22"/>
          <w:szCs w:val="22"/>
        </w:rPr>
        <w:t xml:space="preserve">The authorization layer must enforce tenant scoping at every checkpoint; cross-tenant access requires explicit break-glass.</w:t>
      </w:r>
    </w:p>
    <w:p>
      <w:pPr>
        <w:pStyle w:val="ListParagraph"/>
        <w:numPr>
          <w:ilvl w:val="0"/>
          <w:numId w:val="1"/>
        </w:numPr>
        <w:spacing w:after="60" w:line="312"/>
        <w:ind w:left="720" w:hanging="360"/>
      </w:pPr>
      <w:r>
        <w:rPr>
          <w:rFonts w:ascii="Inter" w:eastAsia="Inter"/>
          <w:color w:val="1E293B"/>
          <w:sz w:val="22"/>
          <w:szCs w:val="22"/>
        </w:rPr>
        <w:t xml:space="preserve">Tenant administrators must be able to customize roles within their tenant without code changes.</w:t>
      </w:r>
    </w:p>
    <w:p>
      <w:pPr>
        <w:pStyle w:val="ListParagraph"/>
        <w:numPr>
          <w:ilvl w:val="0"/>
          <w:numId w:val="1"/>
        </w:numPr>
        <w:spacing w:after="60" w:line="312"/>
        <w:ind w:left="720" w:hanging="360"/>
      </w:pPr>
      <w:r>
        <w:rPr>
          <w:rFonts w:ascii="Inter" w:eastAsia="Inter"/>
          <w:color w:val="1E293B"/>
          <w:sz w:val="22"/>
          <w:szCs w:val="22"/>
        </w:rPr>
        <w:t xml:space="preserve">The authorization layer must be auditable: every decision must be reconstructable from logs.</w:t>
      </w:r>
    </w:p>
    <w:p>
      <w:pPr>
        <w:pStyle w:val="ListParagraph"/>
        <w:numPr>
          <w:ilvl w:val="0"/>
          <w:numId w:val="1"/>
        </w:numPr>
        <w:spacing w:after="60" w:line="312"/>
        <w:ind w:left="720" w:hanging="360"/>
      </w:pPr>
      <w:r>
        <w:rPr>
          <w:rFonts w:ascii="Inter" w:eastAsia="Inter"/>
          <w:color w:val="1E293B"/>
          <w:sz w:val="22"/>
          <w:szCs w:val="22"/>
        </w:rPr>
        <w:t xml:space="preserve">The authorization layer must degrade gracefully when the permission cache is unavailable.</w:t>
      </w:r>
    </w:p>
    <w:p>
      <w:pPr>
        <w:pStyle w:val="ListParagraph"/>
        <w:numPr>
          <w:ilvl w:val="0"/>
          <w:numId w:val="1"/>
        </w:numPr>
        <w:spacing w:after="60" w:line="312"/>
        <w:ind w:left="720" w:hanging="360"/>
      </w:pPr>
      <w:r>
        <w:rPr>
          <w:rFonts w:ascii="Inter" w:eastAsia="Inter"/>
          <w:color w:val="1E293B"/>
          <w:sz w:val="22"/>
          <w:szCs w:val="22"/>
        </w:rPr>
        <w:t xml:space="preserve">The authorization layer must not leak the existence of resources a principal cannot access (no enumeration).</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The RBAC model defined in ADR-064 is sufficient for 90% of authorization decisions; ABAC handles the rest.</w:t>
      </w:r>
    </w:p>
    <w:p>
      <w:pPr>
        <w:pStyle w:val="ListParagraph"/>
        <w:numPr>
          <w:ilvl w:val="0"/>
          <w:numId w:val="1"/>
        </w:numPr>
        <w:spacing w:after="60" w:line="312"/>
        <w:ind w:left="720" w:hanging="360"/>
      </w:pPr>
      <w:r>
        <w:rPr>
          <w:rFonts w:ascii="Inter" w:eastAsia="Inter"/>
          <w:color w:val="1E293B"/>
          <w:sz w:val="22"/>
          <w:szCs w:val="22"/>
        </w:rPr>
        <w:t xml:space="preserve">The Effective Permission Resolver (ADR-067) and its Redis cache (ADR-068) meet the 5ms p99 latency budget.</w:t>
      </w:r>
    </w:p>
    <w:p>
      <w:pPr>
        <w:pStyle w:val="ListParagraph"/>
        <w:numPr>
          <w:ilvl w:val="0"/>
          <w:numId w:val="1"/>
        </w:numPr>
        <w:spacing w:after="60" w:line="312"/>
        <w:ind w:left="720" w:hanging="360"/>
      </w:pPr>
      <w:r>
        <w:rPr>
          <w:rFonts w:ascii="Inter" w:eastAsia="Inter"/>
          <w:color w:val="1E293B"/>
          <w:sz w:val="22"/>
          <w:szCs w:val="22"/>
        </w:rPr>
        <w:t xml:space="preserve">Spring Security 6 (per ADR-062) provides a sufficient extension surface for the three-checkpoint enforcement.</w:t>
      </w:r>
    </w:p>
    <w:p>
      <w:pPr>
        <w:pStyle w:val="ListParagraph"/>
        <w:numPr>
          <w:ilvl w:val="0"/>
          <w:numId w:val="1"/>
        </w:numPr>
        <w:spacing w:after="60" w:line="312"/>
        <w:ind w:left="720" w:hanging="360"/>
      </w:pPr>
      <w:r>
        <w:rPr>
          <w:rFonts w:ascii="Inter" w:eastAsia="Inter"/>
          <w:color w:val="1E293B"/>
          <w:sz w:val="22"/>
          <w:szCs w:val="22"/>
        </w:rPr>
        <w:t xml:space="preserve">Tenant-scoped resource IDs are universally enforced (every resource carries a tenant_id) per ADR-043.</w:t>
      </w:r>
    </w:p>
    <w:p>
      <w:pPr>
        <w:pStyle w:val="ListParagraph"/>
        <w:numPr>
          <w:ilvl w:val="0"/>
          <w:numId w:val="1"/>
        </w:numPr>
        <w:spacing w:after="60" w:line="312"/>
        <w:ind w:left="720" w:hanging="360"/>
      </w:pPr>
      <w:r>
        <w:rPr>
          <w:rFonts w:ascii="Inter" w:eastAsia="Inter"/>
          <w:color w:val="1E293B"/>
          <w:sz w:val="22"/>
          <w:szCs w:val="22"/>
        </w:rPr>
        <w:t xml:space="preserve">Audit logging (ADR-086) is fast enough to record every authorization decision without becoming the bottleneck.</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Three-checkpoint enforcement: gateway (scope), filter chain (tenant + principal), service (resource), with RBAC primary and ABAC fallback.</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Defense in depth. Single source of truth via the resolver. Clean separation of coarse and fine checks. Tenant-customizable roles supported.</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Three checkpoints add per-request overhead. Requires discipline to keep checks at the right layer. More moving parts than a single checkpoint.</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Adopted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Single-checkpoint enforcement at the API gateway with OPA (Open Policy Agent) sidecars.</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Single policy engine. Centralized policy management. Strong policy-as-code story.</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OPA sidecars add latency and operational complexity. Gateway becomes a single point of failure for authorization. Fine-grained resource checks are awkward at the gateway.</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Annotation-driven enforcement at the controller layer only, replacing the existing forty-three patterns with a single @Authorize annotation.</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Simplest migration path. Familiar to Spring developers. No new infrastructure.</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Single layer of defense. Resource-level checks in service code remain ad-hoc. Cannot support tenant-customizable roles without code changes.</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Outsource to a commercial policy engine (AuthZeny, OPA Cloud, Styra DAS).</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Battle-tested policy engine. Vendor handles compliance certifications.</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Per-request pricing punitive at scale. Data-residency concerns for DPDP India. Loss of control over tenant-scoping logic.</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Adopt a three-checkpoint authorization architecture. Checkpoint 1 (API gateway) enforces coarse OAuth scope checks: a request without the required scope is rejected before reaching the backend. Checkpoint 2 (Spring Security filter chain) enforces tenant and principal checks: a request whose principal_id does not belong to the tenant in the URL path is rejected. Checkpoint 3 (service layer) enforces resource-level checks via the Effective Permission Resolver (ADR-067): a request whose resolved permission set does not include the required permission for the specific resource is rejected. RBAC is the primary mechanism; ABAC is the fallback for context-dependent decisions (time-of-day, location, device trust). The authorization layer is the sole authority; service code must not implement its own checks.</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The three-checkpoint architecture is a defense-in-depth design. Each checkpoint catches a different class of attack and a different class of bug. The gateway checkpoint catches unauthenticated or scope-deficient requests before they consume backend resources, which is important both for security (rejecting attacks early) and for cost (rejecting abuse before it scales). The filter-chain checkpoint catches tenant-confusion bugs: even if the gateway is misconfigured and lets a request through, the filter chain re-checks that the principal belongs to the tenant in the URL path. The service-layer checkpoint catches resource-level authorization bugs: even if the gateway and filter chain pass, the service layer re-checks that the principal has the specific permission required for the specific resource being accessed.
The three checkpoints are intentionally redundant. A request that passes all three has been authorized three times in three different ways, which is the operational definition of defense in depth. The redundancy is not free: it adds approximately 2ms to the p99 latency of every request (1ms at the gateway, 0.5ms at the filter chain, 0.5ms at the service layer). This overhead is justified by the security posture it buys and is well within the 5ms p99 budget.
The choice of RBAC as the primary mechanism reflects the PreOne reality: 90% of authorization decisions are coarse (can this teacher view this class's gradebook?) and map cleanly to roles. RBAC is simple to reason about, simple to audit, and simple to delegate to tenant administrators. The ABAC fallback handles the remaining 10%: a teacher can view a gradebook only during school hours, only from a school-issued device, only for a class they currently teach. These context-dependent checks are awkward to express in RBAC but natural in ABAC, and the policy engine (a small in-house DSL compiled to a decision tree) handles them cleanly.
The decision to forbid service code from implementing its own checks is the most contentious part of this ADR. The historical pattern is for service code to add if (user.canX) checks as a complement to the framework-level checks, on the theory that more checks are safer. In practice, this pattern produces two failure modes. First, the service-level check drifts out of sync with the framework-level check (e.g., the framework checks for VIEW_GRADEBOOK but the service code checks for EDIT_GRADEBOOK), producing a false sense of security. Second, the service-level check becomes the only check when the framework-level check is bypassed (e.g., during a maintenance window), producing an inconsistent security posture. The ARB concluded that the authorization layer must be the sole authority and that service code must invoke the layer rather than re-implement it.
The choice to build the ABAC engine in-house rather than adopt OPA was driven by the tenant-customization requirement. OPA's Rego policies are global; supporting per-tenant customization requires either a separate OPA instance per tenant (operationally expensive at PreOne's tenant count) or a policy structure that embeds tenant_id as a variable (which produces policies that are hard to read and audit). The in-house DSL compiles per-tenant policies into a single decision tree at policy-load time, which is both faster at runtime and easier to audit. The OPA sidecar approach was also rejected on latency grounds: a sidecar call adds 1-2ms per request, which would consume the entire authorization latency budget.</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PREONE AUTHORIZATION ARCHITECTURE                |
+-----------------------------------------------------------+
|  Request arrives                                          |
+-------+---------------------------------------------------+
        |
        v
  +----------------------------+      +----------------+
  | CHECKPOINT 1: API Gateway  |-----&gt;| OAUTH SCOPE    |
  | Coarse scope check         |      | VALIDATOR      |
  +----------------------------+      +----------------+
        | pass
        v
  +----------------------------+      +----------------+
  | CHECKPOINT 2: Filter Chain |-----&gt;| TENANT/PRINCIPAL|
  | Tenant + principal check   |      | VALIDATOR       |
  +----------------------------+      +----------------+
        | pass
        v
  +----------------------------+      +----------------+
  | CHECKPOINT 3: Service Layer|-----&gt;| EFFECTIVE      |
  | Resource-level check       |      | PERMISSION     |
  |                            |      | RESOLVER       |
  |                            |      | (ADR-067)      |
  |                            |      +-------+--------+
  |                            |              |
  |                            |      +-------v--------+
  |                            |      | ABAC POLICY    |
  |                            |      | ENGINE (DSL)   |
  |                            |      +----------------+
  +----------------------------+
        | pass
        v
  +----------------+
  | Business Logic |
  +----------------+</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Client -&gt; API Gateway: Request with Bearer token
API Gateway -&gt; Scope Validator: Check required scope
Scope Validator -&gt; API Gateway: Pass
API Gateway -&gt; Filter Chain: Forward request
Filter Chain -&gt; Tenant Validator: principal.tenant_id == path.tenant_id
Tenant Validator -&gt; Filter Chain: Pass
Filter Chain -&gt; Service Layer: Forward request
Service Layer -&gt; Permission Resolver: Resolve(principal_id)
Permission Resolver -&gt; Redis Cache: GET permissions
Redis Cache -&gt; Permission Resolver: Cached (or miss)
Permission Resolver -&gt; Service Layer: Resolved permission set
Service Layer -&gt; ABAC Engine: Evaluate context policy
ABAC Engine -&gt; Service Layer: Decision (allow/deny)
Service Layer -&gt; Audit Service: Record AUTHZ decision
Service Layer -&gt; Business Logic: Execute</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ADR-063 — Authorization  -  Component View              |
+-------------------------------------------------------------+
|                                                             |
|  +----------------+        +----------------------+         |
|  | API Gateway    |  ask   | Authorization        |         |
|  |                |-------&gt;| Service              |         |
|  +----------------+        +----------+-----------+         |
|                                       |                     |
|                                       | resolve             |
|                                       v                     |
|  +----------------+        +----------------------+         |
|  | Permission     | query  | Effective Permission |         |
|  | Resolver       |-------&gt;| Resolver (ADR-067)   |         |
|  |                |        | + Cache (ADR-068)    |         |
|  +----------------+        +----------+-----------+         |
|                                       |                     |
|                                       | allow / deny        |
|                                       v                     |
|  +----------------+        +----------------------+         |
|  | Audit Service  |  log   | Audit Trail (ADR-086)|         |
|  |                |-------&gt;|                      |         |
|  +----------------+        +----------------------+         |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Authorization Flow:
  Client -&gt; API: request with JWT
  API -&gt; Auth Service: 'can user X do action Y on resource Z?'
  Auth Service -&gt; Permission Resolver: resolve effective permissions
  Permission Resolver -&gt; Permission Cache (Redis): lookup
  (cache miss) Permission Resolver -&gt; RBAC Repo: query
  Permission Resolver -&gt; Permission Cache: store
  Auth Service -&gt; Audit: log 'AUTHZ_DECISION' (allow/deny)
  Auth Service -&gt; API: allow / deny
  API -&gt; Client: response or 403</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Authorization adds two tables. permissions is the catalog of all permission strings (e.g., gradebook.view, attendance.edit) with descriptions and audit metadata; it is a small, slowly changing table maintained by the platform team. policies holds the ABAC policy DSL source and its compiled decision-tree form, with a version column for safe rollout and rollback. Both tables are tenant-scoped via a tenant_id column where applicable (permissions are global; policies can be global or tenant-specific). The role_assignments table defined in ADR-065 is the input to the Effective Permission Resolver; this ADR does not modify it. No changes to the identities table defined in ADR-061; authorization reads from it but does not write.</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Every API endpoint is annotated with @RequiredScope (gateway-level), @TenantScoped (filter-chain-level), and @RequiresPermission (service-level). The three annotations are enforced by interceptors registered in the Spring Security configuration. Endpoints that existed under the legacy forty-three-pattern model are migrated endpoint by endpoint; the migration is tracked in a dedicated dashboard. Endpoints that cannot be migrated (e.g., because they require a check the new layer cannot express) are flagged for redesign. The authorization layer exposes an internal /authz/check endpoint for use by the frontend (e.g., to enable or disable UI elements based on permissions); this endpoint is cached aggressively per ADR-068.</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Authorization surfaces in the UI as feature visibility. The navigation bar adapts to the user's effective permissions: a user without 'reports:view' does not see the Reports menu; a user without 'admin:manage' does not see the Admin menu. Buttons and actions are hidden or disabled based on the user's permissions (e.g., a 'Delete' button is hidden for users without 'entity:delete'). The UI never shows a disabled action with a tooltip 'you do not have permission' (this leaks permission existence); instead, the action is hidden entirely. On 403 responses from the API, the UI displays a friendly 'You do not have access to this resource' page with a link to request access from an admin.</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The three-checkpoint architecture closes the cross-tenant access paths that the 2025 Q2 audit identified. The filter-chain checkpoint (Checkpoint 2) is the critical defense: even if Checkpoint 1 is misconfigured and a request from tenant A reaches a tenant B URL, Checkpoint 2 rejects it. The service-layer checkpoint (Checkpoint 3) closes the resource-level authorization bugs that the legacy model allowed: a teacher with VIEW_GRADEBOOK cannot accidentally be granted EDIT_GRADEBOOK because the service layer checks the resolved permission set, not a stale annotation. The ABAC engine enables context-dependent checks (school hours, device trust) that the legacy model could not express, closing the time-and-place attacks that the audit flagged as theoretical but plausible. The single-source-of-truth property (the resolver is the sole authority) eliminates the drift between layers that produced the legacy model's false sense of security.</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The three checkpoints add approximately 2ms to the p99 latency of every request: 1ms at the gateway (scope validation is a JWT claim check), 0.5ms at the filter chain (tenant check is a Redis-cached principal lookup), and 0.5ms at the service layer (permission check is a Redis-cached set membership test). This is well within the 5ms p99 budget and is offset by the elimination of the ad-hoc checks the legacy model scattered through service code (which averaged 3-5ms per request across multiple redundant lookups). The net effect is a slight improvement in p99 latency despite the additional checkpoints. The ABAC engine adds 0.2ms per evaluation on the rare paths that require it; the common path (pure RBAC) skips the ABAC engine entirely.</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The authorization layer scales with request volume, not with principal or resource count, because the per-request work is bounded by Redis-cached lookups. The Redis permission cache (ADR-068) is the scaling bottleneck; it is sized for 1 million cached principals per region, which exceeds the projected peak by a factor of three. The ABAC engine compiles policies to decision trees at policy-load time, so per-request evaluation is a tree walk with no allocation. The audit service (ADR-086) records every authorization decision, which produces 5-10k events per second at peak; this is well within the audit service's capacity. No architectural ceiling is anticipated within the three-year planning horizon.</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The authorization layer is deployed as a Spring library embedded in the main backend, plus a sidecar-less ABAC engine. The on-call runbook covers four failure modes: Redis unavailable (fail-open for known-low-risk permissions, fail-closed for elevated permissions; documented per-permission), permission resolver slow (circuit breaker opens, requests fail closed with a 503), ABAC engine unavailable (fallback to RBAC-only with logging of skipped ABAC checks), and policy compilation failure (rollback to previous policy version). Policy changes are rolled out via the standard blue-green deployment with a 30-minute soak in staging. Each failure mode is tested in the quarterly game-day. The authorization layer has a dedicated dashboard showing decision latency, deny rate, and cache hit rate per checkpoint.</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Service code re-implements authorization checks in violation of the single-authority rule, reintroducing the legacy drift.</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CI static analysis rejects new code that contains if (principal.canX) patterns outside the authorization library. Quarterly code audit by the ARB.</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ABAC policy DSL becomes a maintenance burden as the number of policies grows beyond the projected 200.</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DSL is kept minimal (10 constructs). Policies are reviewed quarterly. Trigger: if policy count exceeds 500, revisit the DSL design.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Redis cache miss storm during cold start or after invalidation causes a permission-resolver overload.</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Cache warm-up job pre-populates high-traffic principals. Rate-limited cache rebuild. Documented in ADR-068 and ADR-069.</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Three-checkpoint architecture creates a false sense of security if any checkpoint is silently bypassed.</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Each checkpoint logs its decision. Audit job verifies that all three checkpoints ran for every request. Anomaly detection flags requests with missing checkpoints.</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Defense in depth via three independent checkpoints.</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Per-request overhead of ~2ms for redundant checks.</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Single source of truth for permission resolution.</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Service code cannot add custom checks; requires more upfront design.</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RBAC primary with ABAC fallback covers the full decision space.</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Two mental models (roles and policies) for engineers to learn.</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Tenant-customizable roles without code changes.</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Per-tenant policy compilation adds startup time and operational complexity.</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The single-checkpoint OPA sidecar approach was rejected on three grounds: latency (sidecar call adds 1-2ms, consuming the entire budget), tenant-customization (OPA's Rego policies are global; per-tenant customization is awkward), and operational complexity (a sidecar per service is a significant infrastructure investment at PreOne's service count). The annotation-only approach was rejected because it perpetuates the single-layer-of-defense failure mode that the 2025 Q2 audit identified as the root cause of the cross-tenant access paths. The commercial policy engine options were rejected on cost and data-residency grounds, mirroring the ADR-062 reasoning for the authentication stack. The full reasoning is captured in the Options Considered table.</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Migration is phased over two quarters. Phase 1 (weeks 1-6): deploy the authorization layer alongside the legacy checks; both run, but only the legacy checks are enforced (the new layer is in shadow mode, logging decisions but not enforcing). Phase 2 (weeks 7-12): cut over the gateway checkpoint (Checkpoint 1) for all endpoints; the legacy scope checks are removed. Phase 3 (weeks 13-18): cut over the filter-chain checkpoint (Checkpoint 2) per bounded context; each context is migrated individually with a one-week rollback window. Phase 4 (weeks 19-24): cut over the service-layer checkpoint (Checkpoint 3) per bounded context; this is the largest phase because it requires removing the ad-hoc if (user.canX) checks from service code. Phase 5 (week 25): the legacy authorization code is removed. Rollback is possible at any point by re-enabling the legacy checks; the shadow-mode period ensures the new layer has been validated against production traffic before it enforces.</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The authorization layer is tested at four levels. Unit tests cover the permission resolver, the ABAC engine, and each policy; coverage target is 95%. Integration tests cover the three-checkpoint flow, the tenant-scoping enforcement, and the cache-invalidation behavior. End-to-end tests cover the full request path for each principal subtype and each permission. Security tests cover the cross-tenant access paths (must be denied), the resource-level authorization bugs (must be denied), and the context-dependent checks (must enforce time, device, and location constraints). The acceptance criterion is zero authorization bypasses discovered in the post-cutover penetration test.</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Five golden signals are monitored. (1) Decision latency p99: target under 5ms, alert above 8ms. (2) Deny rate: target under 5% (legitimate denials), alert above 10% (possible misconfiguration or attack). (3) Cache hit rate: target above 95%, alert below 90%. (4) Checkpoint coverage: percentage of requests that ran all three checkpoints; target 100%, alert below 99.9%. (5) ABAC evaluation rate: percentage of requests that required ABAC; target under 10%, alert above 20% (may indicate RBAC coverage gap). A dedicated authorization dashboard surfaces these alongside the per-permission deny breakdown and the per-tenant authorization anomaly count. Anomaly detection (per ADR-088) flags unusual deny patterns (spikes, new deny reasons, cross-tenant attempts).</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The authorization layer is expected to evolve in three directions. First, the ABAC DSL may be replaced by a standard (e.g., a subset of CEL or Rego) if the in-house DSL proves to be a maintenance burden; the trigger is policy count exceeding 500 or DSL construct count exceeding 10. Second, the three-checkpoint architecture may collapse to two if the gateway and filter-chain checkpoints converge (e.g., if the gateway acquires tenant-aware scope checks); this is not anticipated within the three-year horizon. Third, the layer may add a fourth checkpoint for break-glass workflows (operator access during incidents) if the current break-glass mechanism (documented in the runbook) proves insufficient; this is monitored but not planned.</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ADR-061 - Identity Model (provides principal_id for authorization)</w:t>
      </w:r>
    </w:p>
    <w:p>
      <w:pPr>
        <w:pStyle w:val="ListParagraph"/>
        <w:numPr>
          <w:ilvl w:val="0"/>
          <w:numId w:val="1"/>
        </w:numPr>
        <w:spacing w:after="60" w:line="312"/>
        <w:ind w:left="720" w:hanging="360"/>
      </w:pPr>
      <w:r>
        <w:rPr>
          <w:rFonts w:ascii="Inter" w:eastAsia="Inter"/>
          <w:color w:val="1E293B"/>
          <w:sz w:val="22"/>
          <w:szCs w:val="22"/>
        </w:rPr>
        <w:t xml:space="preserve">ADR-062 - Authentication (authenticates the principal before authorization)</w:t>
      </w:r>
    </w:p>
    <w:p>
      <w:pPr>
        <w:pStyle w:val="ListParagraph"/>
        <w:numPr>
          <w:ilvl w:val="0"/>
          <w:numId w:val="1"/>
        </w:numPr>
        <w:spacing w:after="60" w:line="312"/>
        <w:ind w:left="720" w:hanging="360"/>
      </w:pPr>
      <w:r>
        <w:rPr>
          <w:rFonts w:ascii="Inter" w:eastAsia="Inter"/>
          <w:color w:val="1E293B"/>
          <w:sz w:val="22"/>
          <w:szCs w:val="22"/>
        </w:rPr>
        <w:t xml:space="preserve">ADR-064 - RBAC Model (defines the role hierarchy that feeds the resolver)</w:t>
      </w:r>
    </w:p>
    <w:p>
      <w:pPr>
        <w:pStyle w:val="ListParagraph"/>
        <w:numPr>
          <w:ilvl w:val="0"/>
          <w:numId w:val="1"/>
        </w:numPr>
        <w:spacing w:after="60" w:line="312"/>
        <w:ind w:left="720" w:hanging="360"/>
      </w:pPr>
      <w:r>
        <w:rPr>
          <w:rFonts w:ascii="Inter" w:eastAsia="Inter"/>
          <w:color w:val="1E293B"/>
          <w:sz w:val="22"/>
          <w:szCs w:val="22"/>
        </w:rPr>
        <w:t xml:space="preserve">ADR-065 - Assignment Model (defines how principals are assigned to roles)</w:t>
      </w:r>
    </w:p>
    <w:p>
      <w:pPr>
        <w:pStyle w:val="ListParagraph"/>
        <w:numPr>
          <w:ilvl w:val="0"/>
          <w:numId w:val="1"/>
        </w:numPr>
        <w:spacing w:after="60" w:line="312"/>
        <w:ind w:left="720" w:hanging="360"/>
      </w:pPr>
      <w:r>
        <w:rPr>
          <w:rFonts w:ascii="Inter" w:eastAsia="Inter"/>
          <w:color w:val="1E293B"/>
          <w:sz w:val="22"/>
          <w:szCs w:val="22"/>
        </w:rPr>
        <w:t xml:space="preserve">ADR-067 - Effective Permission Resolver (the single source of truth)</w:t>
      </w:r>
    </w:p>
    <w:p>
      <w:pPr>
        <w:pStyle w:val="ListParagraph"/>
        <w:numPr>
          <w:ilvl w:val="0"/>
          <w:numId w:val="1"/>
        </w:numPr>
        <w:spacing w:after="60" w:line="312"/>
        <w:ind w:left="720" w:hanging="360"/>
      </w:pPr>
      <w:r>
        <w:rPr>
          <w:rFonts w:ascii="Inter" w:eastAsia="Inter"/>
          <w:color w:val="1E293B"/>
          <w:sz w:val="22"/>
          <w:szCs w:val="22"/>
        </w:rPr>
        <w:t xml:space="preserve">ADR-068 - Permission Cache (Redis cache for the resolver)</w:t>
      </w:r>
    </w:p>
    <w:p>
      <w:pPr>
        <w:pStyle w:val="ListParagraph"/>
        <w:numPr>
          <w:ilvl w:val="0"/>
          <w:numId w:val="1"/>
        </w:numPr>
        <w:spacing w:after="60" w:line="312"/>
        <w:ind w:left="720" w:hanging="360"/>
      </w:pPr>
      <w:r>
        <w:rPr>
          <w:rFonts w:ascii="Inter" w:eastAsia="Inter"/>
          <w:color w:val="1E293B"/>
          <w:sz w:val="22"/>
          <w:szCs w:val="22"/>
        </w:rPr>
        <w:t xml:space="preserve">ADR-076 - API Security (gateway-level scope enforcement)</w:t>
      </w:r>
    </w:p>
    <w:p>
      <w:pPr>
        <w:pStyle w:val="ListParagraph"/>
        <w:numPr>
          <w:ilvl w:val="0"/>
          <w:numId w:val="1"/>
        </w:numPr>
        <w:spacing w:after="60" w:line="312"/>
        <w:ind w:left="720" w:hanging="360"/>
      </w:pPr>
      <w:r>
        <w:rPr>
          <w:rFonts w:ascii="Inter" w:eastAsia="Inter"/>
          <w:color w:val="1E293B"/>
          <w:sz w:val="22"/>
          <w:szCs w:val="22"/>
        </w:rPr>
        <w:t xml:space="preserve">ADR-086 - Audit Trail (records every authorization decision)</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NIST SP 800-162 - Guide to ABAC Definition and Considerations. NIST. 2014.</w:t>
      </w:r>
    </w:p>
    <w:p>
      <w:pPr>
        <w:pStyle w:val="ListParagraph"/>
        <w:numPr>
          <w:ilvl w:val="0"/>
          <w:numId w:val="1"/>
        </w:numPr>
        <w:spacing w:after="60" w:line="312"/>
        <w:ind w:left="720" w:hanging="360"/>
      </w:pPr>
      <w:r>
        <w:rPr>
          <w:rFonts w:ascii="Inter" w:eastAsia="Inter"/>
          <w:color w:val="1E293B"/>
          <w:sz w:val="22"/>
          <w:szCs w:val="22"/>
        </w:rPr>
        <w:t xml:space="preserve">OWASP Access Control Cheat Sheet. OWASP Foundation. 2024.</w:t>
      </w:r>
    </w:p>
    <w:p>
      <w:pPr>
        <w:pStyle w:val="ListParagraph"/>
        <w:numPr>
          <w:ilvl w:val="0"/>
          <w:numId w:val="1"/>
        </w:numPr>
        <w:spacing w:after="60" w:line="312"/>
        <w:ind w:left="720" w:hanging="360"/>
      </w:pPr>
      <w:r>
        <w:rPr>
          <w:rFonts w:ascii="Inter" w:eastAsia="Inter"/>
          <w:color w:val="1E293B"/>
          <w:sz w:val="22"/>
          <w:szCs w:val="22"/>
        </w:rPr>
        <w:t xml:space="preserve">Spring Security Reference Documentation, Authorization section. VMware. 2024.</w:t>
      </w:r>
    </w:p>
    <w:p>
      <w:pPr>
        <w:pStyle w:val="ListParagraph"/>
        <w:numPr>
          <w:ilvl w:val="0"/>
          <w:numId w:val="1"/>
        </w:numPr>
        <w:spacing w:after="60" w:line="312"/>
        <w:ind w:left="720" w:hanging="360"/>
      </w:pPr>
      <w:r>
        <w:rPr>
          <w:rFonts w:ascii="Inter" w:eastAsia="Inter"/>
          <w:color w:val="1E293B"/>
          <w:sz w:val="22"/>
          <w:szCs w:val="22"/>
        </w:rPr>
        <w:t xml:space="preserve">Hu, V. et al. - Guide to Attribute Based Access Control (ABAC) Definition and Considerations. NIST SP 800-162. 2014.</w:t>
      </w:r>
    </w:p>
    <w:p>
      <w:pPr>
        <w:pStyle w:val="ListParagraph"/>
        <w:numPr>
          <w:ilvl w:val="0"/>
          <w:numId w:val="1"/>
        </w:numPr>
        <w:spacing w:after="60" w:line="312"/>
        <w:ind w:left="720" w:hanging="360"/>
      </w:pPr>
      <w:r>
        <w:rPr>
          <w:rFonts w:ascii="Inter" w:eastAsia="Inter"/>
          <w:color w:val="1E293B"/>
          <w:sz w:val="22"/>
          <w:szCs w:val="22"/>
        </w:rPr>
        <w:t xml:space="preserve">PreOne Engineering Handbook, Section 4.3 - Authorization Architecture. Internal. 2025.</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2025-08-01</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Platform Security Architect</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options enumerated; consultation with security and engineering teams</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2025-09-17</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Platform Security Architect</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Architecture Review Board after cross-team review</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2025-10-15</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published to architecture repository</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2026-07-15</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cross-references to Vol 1-3 ADRs added; 34-section template applied</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Platform Security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Authorization Platform Lead</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Architecture Review Board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ADR published to architecture repository (Done)</w:t>
      </w:r>
    </w:p>
    <w:p>
      <w:pPr>
        <w:pStyle w:val="ListParagraph"/>
        <w:numPr>
          <w:ilvl w:val="0"/>
          <w:numId w:val="1"/>
        </w:numPr>
        <w:spacing w:after="60" w:line="312"/>
        <w:ind w:left="720" w:hanging="360"/>
      </w:pPr>
      <w:r>
        <w:rPr>
          <w:rFonts w:ascii="Inter" w:eastAsia="Inter"/>
          <w:color w:val="1E293B"/>
          <w:sz w:val="22"/>
          <w:szCs w:val="22"/>
        </w:rPr>
        <w:t xml:space="preserve">Cross-references to upstream/downstream artefacts added (Done)</w:t>
      </w:r>
    </w:p>
    <w:p>
      <w:pPr>
        <w:pStyle w:val="ListParagraph"/>
        <w:numPr>
          <w:ilvl w:val="0"/>
          <w:numId w:val="1"/>
        </w:numPr>
        <w:spacing w:after="60" w:line="312"/>
        <w:ind w:left="720" w:hanging="360"/>
      </w:pPr>
      <w:r>
        <w:rPr>
          <w:rFonts w:ascii="Inter" w:eastAsia="Inter"/>
          <w:color w:val="1E293B"/>
          <w:sz w:val="22"/>
          <w:szCs w:val="22"/>
        </w:rPr>
        <w:t xml:space="preserve">Security team briefed in monthly architecture sync (Done)</w:t>
      </w:r>
    </w:p>
    <w:p>
      <w:pPr>
        <w:pStyle w:val="ListParagraph"/>
        <w:numPr>
          <w:ilvl w:val="0"/>
          <w:numId w:val="1"/>
        </w:numPr>
        <w:spacing w:after="60" w:line="312"/>
        <w:ind w:left="720" w:hanging="360"/>
      </w:pPr>
      <w:r>
        <w:rPr>
          <w:rFonts w:ascii="Inter" w:eastAsia="Inter"/>
          <w:color w:val="1E293B"/>
          <w:sz w:val="22"/>
          <w:szCs w:val="22"/>
        </w:rPr>
        <w:t xml:space="preserve">Code review checklist updated to enforce this ADR (Done)</w:t>
      </w:r>
    </w:p>
    <w:p>
      <w:pPr>
        <w:pStyle w:val="ListParagraph"/>
        <w:numPr>
          <w:ilvl w:val="0"/>
          <w:numId w:val="1"/>
        </w:numPr>
        <w:spacing w:after="60" w:line="312"/>
        <w:ind w:left="720" w:hanging="360"/>
      </w:pPr>
      <w:r>
        <w:rPr>
          <w:rFonts w:ascii="Inter" w:eastAsia="Inter"/>
          <w:color w:val="1E293B"/>
          <w:sz w:val="22"/>
          <w:szCs w:val="22"/>
        </w:rPr>
        <w:t xml:space="preserve">On-call runbook updated with operational procedures (Done)</w:t>
      </w:r>
    </w:p>
    <w:p>
      <w:pPr>
        <w:pStyle w:val="ListParagraph"/>
        <w:numPr>
          <w:ilvl w:val="0"/>
          <w:numId w:val="1"/>
        </w:numPr>
        <w:spacing w:after="60" w:line="312"/>
        <w:ind w:left="720" w:hanging="360"/>
      </w:pPr>
      <w:r>
        <w:rPr>
          <w:rFonts w:ascii="Inter" w:eastAsia="Inter"/>
          <w:color w:val="1E293B"/>
          <w:sz w:val="22"/>
          <w:szCs w:val="22"/>
        </w:rPr>
        <w:t xml:space="preserve">Authorization Service implemented (Done)</w:t>
      </w:r>
    </w:p>
    <w:p>
      <w:pPr>
        <w:pStyle w:val="ListParagraph"/>
        <w:numPr>
          <w:ilvl w:val="0"/>
          <w:numId w:val="1"/>
        </w:numPr>
        <w:spacing w:after="60" w:line="312"/>
        <w:ind w:left="720" w:hanging="360"/>
      </w:pPr>
      <w:r>
        <w:rPr>
          <w:rFonts w:ascii="Inter" w:eastAsia="Inter"/>
          <w:color w:val="1E293B"/>
          <w:sz w:val="22"/>
          <w:szCs w:val="22"/>
        </w:rPr>
        <w:t xml:space="preserve">Permission Resolver integration (ADR-067) (Done)</w:t>
      </w:r>
    </w:p>
    <w:p>
      <w:pPr>
        <w:pStyle w:val="ListParagraph"/>
        <w:numPr>
          <w:ilvl w:val="0"/>
          <w:numId w:val="1"/>
        </w:numPr>
        <w:spacing w:after="60" w:line="312"/>
        <w:ind w:left="720" w:hanging="360"/>
      </w:pPr>
      <w:r>
        <w:rPr>
          <w:rFonts w:ascii="Inter" w:eastAsia="Inter"/>
          <w:color w:val="1E293B"/>
          <w:sz w:val="22"/>
          <w:szCs w:val="22"/>
        </w:rPr>
        <w:t xml:space="preserve">Permission Cache integration (ADR-068) (Done)</w:t>
      </w:r>
    </w:p>
    <w:p>
      <w:pPr>
        <w:pStyle w:val="ListParagraph"/>
        <w:numPr>
          <w:ilvl w:val="0"/>
          <w:numId w:val="1"/>
        </w:numPr>
        <w:spacing w:after="60" w:line="312"/>
        <w:ind w:left="720" w:hanging="360"/>
      </w:pPr>
      <w:r>
        <w:rPr>
          <w:rFonts w:ascii="Inter" w:eastAsia="Inter"/>
          <w:color w:val="1E293B"/>
          <w:sz w:val="22"/>
          <w:szCs w:val="22"/>
        </w:rPr>
        <w:t xml:space="preserve">API Gateway authorization check (Done)</w:t>
      </w:r>
    </w:p>
    <w:p>
      <w:pPr>
        <w:pStyle w:val="ListParagraph"/>
        <w:numPr>
          <w:ilvl w:val="0"/>
          <w:numId w:val="1"/>
        </w:numPr>
        <w:spacing w:after="60" w:line="312"/>
        <w:ind w:left="720" w:hanging="360"/>
      </w:pPr>
      <w:r>
        <w:rPr>
          <w:rFonts w:ascii="Inter" w:eastAsia="Inter"/>
          <w:color w:val="1E293B"/>
          <w:sz w:val="22"/>
          <w:szCs w:val="22"/>
        </w:rPr>
        <w:t xml:space="preserve">Audit logging for all authorization decisions (Done)</w:t>
      </w:r>
    </w:p>
    <w:p>
      <w:pPr>
        <w:pStyle w:val="ListParagraph"/>
        <w:numPr>
          <w:ilvl w:val="0"/>
          <w:numId w:val="1"/>
        </w:numPr>
        <w:spacing w:after="60" w:line="312"/>
        <w:ind w:left="720" w:hanging="360"/>
      </w:pPr>
      <w:r>
        <w:rPr>
          <w:rFonts w:ascii="Inter" w:eastAsia="Inter"/>
          <w:color w:val="1E293B"/>
          <w:sz w:val="22"/>
          <w:szCs w:val="22"/>
        </w:rPr>
        <w:t xml:space="preserve">Quarterly access-review process documented (Scheduled)</w:t>
      </w:r>
    </w:p>
    <w:p>
      <w:pPr>
        <w:spacing w:after="60" w:before="360" w:line="280"/>
      </w:pPr>
      <w:r>
        <w:rPr>
          <w:rFonts w:ascii="Inter" w:eastAsia="Inter"/>
          <w:b/>
          <w:bCs/>
          <w:color w:val="4F46E5"/>
          <w:spacing w:val="60"/>
          <w:sz w:val="22"/>
          <w:szCs w:val="22"/>
        </w:rPr>
        <w:t xml:space="preserve">ADR-064</w:t>
      </w:r>
    </w:p>
    <w:p>
      <w:pPr>
        <w:pStyle w:val="Heading1"/>
        <w:spacing w:after="200" w:before="60" w:line="312"/>
      </w:pPr>
      <w:r>
        <w:rPr>
          <w:rFonts w:ascii="Inter" w:eastAsia="Inter"/>
          <w:b/>
          <w:bCs/>
          <w:color w:val="0F172A"/>
          <w:sz w:val="36"/>
          <w:szCs w:val="36"/>
        </w:rPr>
        <w:t xml:space="preserve">RBAC Model</w:t>
      </w:r>
    </w:p>
    <w:p>
      <w:pPr>
        <w:spacing w:after="120" w:line="280"/>
      </w:pPr>
      <w:r>
        <w:rPr>
          <w:rFonts w:ascii="Inter" w:eastAsia="Inter"/>
          <w:color w:val="64748B"/>
          <w:sz w:val="20"/>
          <w:szCs w:val="20"/>
        </w:rPr>
        <w:t xml:space="preserve">Volume 4 — Security Architecture  -  </w:t>
      </w:r>
      <w:r>
        <w:rPr>
          <w:rFonts w:ascii="Inter" w:eastAsia="Inter"/>
          <w:color w:val="64748B"/>
          <w:sz w:val="20"/>
          <w:szCs w:val="20"/>
        </w:rPr>
        <w:t xml:space="preserve">Identity &amp; Security</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Adopt a two-tier RBAC model: a platform-defined system role catalog that ships with the product and cannot be modified by tenants, and a tenant-defined custom role catalog that tenant administrators can create, modify, and assign within their tenant. Roles aggregate permissions; permissions are the atomic unit of authorization and are defined in ADR-063. Roles support a single-level parent-child hierarchy for inheritance, with cycle detection enforced at write time.</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Platform Security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review, or on security incident, or on customer procurement requirement</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refreshes for series alignment and cross-references)</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The legacy RBAC model is a flat list of hard-coded roles (STUDENT, TEACHER, ADMIN, SUPPORT) baked into Spring annotations. It has served PreOne for four years but cannot meet the demands of the 2026 expansion. Three pain points motivate this redesign.
First, role customization. Schools legitimately differ in how they organize responsibilities: some have a single Administrator role, others split it into Principal, Academic Coordinator, and IT Administrator with distinct permission sets. The legacy model cannot express this without code changes, which has led to schools abusing the ADMIN role to grant more access than they need, violating least privilege.
Second, role hierarchy. The legacy model has no inheritance: a Teacher who is also a Department Head needs both roles assigned explicitly, and any permission change to the Teacher role must be replicated to Department Head manually. This produces drift and audit gaps.
Third, system vs custom separation. The legacy model conflates platform-internal roles (SUPPORT, PLATFORM_OPERATOR) with tenant-visible roles (TEACHER, ADMIN), which has led to tenant administrators attempting to assign SUPPORT roles to their users (correctly denied, but only by accident of implementation, not by design).
This ADR defines a two-tier RBAC model that addresses all three pain points. The system role catalog is owned by the platform team and ships with each release. The custom role catalog is owned by each tenant and is the primary surface for tenant-specific role customization. The Effective Permission Resolver (ADR-067) flattens both catalogs into a permission set for any principal.</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The 2026 international expansion requires that schools in new markets be able to model their organizational structures without filing customization requests. EU schools, US K-12 districts, and Indian school chains all have distinct organizational patterns that the legacy four-role model cannot express. The business also requires that the platform team be able to evolve the system role catalog (e.g., adding a PROCTOR role for the new exam-management feature) without coordinating with every tenant, which the two-tier model enables. Finally, the regulatory regime requires demonstrable least-privilege enforcement, which the custom-role capability makes possible by allowing tenants to grant narrower roles than the system default.</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The legacy flat RBAC model with four hard-coded roles cannot express the organizational diversity of PreOne's expanding market, does not support role inheritance, and conflates platform-internal and tenant-visible roles. PreOne needs a two-tier RBAC model with system and custom catalogs, single-level inheritance, and clear separation between platform and tenant ownership.</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The model must support at least 100 custom roles per tenant without performance degradation.</w:t>
      </w:r>
    </w:p>
    <w:p>
      <w:pPr>
        <w:pStyle w:val="ListParagraph"/>
        <w:numPr>
          <w:ilvl w:val="0"/>
          <w:numId w:val="1"/>
        </w:numPr>
        <w:spacing w:after="60" w:line="312"/>
        <w:ind w:left="720" w:hanging="360"/>
      </w:pPr>
      <w:r>
        <w:rPr>
          <w:rFonts w:ascii="Inter" w:eastAsia="Inter"/>
          <w:color w:val="1E293B"/>
          <w:sz w:val="22"/>
          <w:szCs w:val="22"/>
        </w:rPr>
        <w:t xml:space="preserve">The system role catalog must be versioned and ship with each platform release; tenants cannot modify it.</w:t>
      </w:r>
    </w:p>
    <w:p>
      <w:pPr>
        <w:pStyle w:val="ListParagraph"/>
        <w:numPr>
          <w:ilvl w:val="0"/>
          <w:numId w:val="1"/>
        </w:numPr>
        <w:spacing w:after="60" w:line="312"/>
        <w:ind w:left="720" w:hanging="360"/>
      </w:pPr>
      <w:r>
        <w:rPr>
          <w:rFonts w:ascii="Inter" w:eastAsia="Inter"/>
          <w:color w:val="1E293B"/>
          <w:sz w:val="22"/>
          <w:szCs w:val="22"/>
        </w:rPr>
        <w:t xml:space="preserve">Role inheritance is limited to a single parent to keep the resolver tractable and auditable.</w:t>
      </w:r>
    </w:p>
    <w:p>
      <w:pPr>
        <w:pStyle w:val="ListParagraph"/>
        <w:numPr>
          <w:ilvl w:val="0"/>
          <w:numId w:val="1"/>
        </w:numPr>
        <w:spacing w:after="60" w:line="312"/>
        <w:ind w:left="720" w:hanging="360"/>
      </w:pPr>
      <w:r>
        <w:rPr>
          <w:rFonts w:ascii="Inter" w:eastAsia="Inter"/>
          <w:color w:val="1E293B"/>
          <w:sz w:val="22"/>
          <w:szCs w:val="22"/>
        </w:rPr>
        <w:t xml:space="preserve">Cycle detection must be enforced at write time; the resolver assumes acyclic inheritance.</w:t>
      </w:r>
    </w:p>
    <w:p>
      <w:pPr>
        <w:pStyle w:val="ListParagraph"/>
        <w:numPr>
          <w:ilvl w:val="0"/>
          <w:numId w:val="1"/>
        </w:numPr>
        <w:spacing w:after="60" w:line="312"/>
        <w:ind w:left="720" w:hanging="360"/>
      </w:pPr>
      <w:r>
        <w:rPr>
          <w:rFonts w:ascii="Inter" w:eastAsia="Inter"/>
          <w:color w:val="1E293B"/>
          <w:sz w:val="22"/>
          <w:szCs w:val="22"/>
        </w:rPr>
        <w:t xml:space="preserve">Custom roles cannot grant permissions not present in the system catalog (no privilege escalation).</w:t>
      </w:r>
    </w:p>
    <w:p>
      <w:pPr>
        <w:pStyle w:val="ListParagraph"/>
        <w:numPr>
          <w:ilvl w:val="0"/>
          <w:numId w:val="1"/>
        </w:numPr>
        <w:spacing w:after="60" w:line="312"/>
        <w:ind w:left="720" w:hanging="360"/>
      </w:pPr>
      <w:r>
        <w:rPr>
          <w:rFonts w:ascii="Inter" w:eastAsia="Inter"/>
          <w:color w:val="1E293B"/>
          <w:sz w:val="22"/>
          <w:szCs w:val="22"/>
        </w:rPr>
        <w:t xml:space="preserve">Role changes must be auditable with before/after state per ADR-086.</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The permission catalog defined in ADR-063 is the authoritative source of permissions; roles reference permissions by string ID.</w:t>
      </w:r>
    </w:p>
    <w:p>
      <w:pPr>
        <w:pStyle w:val="ListParagraph"/>
        <w:numPr>
          <w:ilvl w:val="0"/>
          <w:numId w:val="1"/>
        </w:numPr>
        <w:spacing w:after="60" w:line="312"/>
        <w:ind w:left="720" w:hanging="360"/>
      </w:pPr>
      <w:r>
        <w:rPr>
          <w:rFonts w:ascii="Inter" w:eastAsia="Inter"/>
          <w:color w:val="1E293B"/>
          <w:sz w:val="22"/>
          <w:szCs w:val="22"/>
        </w:rPr>
        <w:t xml:space="preserve">Single-level inheritance is sufficient for PreOne's organizational structures; deeper hierarchies are not anticipated.</w:t>
      </w:r>
    </w:p>
    <w:p>
      <w:pPr>
        <w:pStyle w:val="ListParagraph"/>
        <w:numPr>
          <w:ilvl w:val="0"/>
          <w:numId w:val="1"/>
        </w:numPr>
        <w:spacing w:after="60" w:line="312"/>
        <w:ind w:left="720" w:hanging="360"/>
      </w:pPr>
      <w:r>
        <w:rPr>
          <w:rFonts w:ascii="Inter" w:eastAsia="Inter"/>
          <w:color w:val="1E293B"/>
          <w:sz w:val="22"/>
          <w:szCs w:val="22"/>
        </w:rPr>
        <w:t xml:space="preserve">Tenant administrators will accept that custom roles are scoped to their tenant and cannot be shared across tenants.</w:t>
      </w:r>
    </w:p>
    <w:p>
      <w:pPr>
        <w:pStyle w:val="ListParagraph"/>
        <w:numPr>
          <w:ilvl w:val="0"/>
          <w:numId w:val="1"/>
        </w:numPr>
        <w:spacing w:after="60" w:line="312"/>
        <w:ind w:left="720" w:hanging="360"/>
      </w:pPr>
      <w:r>
        <w:rPr>
          <w:rFonts w:ascii="Inter" w:eastAsia="Inter"/>
          <w:color w:val="1E293B"/>
          <w:sz w:val="22"/>
          <w:szCs w:val="22"/>
        </w:rPr>
        <w:t xml:space="preserve">The Effective Permission Resolver (ADR-067) handles the flattening of system + custom + inherited permissions within the 5ms p99 budget.</w:t>
      </w:r>
    </w:p>
    <w:p>
      <w:pPr>
        <w:pStyle w:val="ListParagraph"/>
        <w:numPr>
          <w:ilvl w:val="0"/>
          <w:numId w:val="1"/>
        </w:numPr>
        <w:spacing w:after="60" w:line="312"/>
        <w:ind w:left="720" w:hanging="360"/>
      </w:pPr>
      <w:r>
        <w:rPr>
          <w:rFonts w:ascii="Inter" w:eastAsia="Inter"/>
          <w:color w:val="1E293B"/>
          <w:sz w:val="22"/>
          <w:szCs w:val="22"/>
        </w:rPr>
        <w:t xml:space="preserve">Role assignment (ADR-065) is a separate concern; this ADR defines only the role catalog.</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Two-tier model: system catalog (immutable, platform-owned) + custom catalog (mutable, tenant-owned), single-level inheritance.</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Clear ownership boundaries. Tenant customization without code changes. Tractable resolver. Auditable inheritance.</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Single-level inheritance may be insufficient for complex hierarchies. Two catalogs add a small amount of conceptual overhead.</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Adopted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Flat model with no inheritance, expanded system catalog to 20+ roles.</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Simplest resolver. No cycle risk. Easy to audit.</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Cannot express tenant-specific organizational structures. Proliferation of system roles per tenant request. Rejected by ARB as not viable for the 2026 expansion.</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Multi-level inheritance DAG with arbitrary depth.</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Maximum flexibility. Can express any organizational hierarchy.</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Resolver complexity grows with depth. Cycle detection is harder. Audit trail is harder to read. Disproportionate complexity for PreOne's needs.</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Single catalog with role ownership flag (system vs custom), no inheritance.</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Single table. Simpler schema.</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Loses the clean separation between platform and tenant ownership. Custom roles appear alongside system roles in the UI, creating confusion.</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Adopt a two-tier RBAC model. The system role catalog is owned by the platform team, ships with each release, and is immutable from the tenant's perspective. The custom role catalog is owned by each tenant administrator and supports create, update, and delete of roles scoped to that tenant. Roles in either catalog reference permissions by string ID from the permission catalog defined in ADR-063. Custom roles may optionally inherit from a single parent role (system or custom) via a parent_role_id field; the resolver flattens inheritance transitively but the schema enforces single-parent at write time. Custom roles cannot grant permissions absent from the system catalog (privilege escalation is rejected at write time). All role changes emit an audit event with before/after state per ADR-086.</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The two-tier model was chosen over the flat and DAG models because it is the simplest model that meets PreOne's requirements. The flat model cannot express tenant-specific organizational structures, which is a hard requirement for the 2026 expansion: EU schools need a Bursar role, US K-12 districts need a Principal role distinct from Administrator, Indian school chains need a Cluster Coordinator role. Adding all of these to the system catalog would produce a bloated, confusing role list that is mostly irrelevant to any given tenant. The custom catalog lets each tenant define exactly the roles it needs, scoped to that tenant.
The DAG model was rejected because the additional flexibility is not worth the complexity at PreOne's scale. Multi-level inheritance produces resolver complexity that grows with depth, cycle-detection burden at write time, and audit trails that are hard to read (a permission grant traced through four levels of inheritance is harder to reason about than a grant traced through one). The ARB judged that PreOne's organizational structures can be expressed with single-level inheritance: a Department Head inherits from Teacher, a Principal inherits from Administrator, and so on. If a future requirement emerges for deeper inheritance, the model can be extended without breaking the single-level cases.
The privilege-escalation guard (custom roles cannot grant permissions absent from the system catalog) is the most important security property of this model. It ensures that a tenant administrator cannot escalate their tenant's privileges beyond what the platform allows. The guard is enforced at write time (the role-create endpoint rejects a custom role that references an unknown permission) and at read time (the resolver filters out any permission not in the system catalog, as a defense-in-depth measure against bugs in the write-time guard).
The decision to version the system role catalog (each role carries a catalog_version) is driven by the platform evolution requirement. When the platform team adds a new feature (e.g., exam management), it may add new permissions to the catalog and a new system role (PROCTOR) that aggregates them. Tenants who upgrade to the new platform version automatically get the new system role available for assignment; tenants who do not upgrade are unaffected. The version field allows the resolver to detect version mismatches (e.g., a custom role that references a permission removed in the current version) and fail safe.
The decision to audit all role changes with before/after state is driven by the regulatory requirement for demonstrable authorization controls. GDPR Article 32, COPPA verifiable parental consent, and DPDP Section 8 all require that the platform be able to answer who changed this role, when, and what was the previous state? The audit trail (ADR-086) records every role create, update, and delete with the principal_id of the actor, the timestamp, and the before/after JSONB state. This is the substrate on which the compliance logging (ADR-087) and security monitoring (ADR-088) layers are built.
The single-parent inheritance design is the most contentious part of this ADR. The counter-argument is that real organizations have matrix structures (a Department Head is both a Teacher and an Administrator) that single-parent inheritance cannot express. The ARB's response is that matrix structures are expressed through multiple role assignments (ADR-065), not through multiple inheritance. A principal can be assigned both the Teacher role and the Department Head role, with Department Head inheriting from Teacher for the common permissions and adding the department-specific permissions directly. This is cleaner than multiple inheritance and produces a flatter, more auditable permission set.</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PREONE RBAC MODEL                            |
+-----------------------------------------------------------+
|  PERMISSION CATALOG (ADR-063, platform-owned)             |
|  [gradebook.view] [attendance.edit] [billing.read] ...    |
+-----------------------------------------------------------+
            |                       |
            v                       v
  +-------------------+   +-------------------+
  | SYSTEM ROLE       |   | CUSTOM ROLE       |
  | CATALOG           |   | CATALOG (per tenant)|
  | (platform-owned,  |   | (tenant-owned,    |
  |  immutable)       |   |  mutable)         |
  | - STUDENT         |   | - Department Head |
  | - TEACHER         |   |   (parent: TEACHER)|
  | - ADMINISTRATOR   |   | - Principal       |
  | - SUPPORT         |   |   (parent: ADMIN) |
  | - PROCTOR (v2)    |   | - Bursar          |
  +-------------------+   +-------------------+
            |                       |
            +-----------+-----------+
                        |
                        v
            +-----------------------+
            | EFFECTIVE PERMISSION  |
            | RESOLVER (ADR-067)    |
            | - flatten inheritance |
            | - filter to catalog   |
            | - return permission   |
            |   set                 |
            +-----------------------+</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Tenant Admin -&gt; RBAC API: Create custom role "Department Head"
RBAC API -&gt; Permission Catalog: Validate referenced permissions
Permission Catalog -&gt; RBAC API: All valid
RBAC API -&gt; Parent Check: Validate parent_role_id (TEACHER)
Parent Check -&gt; RBAC API: Valid, no cycle
RBAC API -&gt; Escalation Check: Permissions subset of system catalog
Escalation Check -&gt; RBAC API: No escalation
RBAC API -&gt; PostgreSQL: INSERT custom_role
PostgreSQL -&gt; RBAC API: role_id
RBAC API -&gt; Audit Service: Record CREATE with before/after
Audit Service -&gt; Audit Log: Append
RBAC API -&gt; Permission Cache: Invalidate tenant
RBAC API -&gt; Tenant Admin: Return role_id</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ADR-064 — RBAC Model  -  Component View         |
+-------------------------------------------------------------+
|                                                             |
|  +----------------+        +----------------------+         |
|  | Admin UI       |  CRUD  | Role/Permission      |         |
|  |                |-------&gt;| Service              |         |
|  +----------------+        +----------+-----------+         |
|                                       |                     |
|                                       | persists            |
|                                       v                     |
|  +----------------+        +----------------------+         |
|  | Repository     |  CRUD  | Postgres RBAC tables |         |
|  |                |-------&gt;| (roles, permissions, |         |
|  +----------------+        |  bundles, assignments)|        |
|                              +----------------------+         |
|                                                             |
|  Cache (Redis) for hot permission lookups                  |
|  Invalidation (ADR-069) on role/permission change          |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Permission Resolution Flow:
  User -&gt; App: action request
  App -&gt; Permission Resolver: 'permissions for user X?'
  Resolver -&gt; Cache (Redis): lookup
  (cache miss) Resolver -&gt; Postgres: query roles + bundles + assignments
  Resolver -&gt; Cache: store (TTL 5 min)
  Resolver -&gt; App: effective permissions
Cache Invalidation Flow (on role/permission change):
  Admin -&gt; RBAC Service: update role
  RBAC Service -&gt; Postgres: persist
  RBAC Service -&gt; Invalidation Publisher: 'invalidate users with role X'
  Invalidation Publisher -&gt; Redis: delete cached entries
  Invalidation Publisher -&gt; Audit: log 'CACHE_INVALIDATED'</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RBAC adds two tables. roles holds both system and custom roles with columns role_id (UUIDv7), tenant_id (NULL for system roles, set for custom roles), name, description, is_system (boolean), parent_role_id (nullable, self-referencing FK), catalog_version (for system roles), and created_at/updated_at. role_permissions is a join table with (role_id, permission_id) pairs; the permission_id references the permissions table defined in ADR-063. Both tables are indexed on tenant_id for the common tenant-scoped queries. The roles table is partitioned by tenant_id for custom roles (one partition per tenant for the largest, default partition for the rest); system roles live in a separate small unpartitioned table for query simplicity. A trigger enforces the no-escalation guard at write time as a defense-in-depth measure.</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Four new endpoints are introduced under /rbac/roles: GET (list, filtered by tenant and is_system), POST (create custom role), PUT (update custom role), and DELETE (soft-delete custom role). The /rbac/roles/{id}/permissions endpoint manages the role-permission join. System roles are read-only via the API (GET only); attempts to modify them return 403. The role-create endpoint validates the no-escalation guard and the cycle-free inheritance before writing; violations return 400 with a descriptive error. The frontend admin console exposes a role editor that visualizes the inheritance graph and the permission delta from the parent role, making it easy for tenant administrators to understand what a custom role adds.</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The RBAC model surfaces in the admin UI as the 'Roles', 'Permissions', and 'Bundles' management pages. Admins can create custom roles (name + description), assign permissions to roles, group permissions into bundles (e.g., 'Teacher Bundle', 'Admin Bundle'), and assign bundles to users. The UI includes a 'Permission Matrix' view showing which roles have which permissions (checkboxes for easy editing). The 'User Detail' page shows the user's assigned bundles and effective permissions (computed via ADR-067). Changes to roles or assignments trigger a confirmation modal ('This will affect N users. Continue?') to prevent accidental bulk permission changes.</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The two-tier model with the no-escalation guard is the critical security property. A tenant administrator cannot escalate their tenant's privileges beyond what the platform allows, even if they have full admin access to their tenant's role catalog. This protects the platform from malicious or compromised tenant administrators and protects tenants from their own mistakes. The single-parent inheritance design keeps the resolver tractable and auditable, which is essential for the regulatory requirement to demonstrate least-privilege enforcement. The audit trail of all role changes (per ADR-086) gives the compliance team the evidence they need for GDPR, COPPA, and DPDP audits. The version field on system roles allows the platform team to deprecate and remove permissions safely, with the resolver filtering out deprecated permissions as a defense-in-depth measure.</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The RBAC model is read-heavy on the hot path (the resolver queries roles and role_permissions for every authorization decision) and write-light (role changes are rare, typically a few per tenant per month). The resolver is cached in Redis per ADR-068, so the hot-path cost is a Redis lookup, not a database query. Cold-cache resolution (after invalidation or cold start) requires 2-3 database queries (roles, role_permissions, permission catalog), which takes 5-10ms; this is amortized across all subsequent requests for the same principal until the cache expires or is invalidated. Role writes trigger a cache invalidation for the affected tenant, which causes a brief cold-cache period for that tenant's principals; the impact is bounded by the cache warm-up job (per ADR-069).</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The model scales with the number of roles and assignments, not with request volume (which is handled by the cache). The projected peak is 100 custom roles per tenant and 1,000 tenants, giving 100,000 custom roles total. The roles table at this scale is 100,000 rows plus ~20 system roles, which is well within PostgreSQL's comfort zone. The role_permissions join table at an average of 10 permissions per role is 1,000,000 rows, also comfortable. The partitioning strategy (one partition per tenant for the largest) keeps individual partitions under 1,000 rows for the common tenant-scoped queries. The resolver's transitive inheritance walk is bounded by the single-parent constraint (max depth 2: custom role -&gt; parent role), so no scalability concern there.</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The RBAC subsystem is deployed as a Spring library embedded in the main backend. The system role catalog is versioned and ships with each release; the migration to a new catalog version is a blue-green deployment with a compatibility window during which both versions are accepted. The on-call runbook covers three failure modes: resolver cache miss storm (handled per ADR-069), role-write conflict (optimistic locking retry), and catalog-version mismatch (fail safe, return empty permission set with alert). The role editor in the admin console is the primary surface for tenant administrators; it includes a dry-run mode that shows the resolved permission set before the role is saved, reducing the risk of misconfiguration. Each failure mode is tested in the quarterly game-day.</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Tenant administrators create overly permissive custom roles, defeating least-privilege intent.</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Role editor shows permission delta from parent. Dry-run mode shows resolved permission set. Quarterly least-privilege audit by the platform team.</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Single-parent inheritance is insufficient for a future tenant's matrix organization, forcing a model redesign.</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Model can be extended to multi-parent without breaking single-parent cases. Trigger: any tenant requesting multi-parent inheritance forces a redesign ADR.</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System role catalog version migration disrupts tenants with custom roles referencing deprecated permissions.</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Deprecation is phased: mark deprecated -&gt; notify tenant -&gt; resolver filters deprecated -&gt; remove. Minimum 90-day window per deprecation.</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Resolver cache invalidation storm during a bulk role change (e.g., year-end role reset) overloads the database.</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Bulk role changes are batched and rate-limited. Cache warm-up job pre-populates affected principals. Documented in ADR-069.</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Tenant-specific role customization without code changes.</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Two catalogs add conceptual overhead and a small amount of query complexity.</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Single-parent inheritance keeps the resolver tractable and auditable.</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Matrix organizations must be expressed via multiple assignments, not multiple inheritance.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No-escalation guard protects against malicious or compromised tenant admins.</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Tenants cannot grant permissions beyond the system catalog, even if they have a legitimate edge case.</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Versioned system catalog enables safe platform evolution.</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Deprecation workflow adds operational overhead for the platform team.</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The flat model with an expanded system catalog was rejected because it cannot express tenant-specific organizational structures without bloating the system catalog with mostly-irrelevant roles. The multi-level inheritance DAG was rejected because the additional flexibility is not worth the resolver complexity, cycle-detection burden, and audit-trail readability cost at PreOne's scale; single-level inheritance covers the projected organizational structures. The single-catalog-with-ownership-flag approach was rejected because it loses the clean separation between platform and tenant ownership, creating UI confusion and making the no-escalation guard harder to enforce. The full reasoning is captured in the Options Considered table.</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Migration is phased over one quarter. Phase 1 (weeks 1-3): create the roles and role_permissions tables, populate the system role catalog from the legacy hard-coded roles, and deploy the resolver in shadow mode (logging decisions but not enforcing). Phase 2 (weeks 4-6): migrate existing role assignments (per ADR-065) from the legacy role strings to the new role_id references; a nightly reconciliation job flags drift. Phase 3 (weeks 7-9): enable the custom role catalog for a pilot group of 10 tenants; collect feedback and iterate the role editor UX. Phase 4 (weeks 10-12): enable the custom role catalog for all tenants; the legacy role strings are deprecated. Phase 5 (week 13): the legacy role strings are removed. Rollback is possible at any point in phases 1-3 by re-pointing the resolver at the legacy role strings; the shadow-mode period ensures the new model has been validated against production traffic before it enforces.</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The RBAC model is tested at three levels. Unit tests cover the resolver (role flattening, inheritance, escalation guard), the role-create validation, and the cycle-detection logic; coverage target is 95%. Integration tests cover the role editor flow, the cache invalidation behavior, and the catalog-version migration. End-to-end tests cover the full create-role -&gt; assign-role -&gt; authorize-request path. Security tests cover the no-escalation guard (must reject custom roles that grant unknown permissions), the tenant-scoping enforcement (must reject cross-tenant role references), and the cycle-detection (must reject cyclic inheritance). The acceptance criterion is zero authorization bypasses discovered in the post-cutover penetration test.</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Four golden signals are monitored. (1) Resolver latency p99: target under 5ms, alert above 8ms. (2) Cache hit rate: target above 95%, alert below 90%. (3) Role-write rate: target under 10 per tenant per month, alert on spikes (possible abuse or misconfiguration). (4) Escalation-guard rejection rate: target under 0.1% of role-create attempts, alert above 1% (possible attack or UI bug). A dedicated RBAC dashboard surfaces these alongside the per-tenant role count, the per-tenant custom-role distribution, and the system-catalog version adoption. Anomaly detection (per ADR-088) flags unusual role-change patterns (bulk changes, off-hours changes, changes by non-admin principals).</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The model is expected to evolve in three directions. First, the single-parent inheritance may be extended to multi-parent if a tenant requirement emerges that cannot be expressed via multiple assignments; the trigger is a formal request from a paying tenant. Second, the system role catalog may grow to include feature-specific roles (e.g., a LIBRARIAN role for the planned library-management feature); this is a routine platform evolution, not a model change. Third, the model may add a role-template concept (a system role that tenants can clone as a starting point for custom roles) to reduce the cold-start effort for new tenants; this is monitored but not planned for v1.</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ADR-061 - Identity Model (principals are assigned roles)</w:t>
      </w:r>
    </w:p>
    <w:p>
      <w:pPr>
        <w:pStyle w:val="ListParagraph"/>
        <w:numPr>
          <w:ilvl w:val="0"/>
          <w:numId w:val="1"/>
        </w:numPr>
        <w:spacing w:after="60" w:line="312"/>
        <w:ind w:left="720" w:hanging="360"/>
      </w:pPr>
      <w:r>
        <w:rPr>
          <w:rFonts w:ascii="Inter" w:eastAsia="Inter"/>
          <w:color w:val="1E293B"/>
          <w:sz w:val="22"/>
          <w:szCs w:val="22"/>
        </w:rPr>
        <w:t xml:space="preserve">ADR-063 - Authorization (permissions are the atomic unit referenced by roles)</w:t>
      </w:r>
    </w:p>
    <w:p>
      <w:pPr>
        <w:pStyle w:val="ListParagraph"/>
        <w:numPr>
          <w:ilvl w:val="0"/>
          <w:numId w:val="1"/>
        </w:numPr>
        <w:spacing w:after="60" w:line="312"/>
        <w:ind w:left="720" w:hanging="360"/>
      </w:pPr>
      <w:r>
        <w:rPr>
          <w:rFonts w:ascii="Inter" w:eastAsia="Inter"/>
          <w:color w:val="1E293B"/>
          <w:sz w:val="22"/>
          <w:szCs w:val="22"/>
        </w:rPr>
        <w:t xml:space="preserve">ADR-065 - Assignment Model (how principals are assigned to roles)</w:t>
      </w:r>
    </w:p>
    <w:p>
      <w:pPr>
        <w:pStyle w:val="ListParagraph"/>
        <w:numPr>
          <w:ilvl w:val="0"/>
          <w:numId w:val="1"/>
        </w:numPr>
        <w:spacing w:after="60" w:line="312"/>
        <w:ind w:left="720" w:hanging="360"/>
      </w:pPr>
      <w:r>
        <w:rPr>
          <w:rFonts w:ascii="Inter" w:eastAsia="Inter"/>
          <w:color w:val="1E293B"/>
          <w:sz w:val="22"/>
          <w:szCs w:val="22"/>
        </w:rPr>
        <w:t xml:space="preserve">ADR-066 - Bundle Strategy (predefined role bundles for common patterns)</w:t>
      </w:r>
    </w:p>
    <w:p>
      <w:pPr>
        <w:pStyle w:val="ListParagraph"/>
        <w:numPr>
          <w:ilvl w:val="0"/>
          <w:numId w:val="1"/>
        </w:numPr>
        <w:spacing w:after="60" w:line="312"/>
        <w:ind w:left="720" w:hanging="360"/>
      </w:pPr>
      <w:r>
        <w:rPr>
          <w:rFonts w:ascii="Inter" w:eastAsia="Inter"/>
          <w:color w:val="1E293B"/>
          <w:sz w:val="22"/>
          <w:szCs w:val="22"/>
        </w:rPr>
        <w:t xml:space="preserve">ADR-067 - Effective Permission Resolver (flattens roles into permission sets)</w:t>
      </w:r>
    </w:p>
    <w:p>
      <w:pPr>
        <w:pStyle w:val="ListParagraph"/>
        <w:numPr>
          <w:ilvl w:val="0"/>
          <w:numId w:val="1"/>
        </w:numPr>
        <w:spacing w:after="60" w:line="312"/>
        <w:ind w:left="720" w:hanging="360"/>
      </w:pPr>
      <w:r>
        <w:rPr>
          <w:rFonts w:ascii="Inter" w:eastAsia="Inter"/>
          <w:color w:val="1E293B"/>
          <w:sz w:val="22"/>
          <w:szCs w:val="22"/>
        </w:rPr>
        <w:t xml:space="preserve">ADR-068 - Permission Cache (caches resolved permission sets)</w:t>
      </w:r>
    </w:p>
    <w:p>
      <w:pPr>
        <w:pStyle w:val="ListParagraph"/>
        <w:numPr>
          <w:ilvl w:val="0"/>
          <w:numId w:val="1"/>
        </w:numPr>
        <w:spacing w:after="60" w:line="312"/>
        <w:ind w:left="720" w:hanging="360"/>
      </w:pPr>
      <w:r>
        <w:rPr>
          <w:rFonts w:ascii="Inter" w:eastAsia="Inter"/>
          <w:color w:val="1E293B"/>
          <w:sz w:val="22"/>
          <w:szCs w:val="22"/>
        </w:rPr>
        <w:t xml:space="preserve">ADR-086 - Audit Trail (records all role changes)</w:t>
      </w:r>
    </w:p>
    <w:p>
      <w:pPr>
        <w:pStyle w:val="ListParagraph"/>
        <w:numPr>
          <w:ilvl w:val="0"/>
          <w:numId w:val="1"/>
        </w:numPr>
        <w:spacing w:after="60" w:line="312"/>
        <w:ind w:left="720" w:hanging="360"/>
      </w:pPr>
      <w:r>
        <w:rPr>
          <w:rFonts w:ascii="Inter" w:eastAsia="Inter"/>
          <w:color w:val="1E293B"/>
          <w:sz w:val="22"/>
          <w:szCs w:val="22"/>
        </w:rPr>
        <w:t xml:space="preserve">ADR-043 - Tenant Isolation (custom roles are tenant-scoped)</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NIST SP 800-162 - Guide to ABAC Definition and Considerations, Section 3 (RBAC comparison). NIST. 2014.</w:t>
      </w:r>
    </w:p>
    <w:p>
      <w:pPr>
        <w:pStyle w:val="ListParagraph"/>
        <w:numPr>
          <w:ilvl w:val="0"/>
          <w:numId w:val="1"/>
        </w:numPr>
        <w:spacing w:after="60" w:line="312"/>
        <w:ind w:left="720" w:hanging="360"/>
      </w:pPr>
      <w:r>
        <w:rPr>
          <w:rFonts w:ascii="Inter" w:eastAsia="Inter"/>
          <w:color w:val="1E293B"/>
          <w:sz w:val="22"/>
          <w:szCs w:val="22"/>
        </w:rPr>
        <w:t xml:space="preserve">Sandhu, R. et al. - Role-Based Access Control Models. ACM Transactions on Information and System Security. 1996.</w:t>
      </w:r>
    </w:p>
    <w:p>
      <w:pPr>
        <w:pStyle w:val="ListParagraph"/>
        <w:numPr>
          <w:ilvl w:val="0"/>
          <w:numId w:val="1"/>
        </w:numPr>
        <w:spacing w:after="60" w:line="312"/>
        <w:ind w:left="720" w:hanging="360"/>
      </w:pPr>
      <w:r>
        <w:rPr>
          <w:rFonts w:ascii="Inter" w:eastAsia="Inter"/>
          <w:color w:val="1E293B"/>
          <w:sz w:val="22"/>
          <w:szCs w:val="22"/>
        </w:rPr>
        <w:t xml:space="preserve">OWASP Access Control Cheat Sheet, RBAC section. OWASP Foundation. 2024.</w:t>
      </w:r>
    </w:p>
    <w:p>
      <w:pPr>
        <w:pStyle w:val="ListParagraph"/>
        <w:numPr>
          <w:ilvl w:val="0"/>
          <w:numId w:val="1"/>
        </w:numPr>
        <w:spacing w:after="60" w:line="312"/>
        <w:ind w:left="720" w:hanging="360"/>
      </w:pPr>
      <w:r>
        <w:rPr>
          <w:rFonts w:ascii="Inter" w:eastAsia="Inter"/>
          <w:color w:val="1E293B"/>
          <w:sz w:val="22"/>
          <w:szCs w:val="22"/>
        </w:rPr>
        <w:t xml:space="preserve">ISO/IEC 21295:2018 - Information technology - Security techniques - Entity-based access control. ISO. 2018.</w:t>
      </w:r>
    </w:p>
    <w:p>
      <w:pPr>
        <w:pStyle w:val="ListParagraph"/>
        <w:numPr>
          <w:ilvl w:val="0"/>
          <w:numId w:val="1"/>
        </w:numPr>
        <w:spacing w:after="60" w:line="312"/>
        <w:ind w:left="720" w:hanging="360"/>
      </w:pPr>
      <w:r>
        <w:rPr>
          <w:rFonts w:ascii="Inter" w:eastAsia="Inter"/>
          <w:color w:val="1E293B"/>
          <w:sz w:val="22"/>
          <w:szCs w:val="22"/>
        </w:rPr>
        <w:t xml:space="preserve">PreOne Engineering Handbook, Section 4.4 - RBAC Model. Internal. 2025.</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2025-08-01</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Platform Security Architect</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options enumerated; consultation with security and engineering teams</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2025-09-17</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Platform Security Architect</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Architecture Review Board after cross-team review</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2025-10-15</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published to architecture repository</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2026-07-15</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cross-references to Vol 1-3 ADRs added; 34-section template applied</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Platform Security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Authorization Platform Lead</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Architecture Review Board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ADR published to architecture repository (Done)</w:t>
      </w:r>
    </w:p>
    <w:p>
      <w:pPr>
        <w:pStyle w:val="ListParagraph"/>
        <w:numPr>
          <w:ilvl w:val="0"/>
          <w:numId w:val="1"/>
        </w:numPr>
        <w:spacing w:after="60" w:line="312"/>
        <w:ind w:left="720" w:hanging="360"/>
      </w:pPr>
      <w:r>
        <w:rPr>
          <w:rFonts w:ascii="Inter" w:eastAsia="Inter"/>
          <w:color w:val="1E293B"/>
          <w:sz w:val="22"/>
          <w:szCs w:val="22"/>
        </w:rPr>
        <w:t xml:space="preserve">Cross-references to upstream/downstream artefacts added (Done)</w:t>
      </w:r>
    </w:p>
    <w:p>
      <w:pPr>
        <w:pStyle w:val="ListParagraph"/>
        <w:numPr>
          <w:ilvl w:val="0"/>
          <w:numId w:val="1"/>
        </w:numPr>
        <w:spacing w:after="60" w:line="312"/>
        <w:ind w:left="720" w:hanging="360"/>
      </w:pPr>
      <w:r>
        <w:rPr>
          <w:rFonts w:ascii="Inter" w:eastAsia="Inter"/>
          <w:color w:val="1E293B"/>
          <w:sz w:val="22"/>
          <w:szCs w:val="22"/>
        </w:rPr>
        <w:t xml:space="preserve">Security team briefed in monthly architecture sync (Done)</w:t>
      </w:r>
    </w:p>
    <w:p>
      <w:pPr>
        <w:pStyle w:val="ListParagraph"/>
        <w:numPr>
          <w:ilvl w:val="0"/>
          <w:numId w:val="1"/>
        </w:numPr>
        <w:spacing w:after="60" w:line="312"/>
        <w:ind w:left="720" w:hanging="360"/>
      </w:pPr>
      <w:r>
        <w:rPr>
          <w:rFonts w:ascii="Inter" w:eastAsia="Inter"/>
          <w:color w:val="1E293B"/>
          <w:sz w:val="22"/>
          <w:szCs w:val="22"/>
        </w:rPr>
        <w:t xml:space="preserve">Code review checklist updated to enforce this ADR (Done)</w:t>
      </w:r>
    </w:p>
    <w:p>
      <w:pPr>
        <w:pStyle w:val="ListParagraph"/>
        <w:numPr>
          <w:ilvl w:val="0"/>
          <w:numId w:val="1"/>
        </w:numPr>
        <w:spacing w:after="60" w:line="312"/>
        <w:ind w:left="720" w:hanging="360"/>
      </w:pPr>
      <w:r>
        <w:rPr>
          <w:rFonts w:ascii="Inter" w:eastAsia="Inter"/>
          <w:color w:val="1E293B"/>
          <w:sz w:val="22"/>
          <w:szCs w:val="22"/>
        </w:rPr>
        <w:t xml:space="preserve">On-call runbook updated with operational procedures (Done)</w:t>
      </w:r>
    </w:p>
    <w:p>
      <w:pPr>
        <w:pStyle w:val="ListParagraph"/>
        <w:numPr>
          <w:ilvl w:val="0"/>
          <w:numId w:val="1"/>
        </w:numPr>
        <w:spacing w:after="60" w:line="312"/>
        <w:ind w:left="720" w:hanging="360"/>
      </w:pPr>
      <w:r>
        <w:rPr>
          <w:rFonts w:ascii="Inter" w:eastAsia="Inter"/>
          <w:color w:val="1E293B"/>
          <w:sz w:val="22"/>
          <w:szCs w:val="22"/>
        </w:rPr>
        <w:t xml:space="preserve">Roles, Permissions, Bundles, Assignments tables deployed (Done)</w:t>
      </w:r>
    </w:p>
    <w:p>
      <w:pPr>
        <w:pStyle w:val="ListParagraph"/>
        <w:numPr>
          <w:ilvl w:val="0"/>
          <w:numId w:val="1"/>
        </w:numPr>
        <w:spacing w:after="60" w:line="312"/>
        <w:ind w:left="720" w:hanging="360"/>
      </w:pPr>
      <w:r>
        <w:rPr>
          <w:rFonts w:ascii="Inter" w:eastAsia="Inter"/>
          <w:color w:val="1E293B"/>
          <w:sz w:val="22"/>
          <w:szCs w:val="22"/>
        </w:rPr>
        <w:t xml:space="preserve">Admin UI for role/bundle management (Done)</w:t>
      </w:r>
    </w:p>
    <w:p>
      <w:pPr>
        <w:pStyle w:val="ListParagraph"/>
        <w:numPr>
          <w:ilvl w:val="0"/>
          <w:numId w:val="1"/>
        </w:numPr>
        <w:spacing w:after="60" w:line="312"/>
        <w:ind w:left="720" w:hanging="360"/>
      </w:pPr>
      <w:r>
        <w:rPr>
          <w:rFonts w:ascii="Inter" w:eastAsia="Inter"/>
          <w:color w:val="1E293B"/>
          <w:sz w:val="22"/>
          <w:szCs w:val="22"/>
        </w:rPr>
        <w:t xml:space="preserve">Permission Matrix view implemented (Done)</w:t>
      </w:r>
    </w:p>
    <w:p>
      <w:pPr>
        <w:pStyle w:val="ListParagraph"/>
        <w:numPr>
          <w:ilvl w:val="0"/>
          <w:numId w:val="1"/>
        </w:numPr>
        <w:spacing w:after="60" w:line="312"/>
        <w:ind w:left="720" w:hanging="360"/>
      </w:pPr>
      <w:r>
        <w:rPr>
          <w:rFonts w:ascii="Inter" w:eastAsia="Inter"/>
          <w:color w:val="1E293B"/>
          <w:sz w:val="22"/>
          <w:szCs w:val="22"/>
        </w:rPr>
        <w:t xml:space="preserve">Default roles (admin, teacher, parent, student) pre-loaded (Done)</w:t>
      </w:r>
    </w:p>
    <w:p>
      <w:pPr>
        <w:pStyle w:val="ListParagraph"/>
        <w:numPr>
          <w:ilvl w:val="0"/>
          <w:numId w:val="1"/>
        </w:numPr>
        <w:spacing w:after="60" w:line="312"/>
        <w:ind w:left="720" w:hanging="360"/>
      </w:pPr>
      <w:r>
        <w:rPr>
          <w:rFonts w:ascii="Inter" w:eastAsia="Inter"/>
          <w:color w:val="1E293B"/>
          <w:sz w:val="22"/>
          <w:szCs w:val="22"/>
        </w:rPr>
        <w:t xml:space="preserve">Quarterly role-review process (Scheduled)</w:t>
      </w:r>
    </w:p>
    <w:p>
      <w:pPr>
        <w:spacing w:after="60" w:before="360" w:line="280"/>
      </w:pPr>
      <w:r>
        <w:rPr>
          <w:rFonts w:ascii="Inter" w:eastAsia="Inter"/>
          <w:b/>
          <w:bCs/>
          <w:color w:val="4F46E5"/>
          <w:spacing w:val="60"/>
          <w:sz w:val="22"/>
          <w:szCs w:val="22"/>
        </w:rPr>
        <w:t xml:space="preserve">ADR-065</w:t>
      </w:r>
    </w:p>
    <w:p>
      <w:pPr>
        <w:pStyle w:val="Heading1"/>
        <w:spacing w:after="200" w:before="60" w:line="312"/>
      </w:pPr>
      <w:r>
        <w:rPr>
          <w:rFonts w:ascii="Inter" w:eastAsia="Inter"/>
          <w:b/>
          <w:bCs/>
          <w:color w:val="0F172A"/>
          <w:sz w:val="36"/>
          <w:szCs w:val="36"/>
        </w:rPr>
        <w:t xml:space="preserve">Assignment Model</w:t>
      </w:r>
    </w:p>
    <w:p>
      <w:pPr>
        <w:spacing w:after="120" w:line="280"/>
      </w:pPr>
      <w:r>
        <w:rPr>
          <w:rFonts w:ascii="Inter" w:eastAsia="Inter"/>
          <w:color w:val="64748B"/>
          <w:sz w:val="20"/>
          <w:szCs w:val="20"/>
        </w:rPr>
        <w:t xml:space="preserve">Volume 4 — Security Architecture  -  </w:t>
      </w:r>
      <w:r>
        <w:rPr>
          <w:rFonts w:ascii="Inter" w:eastAsia="Inter"/>
          <w:color w:val="64748B"/>
          <w:sz w:val="20"/>
          <w:szCs w:val="20"/>
        </w:rPr>
        <w:t xml:space="preserve">Identity &amp; Security</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Adopt a direct-assignment model with optional delegation: principals are assigned roles directly via a role_assignments table, and any principal with the delegate permission may delegate a subset of their own roles to another principal within the same tenant. Assignments carry an optional expiration timestamp and an optional scope (e.g., a class_id or school_id) that constrains the role's applicability. All assignments are auditable and revocable.</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Platform Security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review, or on trigger event (incident, major version upgrade, or strategic shift)</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refreshes for series alignment and cross-references)</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The legacy assignment model is a simple user_role join table with (user_id, role_string) pairs, no expiration, no scope, and no delegation. It has produced two operational pain points.
First, expiration. The school year ends in June, but role assignments persist indefinitely until manually revoked. A teacher who moves to a new school keeps their old school's TEACHER role until an administrator notices and revokes it, which often takes months. The 2025 Q2 audit found 1,200 stale assignments across the platform, 47 of which had been used to access resources after the principal's official departure date.
Second, scope. The TEACHER role grants gradebook.view for any class in the tenant, but a teacher should only view gradebooks for classes they teach. The legacy model has no way to express this, so the application layer adds if (teacher teaches this class) checks scattered through the code, which is the same anti-pattern that ADR-063 rejected for authorization in general.
Third, delegation. A principal who needs to delegate a task (e.g., a department head delegating grade-review duties to an assistant during an absence) has no clean way to do so. They either share their credentials (a security violation) or an administrator grants the assistant a full TEACHER role (over-broad). Neither is satisfactory.
This ADR defines an assignment model that addresses all three pain points. Assignments carry expiration and scope, and a delegation mechanism allows principals to delegate subsets of their own roles within their tenant. The Effective Permission Resolver (ADR-067) flattens direct and delegated assignments into a permission set, applying scope and expiration at resolution time.</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The 2026 international expansion requires that the platform support school-year-aligned role expiration, which is a hard requirement in EU and US K-12 markets where the academic calendar drives staffing. The business also requires that the platform support scoped assignments (a teacher assigned to a specific class, not the whole tenant) to satisfy least-privilege expectations under GDPR and DPDP. Finally, the business requires a delegation mechanism to support the substitute-teacher workflow that is common in all three target markets: a regular teacher delegates their class-scoped authority to a substitute for the duration of an absence, without granting the substitute tenant-wide access.</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The legacy assignment model lacks expiration, scope, and delegation, producing stale assignments, over-broad access, and insecure credential sharing as workarounds. PreOne needs an assignment model with optional expiration, optional scope, and a delegation mechanism that respects tenant boundaries and least privilege.</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Assignments must support optional expiration (timestamp) and optional scope (resource ID + resource type).</w:t>
      </w:r>
    </w:p>
    <w:p>
      <w:pPr>
        <w:pStyle w:val="ListParagraph"/>
        <w:numPr>
          <w:ilvl w:val="0"/>
          <w:numId w:val="1"/>
        </w:numPr>
        <w:spacing w:after="60" w:line="312"/>
        <w:ind w:left="720" w:hanging="360"/>
      </w:pPr>
      <w:r>
        <w:rPr>
          <w:rFonts w:ascii="Inter" w:eastAsia="Inter"/>
          <w:color w:val="1E293B"/>
          <w:sz w:val="22"/>
          <w:szCs w:val="22"/>
        </w:rPr>
        <w:t xml:space="preserve">Delegation must be transitive-bounded: A delegates to B, but B cannot delegate further (no chains longer than 1).</w:t>
      </w:r>
    </w:p>
    <w:p>
      <w:pPr>
        <w:pStyle w:val="ListParagraph"/>
        <w:numPr>
          <w:ilvl w:val="0"/>
          <w:numId w:val="1"/>
        </w:numPr>
        <w:spacing w:after="60" w:line="312"/>
        <w:ind w:left="720" w:hanging="360"/>
      </w:pPr>
      <w:r>
        <w:rPr>
          <w:rFonts w:ascii="Inter" w:eastAsia="Inter"/>
          <w:color w:val="1E293B"/>
          <w:sz w:val="22"/>
          <w:szCs w:val="22"/>
        </w:rPr>
        <w:t xml:space="preserve">Delegation must be revocable by either the delegator or a tenant administrator at any time.</w:t>
      </w:r>
    </w:p>
    <w:p>
      <w:pPr>
        <w:pStyle w:val="ListParagraph"/>
        <w:numPr>
          <w:ilvl w:val="0"/>
          <w:numId w:val="1"/>
        </w:numPr>
        <w:spacing w:after="60" w:line="312"/>
        <w:ind w:left="720" w:hanging="360"/>
      </w:pPr>
      <w:r>
        <w:rPr>
          <w:rFonts w:ascii="Inter" w:eastAsia="Inter"/>
          <w:color w:val="1E293B"/>
          <w:sz w:val="22"/>
          <w:szCs w:val="22"/>
        </w:rPr>
        <w:t xml:space="preserve">Assignments cannot grant roles from another tenant (cross-tenant delegation is forbidden).</w:t>
      </w:r>
    </w:p>
    <w:p>
      <w:pPr>
        <w:pStyle w:val="ListParagraph"/>
        <w:numPr>
          <w:ilvl w:val="0"/>
          <w:numId w:val="1"/>
        </w:numPr>
        <w:spacing w:after="60" w:line="312"/>
        <w:ind w:left="720" w:hanging="360"/>
      </w:pPr>
      <w:r>
        <w:rPr>
          <w:rFonts w:ascii="Inter" w:eastAsia="Inter"/>
          <w:color w:val="1E293B"/>
          <w:sz w:val="22"/>
          <w:szCs w:val="22"/>
        </w:rPr>
        <w:t xml:space="preserve">Expired assignments must be lazily filtered by the resolver (no background job required for correctness).</w:t>
      </w:r>
    </w:p>
    <w:p>
      <w:pPr>
        <w:pStyle w:val="ListParagraph"/>
        <w:numPr>
          <w:ilvl w:val="0"/>
          <w:numId w:val="1"/>
        </w:numPr>
        <w:spacing w:after="60" w:line="312"/>
        <w:ind w:left="720" w:hanging="360"/>
      </w:pPr>
      <w:r>
        <w:rPr>
          <w:rFonts w:ascii="Inter" w:eastAsia="Inter"/>
          <w:color w:val="1E293B"/>
          <w:sz w:val="22"/>
          <w:szCs w:val="22"/>
        </w:rPr>
        <w:t xml:space="preserve">All assignment changes must be auditable with principal_id of actor, before/after state per ADR-086.</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The RBAC model defined in ADR-064 is the source of role definitions; assignments reference role_id.</w:t>
      </w:r>
    </w:p>
    <w:p>
      <w:pPr>
        <w:pStyle w:val="ListParagraph"/>
        <w:numPr>
          <w:ilvl w:val="0"/>
          <w:numId w:val="1"/>
        </w:numPr>
        <w:spacing w:after="60" w:line="312"/>
        <w:ind w:left="720" w:hanging="360"/>
      </w:pPr>
      <w:r>
        <w:rPr>
          <w:rFonts w:ascii="Inter" w:eastAsia="Inter"/>
          <w:color w:val="1E293B"/>
          <w:sz w:val="22"/>
          <w:szCs w:val="22"/>
        </w:rPr>
        <w:t xml:space="preserve">The Effective Permission Resolver (ADR-067) applies scope and expiration at resolution time.</w:t>
      </w:r>
    </w:p>
    <w:p>
      <w:pPr>
        <w:pStyle w:val="ListParagraph"/>
        <w:numPr>
          <w:ilvl w:val="0"/>
          <w:numId w:val="1"/>
        </w:numPr>
        <w:spacing w:after="60" w:line="312"/>
        <w:ind w:left="720" w:hanging="360"/>
      </w:pPr>
      <w:r>
        <w:rPr>
          <w:rFonts w:ascii="Inter" w:eastAsia="Inter"/>
          <w:color w:val="1E293B"/>
          <w:sz w:val="22"/>
          <w:szCs w:val="22"/>
        </w:rPr>
        <w:t xml:space="preserve">Delegation depth of 1 is sufficient for PreOne's workflows (substitute teacher, temporary department head).</w:t>
      </w:r>
    </w:p>
    <w:p>
      <w:pPr>
        <w:pStyle w:val="ListParagraph"/>
        <w:numPr>
          <w:ilvl w:val="0"/>
          <w:numId w:val="1"/>
        </w:numPr>
        <w:spacing w:after="60" w:line="312"/>
        <w:ind w:left="720" w:hanging="360"/>
      </w:pPr>
      <w:r>
        <w:rPr>
          <w:rFonts w:ascii="Inter" w:eastAsia="Inter"/>
          <w:color w:val="1E293B"/>
          <w:sz w:val="22"/>
          <w:szCs w:val="22"/>
        </w:rPr>
        <w:t xml:space="preserve">Scope is expressed as (resource_type, resource_id) pairs (e.g., CLASS, class-123) and enforced by the resolver.</w:t>
      </w:r>
    </w:p>
    <w:p>
      <w:pPr>
        <w:pStyle w:val="ListParagraph"/>
        <w:numPr>
          <w:ilvl w:val="0"/>
          <w:numId w:val="1"/>
        </w:numPr>
        <w:spacing w:after="60" w:line="312"/>
        <w:ind w:left="720" w:hanging="360"/>
      </w:pPr>
      <w:r>
        <w:rPr>
          <w:rFonts w:ascii="Inter" w:eastAsia="Inter"/>
          <w:color w:val="1E293B"/>
          <w:sz w:val="22"/>
          <w:szCs w:val="22"/>
        </w:rPr>
        <w:t xml:space="preserve">Tenant administrators will accept that delegation is a principal-level action they cannot override (only revoke).</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Direct assignment with optional expiration, optional scope, and single-level delegation.</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Addresses all three pain points. Simple resolver (flatten direct + delegated, apply scope + expiration). Auditable.</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Single-level delegation may be insufficient for complex workflows. Scope adds resolver complexity.</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Adopted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Direct assignment with expiration and scope, no delegation.</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Simplest model. No transitive-delegation risk. Easy to audit.</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Cannot express substitute-teacher workflow without admin intervention. Forces credential sharing as a workaround.</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Direct assignment with unlimited transitive delegation (A -&gt; B -&gt; C -&gt; ...).</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Maximum flexibility. Can express any delegation chain.</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Resolver complexity grows with chain depth. Revocation is complex (must propagate down the chain). Audit trail is hard to read. Disproportionate complexity for PreOne's needs.</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Attribute-based assignment (ABAC) replacing RBAC entirely.</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Maximum flexibility. Scope and expiration are natural attributes.</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 the ABAC-primary approach in ADR-063; ABAC is the fallback, not the primary. Would require redesigning the entire authorization stack.</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Adopt a direct-assignment model with optional expiration, optional scope, and single-level delegation. The role_assignments table records (principal_id, role_id, tenant_id, scope_type, scope_id, expires_at, assigned_by, assigned_at) for direct assignments and (principal_id, role_id, tenant_id, scope_type, scope_id, expires_at, delegated_by, delegated_at) for delegated assignments. Delegation is single-level: a delegated assignment cannot be further delegated (enforced at write time). Delegation is revocable by the delegator or a tenant administrator. The resolver (ADR-067) flattens direct and delegated assignments, applies scope and expiration, and returns the effective permission set. All assignment changes emit an audit event per ADR-086.</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The direct-assignment model with delegation was chosen over the no-delegation and unlimited-delegation alternatives because it is the simplest model that meets PreOne's substitute-teacher workflow requirement. The no-delegation model forces the substitute-teacher workflow to go through a tenant administrator, which adds latency (the admin must be available) and over-grants (the substitute typically receives a full TEACHER role rather than a class-scoped delegation). The unlimited-delegation model adds resolver complexity (transitive delegation chains), revocation complexity (cascading revocation), and audit complexity (chains are hard to read) that are disproportionate to PreOne's needs.
The single-level delegation constraint is enforced at write time: the assignment-create endpoint checks whether the delegator's own assignment is a direct assignment (not a delegated one) and rejects the delegation if not. This is a simple check that prevents delegation chains from forming. The constraint is also enforced at read time by the resolver as a defense-in-depth measure: even if a delegated assignment somehow has a delegated_by field that points to another delegated assignment, the resolver ignores it.
The scope mechanism is the most important addition. Scope is expressed as (scope_type, scope_id) pairs: a teacher assigned the TEACHER role with scope (CLASS, class-123) has the TEACHER role's permissions only for the class-123 resource, not for the whole tenant. The resolver applies scope at resolution time: a permission check for gradebook.view on class-123 succeeds, but the same check on class-456 fails (assuming no other assignment grants it). Scope is optional; an assignment without scope applies to the whole tenant, which is the legacy behavior. This backward compatibility is important for the migration: existing assignments are imported without scope, and scoped assignments are introduced incrementally per bounded context.
The expiration mechanism is the second important addition. An assignment with an expires_at timestamp is lazily filtered by the resolver: at resolution time, the resolver checks whether expires_at is in the past and, if so, excludes the assignment from the permission set. A nightly job soft-deletes expired assignments for hygiene (to keep the role_assignments table from growing without bound), but correctness does not depend on the job running. This is the lazy-expiration pattern, which is robust to job failures.
The decision to allow delegation to be revoked by either the delegator or a tenant administrator (but not by the delegatee) is driven by the principle that delegation is a grant, not a contract. The delegator can revoke because they granted; the administrator can revoke because they have tenant-wide authority. The delegatee cannot revoke because revocation is not their action (they can simply not use the delegated authority, which is functionally equivalent). This asymmetry simplifies the revocation logic and the audit trail.
The decision to forbid cross-tenant delegation is driven by the tenant-isolation requirement (ADR-043). A principal in tenant A cannot delegate to a principal in tenant B, even if both are part of the same school chain (multi-tenant organizations are modeled as separate tenants per ADR-043, with a platform-level operator role for cross-tenant administration). This prevents the cross-tenant access paths that the 2025 Q2 audit identified as the legacy model's most serious failure.
The audit trail of all assignment changes (per ADR-086) is the substrate on which the compliance logging (ADR-087) and security monitoring (ADR-088) layers are built. Every assignment create, update (scope or expiration change), and delete is recorded with the principal_id of the actor, the timestamp, and the before/after JSONB state. This is the evidence the compliance team needs for GDPR, COPPA, and DPDP audits, and the evidence the security team needs to detect anomalous assignment patterns (e.g., a principal suddenly receiving a large number of delegations, which may indicate a compromised account).</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PREONE ASSIGNMENT MODEL                           |
+-----------------------------------------------------------+
|  role_assignments (PostgreSQL, tenant-scoped)             |
|  - assignment_id (UUIDv7, PK)                             |
|  - principal_id (FK -&gt; identities)                        |
|  - role_id (FK -&gt; roles)                                  |
|  - tenant_id (FK -&gt; tenants)                              |
|  - scope_type, scope_id (optional)                        |
|  - expires_at (optional)                                  |
|  - assigned_by (direct) OR delegated_by (delegated)       |
|  - assigned_at / delegated_at                             |
+-----------------------------------------------------------+
            |
            v
  +-----------------------+         +-----------------------+
  | DIRECT ASSIGNMENT     |         | DELEGATED ASSIGNMENT  |
  | (assigned_by = admin) |         | (delegated_by = user) |
  | - no chain            |         | - single-level only   |
  | - full admin control  |         | - revocable by either |
  +-----------+-----------+         +-----------+-----------+
              |                                 |
              +----------------+----------------+
                               |
                               v
                  +------------------------+
                  | EFFECTIVE PERMISSION   |
                  | RESOLVER (ADR-067)     |
                  | - flatten direct+deleg |
                  | - apply scope filter   |
                  | - apply expiration     |
                  | - return permission set|
                  +------------------------+</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Teacher -&gt; Assignment API: Delegate TEACHER role to Substitute
Assignment API -&gt; Delegator Check: Validate teacher has TEACHER (direct)
Delegator Check -&gt; Assignment API: Valid, direct assignment
Assignment API -&gt; Tenant Check: Both principals in same tenant
Tenant Check -&gt; Assignment API: Same tenant
Assignment API -&gt; Scope Check: Apply scope (CLASS, class-123)
Assignment API -&gt; Expiration: Set expires_at (end of week)
Assignment API -&gt; PostgreSQL: INSERT role_assignment
PostgreSQL -&gt; Assignment API: assignment_id
Assignment API -&gt; Audit Service: Record DELEGATE event
Audit Service -&gt; Audit Log: Append
Assignment API -&gt; Permission Cache: Invalidate substitute
Assignment API -&gt; Teacher: Return assignment_id</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ADR-065 — Assignment Model  -  Component View         |
+-------------------------------------------------------------+
|                                                             |
|  +----------------+        +----------------------+         |
|  | Admin UI       |  CRUD  | Role/Permission      |         |
|  |                |-------&gt;| Service              |         |
|  +----------------+        +----------+-----------+         |
|                                       |                     |
|                                       | persists            |
|                                       v                     |
|  +----------------+        +----------------------+         |
|  | Repository     |  CRUD  | Postgres RBAC tables |         |
|  |                |-------&gt;| (roles, permissions, |         |
|  +----------------+        |  bundles, assignments)|        |
|                              +----------------------+         |
|                                                             |
|  Cache (Redis) for hot permission lookups                  |
|  Invalidation (ADR-069) on role/permission change          |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Permission Resolution Flow:
  User -&gt; App: action request
  App -&gt; Permission Resolver: 'permissions for user X?'
  Resolver -&gt; Cache (Redis): lookup
  (cache miss) Resolver -&gt; Postgres: query roles + bundles + assignments
  Resolver -&gt; Cache: store (TTL 5 min)
  Resolver -&gt; App: effective permissions
Cache Invalidation Flow (on role/permission change):
  Admin -&gt; RBAC Service: update role
  RBAC Service -&gt; Postgres: persist
  RBAC Service -&gt; Invalidation Publisher: 'invalidate users with role X'
  Invalidation Publisher -&gt; Redis: delete cached entries
  Invalidation Publisher -&gt; Audit: log 'CACHE_INVALIDATED'</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The role_assignments table replaces the legacy user_role join table. Columns: assignment_id (UUIDv7 PK), principal_id (FK), role_id (FK), tenant_id (FK), scope_type (enum: CLASS, SCHOOL, DEPARTMENT, TENANT), scope_id (nullable, resource ID), expires_at (nullable, timestamptz), assigned_by (nullable, principal_id of admin for direct), delegated_by (nullable, principal_id of delegator for delegated), assigned_at, delegated_at. Exactly one of assigned_by or delegated_by is non-null. The table is partitioned by tenant_id. Indexes on (principal_id, tenant_id) for resolution, (delegated_by) for revocation lookups, and (expires_at) for the nightly cleanup job. The legacy user_role table is retained in read-only mode for the migration window and then archived.</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Six endpoints are introduced under /assignments: GET (list, filtered by principal, role, tenant), POST (create direct or delegated assignment), PUT (update scope or expiration), DELETE (revoke), GET /{id} (detail), and POST /{id}/revoke (explicit revoke). The create endpoint enforces the single-level delegation constraint (delegated assignments cannot be further delegated) and the same-tenant constraint (delegator and delegatee must be in the same tenant). The frontend admin console exposes an assignment editor that visualizes the delegation graph and the scope, making it easy for administrators to understand who has what authority over which resources. The substitute-teacher workflow is a dedicated UI flow that pre-fills the scope and expiration for common cases.</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The RBAC model surfaces in the admin UI as the 'Roles', 'Permissions', and 'Bundles' management pages. Admins can create custom roles (name + description), assign permissions to roles, group permissions into bundles (e.g., 'Teacher Bundle', 'Admin Bundle'), and assign bundles to users. The UI includes a 'Permission Matrix' view showing which roles have which permissions (checkboxes for easy editing). The 'User Detail' page shows the user's assigned bundles and effective permissions (computed via ADR-067). Changes to roles or assignments trigger a confirmation modal ('This will affect N users. Continue?') to prevent accidental bulk permission changes.</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The assignment model directly enables least-privilege enforcement via scope. A teacher with a class-scoped TEACHER role cannot access other classes' gradebooks, which closes the over-broad access path that the legacy model allowed. The expiration mechanism closes the stale-assignment path that the 2025 Q2 audit identified (1,200 stale assignments, 47 of which were used after the principal's departure). The single-level delegation constraint prevents delegation chains from forming, which keeps the resolver tractable and the audit trail readable. The same-tenant constraint closes the cross-tenant delegation path that would otherwise be a tenant-isolation violation. The audit trail of all assignment changes gives the compliance team the evidence they need for GDPR Article 32, COPPA, and DPDP Section 8 audits.</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The assignment model is read-heavy on the hot path (the resolver queries role_assignments for every authorization decision) and write-light (assignment changes are rare, typically a few per principal per month). The resolver is cached in Redis per ADR-068, so the hot-path cost is a Redis lookup. Cold-cache resolution requires 1-2 database queries (role_assignments by principal_id, optionally roles by role_id), which takes 3-5ms. The scope and expiration filters are applied in-memory by the resolver after the cache lookup, adding negligible overhead. Assignment writes trigger a cache invalidation for the affected principal and tenant, which causes a brief cold-cache period; the impact is bounded by the cache warm-up job (per ADR-069).</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The model scales with the number of assignments, projected to grow from two hundred thousand to four million over three years (one assignment per principal on average, with delegations adding 10-20%). The role_assignments table at this scale is 4 million rows, partitioned by tenant_id, with the largest tenant partitions under 500,000 rows. The (principal_id, tenant_id) index supports the common resolution query in under 5ms at p99. The (delegated_by) index supports the revocation lookup in under 5ms. The (expires_at) index supports the nightly cleanup job efficiently. The resolver's scope and expiration filters are in-memory and add no scalability concern. No architectural ceiling is anticipated within the three-year planning horizon.</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The assignment subsystem is deployed as a Spring library embedded in the main backend. The nightly cleanup job soft-deletes expired assignments; the job is idempotent and can be re-run safely. The on-call runbook covers three failure modes: resolver cache miss storm (handled per ADR-069), assignment-write conflict (optimistic locking retry), and delegation-chain violation (write-time rejection, no runtime impact). The substitute-teacher workflow is the primary user-facing surface; it is documented in the teacher handbook and tested in the quarterly game-day. The assignment editor in the admin console includes a dry-run mode that shows the resolved permission set before the assignment is saved, reducing the risk of over-granting.</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Delegation is abused to grant persistent access that should be temporary (delegator forgets to revoke).</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Delegations require expires_at (max 30 days). Auto-revocation at expiration. Weekly digest to delegators of active delegations.</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Scope is not applied consistently across bounded contexts, producing over-broad access in some paths.</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Resolver applies scope centrally; bounded contexts cannot bypass. Quarterly scope-coverage audit. CI checks for resource-type registration.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Single-level delegation is insufficient for a future workflow (e.g., district-level cascading delegation).</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Model can be extended to multi-level without breaking single-level cases. Trigger: formal request from a district-level deployment.</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Stale assignments accumulate if the nightly cleanup job fails silently.</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Correctness does not depend on the job (lazy expiration). Job failure alerts on the dashboard. Job is idempotent and re-runnable.</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Expiration closes the stale-assignment path and reduces manual revocation burden.</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Principals may lose access unexpectedly if expiration is set too aggressively.</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Scope enables least-privilege per resource, not just per tenant.</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Resolver complexity increases with scope filtering.</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Single-level delegation supports the substitute-teacher workflow cleanly.</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Complex delegation chains require administrator intervention, not self-service.</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Same-tenant constraint closes cross-tenant delegation paths.</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Multi-tenant organizations cannot delegate across tenants without operator involvement.</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The no-delegation model was rejected because it forces the substitute-teacher workflow through a tenant administrator, adding latency and over-granting access (the substitute receives a full TEACHER role rather than a class-scoped delegation). The unlimited-transitive-delegation model was rejected because the resolver complexity, revocation complexity, and audit-trail readability cost are disproportionate to PreOne's needs; single-level delegation covers the substitute-teacher and temporary-department-head workflows. The ABAC-replaces-RBAC option was rejected because ADR-063 already decided that RBAC is the primary mechanism with ABAC as the fallback; replacing RBAC entirely would require redesigning the entire authorization stack. The full reasoning is captured in the Options Considered table.</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Migration is phased over one quarter. Phase 1 (weeks 1-3): create the role_assignments table, deploy the resolver in shadow mode (logging decisions but not enforcing). Phase 2 (weeks 4-6): migrate existing user_role rows to role_assignments without scope or expiration (legacy behavior preserved); a nightly reconciliation job flags drift. Phase 3 (weeks 7-9): enable scoped assignments for a pilot bounded context (gradebook); collect feedback and iterate the resolver's scope filtering. Phase 4 (weeks 10-12): enable scoped assignments for all bounded contexts; enable delegation for all tenants. Phase 5 (week 13): the legacy user_role table is marked read-only and a final reconciliation is performed. Rollback is possible at any point in phases 1-3 by re-pointing the resolver at the legacy user_role table.</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The assignment model is tested at three levels. Unit tests cover the resolver (scope filtering, expiration filtering, delegation flattening), the assignment-create validation (single-level delegation, same-tenant, scope validity), and the revocation logic; coverage target is 95%. Integration tests cover the delegation workflow (create, use, revoke), the scope enforcement across bounded contexts, and the expiration behavior (lazy filtering and nightly cleanup). End-to-end tests cover the substitute-teacher workflow from delegation to authorization to revocation. Security tests cover the cross-tenant delegation rejection, the delegation-chain rejection, and the scope-bypass attempts. The acceptance criterion is zero authorization bypasses discovered in the post-cutover penetration test.</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Four golden signals are monitored. (1) Resolver latency p99: target under 5ms, alert above 8ms. (2) Cache hit rate: target above 95%, alert below 90%. (3) Assignment-write rate: target under 100 per tenant per month, alert on spikes (possible abuse or year-end processing). (4) Expired-assignment cleanup lag: target under 24 hours, alert above 48 hours (job may be stuck). A dedicated assignment dashboard surfaces these alongside the per-tenant assignment count, the delegation graph depth, and the scope-coverage percentage. Anomaly detection (per ADR-088) flags unusual assignment patterns (bulk delegations, off-hours assignments, assignments by non-admin principals).</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The model is expected to evolve in three directions. First, the single-level delegation may be extended to multi-level if a district-level deployment requires cascading delegation; the trigger is a formal request from a district customer. Second, the scope mechanism may add new scope types (e.g., TIME_PERIOD for term-bound roles) as new bounded contexts adopt scoped assignments; this is a routine extension, not a model change. Third, the model may add a role-request workflow (principals request assignments that an administrator approves) to reduce the administrator burden for common cases; this is monitored but not planned for v1.</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ADR-061 - Identity Model (principals are the subject of assignments)</w:t>
      </w:r>
    </w:p>
    <w:p>
      <w:pPr>
        <w:pStyle w:val="ListParagraph"/>
        <w:numPr>
          <w:ilvl w:val="0"/>
          <w:numId w:val="1"/>
        </w:numPr>
        <w:spacing w:after="60" w:line="312"/>
        <w:ind w:left="720" w:hanging="360"/>
      </w:pPr>
      <w:r>
        <w:rPr>
          <w:rFonts w:ascii="Inter" w:eastAsia="Inter"/>
          <w:color w:val="1E293B"/>
          <w:sz w:val="22"/>
          <w:szCs w:val="22"/>
        </w:rPr>
        <w:t xml:space="preserve">ADR-063 - Authorization (resolver consumes assignments)</w:t>
      </w:r>
    </w:p>
    <w:p>
      <w:pPr>
        <w:pStyle w:val="ListParagraph"/>
        <w:numPr>
          <w:ilvl w:val="0"/>
          <w:numId w:val="1"/>
        </w:numPr>
        <w:spacing w:after="60" w:line="312"/>
        <w:ind w:left="720" w:hanging="360"/>
      </w:pPr>
      <w:r>
        <w:rPr>
          <w:rFonts w:ascii="Inter" w:eastAsia="Inter"/>
          <w:color w:val="1E293B"/>
          <w:sz w:val="22"/>
          <w:szCs w:val="22"/>
        </w:rPr>
        <w:t xml:space="preserve">ADR-064 - RBAC Model (roles are the object of assignments)</w:t>
      </w:r>
    </w:p>
    <w:p>
      <w:pPr>
        <w:pStyle w:val="ListParagraph"/>
        <w:numPr>
          <w:ilvl w:val="0"/>
          <w:numId w:val="1"/>
        </w:numPr>
        <w:spacing w:after="60" w:line="312"/>
        <w:ind w:left="720" w:hanging="360"/>
      </w:pPr>
      <w:r>
        <w:rPr>
          <w:rFonts w:ascii="Inter" w:eastAsia="Inter"/>
          <w:color w:val="1E293B"/>
          <w:sz w:val="22"/>
          <w:szCs w:val="22"/>
        </w:rPr>
        <w:t xml:space="preserve">ADR-066 - Bundle Strategy (bundles create multiple assignments atomically)</w:t>
      </w:r>
    </w:p>
    <w:p>
      <w:pPr>
        <w:pStyle w:val="ListParagraph"/>
        <w:numPr>
          <w:ilvl w:val="0"/>
          <w:numId w:val="1"/>
        </w:numPr>
        <w:spacing w:after="60" w:line="312"/>
        <w:ind w:left="720" w:hanging="360"/>
      </w:pPr>
      <w:r>
        <w:rPr>
          <w:rFonts w:ascii="Inter" w:eastAsia="Inter"/>
          <w:color w:val="1E293B"/>
          <w:sz w:val="22"/>
          <w:szCs w:val="22"/>
        </w:rPr>
        <w:t xml:space="preserve">ADR-067 - Effective Permission Resolver (flattens assignments into permission sets)</w:t>
      </w:r>
    </w:p>
    <w:p>
      <w:pPr>
        <w:pStyle w:val="ListParagraph"/>
        <w:numPr>
          <w:ilvl w:val="0"/>
          <w:numId w:val="1"/>
        </w:numPr>
        <w:spacing w:after="60" w:line="312"/>
        <w:ind w:left="720" w:hanging="360"/>
      </w:pPr>
      <w:r>
        <w:rPr>
          <w:rFonts w:ascii="Inter" w:eastAsia="Inter"/>
          <w:color w:val="1E293B"/>
          <w:sz w:val="22"/>
          <w:szCs w:val="22"/>
        </w:rPr>
        <w:t xml:space="preserve">ADR-068 - Permission Cache (caches resolved permission sets)</w:t>
      </w:r>
    </w:p>
    <w:p>
      <w:pPr>
        <w:pStyle w:val="ListParagraph"/>
        <w:numPr>
          <w:ilvl w:val="0"/>
          <w:numId w:val="1"/>
        </w:numPr>
        <w:spacing w:after="60" w:line="312"/>
        <w:ind w:left="720" w:hanging="360"/>
      </w:pPr>
      <w:r>
        <w:rPr>
          <w:rFonts w:ascii="Inter" w:eastAsia="Inter"/>
          <w:color w:val="1E293B"/>
          <w:sz w:val="22"/>
          <w:szCs w:val="22"/>
        </w:rPr>
        <w:t xml:space="preserve">ADR-086 - Audit Trail (records all assignment changes)</w:t>
      </w:r>
    </w:p>
    <w:p>
      <w:pPr>
        <w:pStyle w:val="ListParagraph"/>
        <w:numPr>
          <w:ilvl w:val="0"/>
          <w:numId w:val="1"/>
        </w:numPr>
        <w:spacing w:after="60" w:line="312"/>
        <w:ind w:left="720" w:hanging="360"/>
      </w:pPr>
      <w:r>
        <w:rPr>
          <w:rFonts w:ascii="Inter" w:eastAsia="Inter"/>
          <w:color w:val="1E293B"/>
          <w:sz w:val="22"/>
          <w:szCs w:val="22"/>
        </w:rPr>
        <w:t xml:space="preserve">ADR-043 - Tenant Isolation (assignments are tenant-scoped)</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NIST SP 800-162 - Guide to ABAC Definition and Considerations, Section on Scope. NIST. 2014.</w:t>
      </w:r>
    </w:p>
    <w:p>
      <w:pPr>
        <w:pStyle w:val="ListParagraph"/>
        <w:numPr>
          <w:ilvl w:val="0"/>
          <w:numId w:val="1"/>
        </w:numPr>
        <w:spacing w:after="60" w:line="312"/>
        <w:ind w:left="720" w:hanging="360"/>
      </w:pPr>
      <w:r>
        <w:rPr>
          <w:rFonts w:ascii="Inter" w:eastAsia="Inter"/>
          <w:color w:val="1E293B"/>
          <w:sz w:val="22"/>
          <w:szCs w:val="22"/>
        </w:rPr>
        <w:t xml:space="preserve">Sandhu, R. - Lattice-Based Access Control Models. IEEE Computer. 1993.</w:t>
      </w:r>
    </w:p>
    <w:p>
      <w:pPr>
        <w:pStyle w:val="ListParagraph"/>
        <w:numPr>
          <w:ilvl w:val="0"/>
          <w:numId w:val="1"/>
        </w:numPr>
        <w:spacing w:after="60" w:line="312"/>
        <w:ind w:left="720" w:hanging="360"/>
      </w:pPr>
      <w:r>
        <w:rPr>
          <w:rFonts w:ascii="Inter" w:eastAsia="Inter"/>
          <w:color w:val="1E293B"/>
          <w:sz w:val="22"/>
          <w:szCs w:val="22"/>
        </w:rPr>
        <w:t xml:space="preserve">OWASP Access Control Cheat Sheet, Delegation section. OWASP Foundation. 2024.</w:t>
      </w:r>
    </w:p>
    <w:p>
      <w:pPr>
        <w:pStyle w:val="ListParagraph"/>
        <w:numPr>
          <w:ilvl w:val="0"/>
          <w:numId w:val="1"/>
        </w:numPr>
        <w:spacing w:after="60" w:line="312"/>
        <w:ind w:left="720" w:hanging="360"/>
      </w:pPr>
      <w:r>
        <w:rPr>
          <w:rFonts w:ascii="Inter" w:eastAsia="Inter"/>
          <w:color w:val="1E293B"/>
          <w:sz w:val="22"/>
          <w:szCs w:val="22"/>
        </w:rPr>
        <w:t xml:space="preserve">PreOne Engineering Handbook, Section 4.5 - Assignment Model. Internal. 2025.</w:t>
      </w:r>
    </w:p>
    <w:p>
      <w:pPr>
        <w:pStyle w:val="ListParagraph"/>
        <w:numPr>
          <w:ilvl w:val="0"/>
          <w:numId w:val="1"/>
        </w:numPr>
        <w:spacing w:after="60" w:line="312"/>
        <w:ind w:left="720" w:hanging="360"/>
      </w:pPr>
      <w:r>
        <w:rPr>
          <w:rFonts w:ascii="Inter" w:eastAsia="Inter"/>
          <w:color w:val="1E293B"/>
          <w:sz w:val="22"/>
          <w:szCs w:val="22"/>
        </w:rPr>
        <w:t xml:space="preserve">Coyne, E. and Weil, T. - ABAC and RBAC: Scalable, Flexible, and Auditable. IT Professional. 2013.</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2025-08-01</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Platform Security Architect</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options enumerated; consultation with security and engineering teams</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2025-09-17</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Platform Security Architect</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Architecture Review Board after cross-team review</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2025-10-15</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published to architecture repository</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2026-07-15</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cross-references to Vol 1-3 ADRs added; 34-section template applied</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Platform Security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Authorization Platform Lead</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Architecture Review Board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ADR published to architecture repository (Done)</w:t>
      </w:r>
    </w:p>
    <w:p>
      <w:pPr>
        <w:pStyle w:val="ListParagraph"/>
        <w:numPr>
          <w:ilvl w:val="0"/>
          <w:numId w:val="1"/>
        </w:numPr>
        <w:spacing w:after="60" w:line="312"/>
        <w:ind w:left="720" w:hanging="360"/>
      </w:pPr>
      <w:r>
        <w:rPr>
          <w:rFonts w:ascii="Inter" w:eastAsia="Inter"/>
          <w:color w:val="1E293B"/>
          <w:sz w:val="22"/>
          <w:szCs w:val="22"/>
        </w:rPr>
        <w:t xml:space="preserve">Cross-references to upstream/downstream artefacts added (Done)</w:t>
      </w:r>
    </w:p>
    <w:p>
      <w:pPr>
        <w:pStyle w:val="ListParagraph"/>
        <w:numPr>
          <w:ilvl w:val="0"/>
          <w:numId w:val="1"/>
        </w:numPr>
        <w:spacing w:after="60" w:line="312"/>
        <w:ind w:left="720" w:hanging="360"/>
      </w:pPr>
      <w:r>
        <w:rPr>
          <w:rFonts w:ascii="Inter" w:eastAsia="Inter"/>
          <w:color w:val="1E293B"/>
          <w:sz w:val="22"/>
          <w:szCs w:val="22"/>
        </w:rPr>
        <w:t xml:space="preserve">Security team briefed in monthly architecture sync (Done)</w:t>
      </w:r>
    </w:p>
    <w:p>
      <w:pPr>
        <w:pStyle w:val="ListParagraph"/>
        <w:numPr>
          <w:ilvl w:val="0"/>
          <w:numId w:val="1"/>
        </w:numPr>
        <w:spacing w:after="60" w:line="312"/>
        <w:ind w:left="720" w:hanging="360"/>
      </w:pPr>
      <w:r>
        <w:rPr>
          <w:rFonts w:ascii="Inter" w:eastAsia="Inter"/>
          <w:color w:val="1E293B"/>
          <w:sz w:val="22"/>
          <w:szCs w:val="22"/>
        </w:rPr>
        <w:t xml:space="preserve">Code review checklist updated to enforce this ADR (Done)</w:t>
      </w:r>
    </w:p>
    <w:p>
      <w:pPr>
        <w:pStyle w:val="ListParagraph"/>
        <w:numPr>
          <w:ilvl w:val="0"/>
          <w:numId w:val="1"/>
        </w:numPr>
        <w:spacing w:after="60" w:line="312"/>
        <w:ind w:left="720" w:hanging="360"/>
      </w:pPr>
      <w:r>
        <w:rPr>
          <w:rFonts w:ascii="Inter" w:eastAsia="Inter"/>
          <w:color w:val="1E293B"/>
          <w:sz w:val="22"/>
          <w:szCs w:val="22"/>
        </w:rPr>
        <w:t xml:space="preserve">On-call runbook updated with operational procedures (Done)</w:t>
      </w:r>
    </w:p>
    <w:p>
      <w:pPr>
        <w:pStyle w:val="ListParagraph"/>
        <w:numPr>
          <w:ilvl w:val="0"/>
          <w:numId w:val="1"/>
        </w:numPr>
        <w:spacing w:after="60" w:line="312"/>
        <w:ind w:left="720" w:hanging="360"/>
      </w:pPr>
      <w:r>
        <w:rPr>
          <w:rFonts w:ascii="Inter" w:eastAsia="Inter"/>
          <w:color w:val="1E293B"/>
          <w:sz w:val="22"/>
          <w:szCs w:val="22"/>
        </w:rPr>
        <w:t xml:space="preserve">Roles, Permissions, Bundles, Assignments tables deployed (Done)</w:t>
      </w:r>
    </w:p>
    <w:p>
      <w:pPr>
        <w:pStyle w:val="ListParagraph"/>
        <w:numPr>
          <w:ilvl w:val="0"/>
          <w:numId w:val="1"/>
        </w:numPr>
        <w:spacing w:after="60" w:line="312"/>
        <w:ind w:left="720" w:hanging="360"/>
      </w:pPr>
      <w:r>
        <w:rPr>
          <w:rFonts w:ascii="Inter" w:eastAsia="Inter"/>
          <w:color w:val="1E293B"/>
          <w:sz w:val="22"/>
          <w:szCs w:val="22"/>
        </w:rPr>
        <w:t xml:space="preserve">Admin UI for role/bundle management (Done)</w:t>
      </w:r>
    </w:p>
    <w:p>
      <w:pPr>
        <w:pStyle w:val="ListParagraph"/>
        <w:numPr>
          <w:ilvl w:val="0"/>
          <w:numId w:val="1"/>
        </w:numPr>
        <w:spacing w:after="60" w:line="312"/>
        <w:ind w:left="720" w:hanging="360"/>
      </w:pPr>
      <w:r>
        <w:rPr>
          <w:rFonts w:ascii="Inter" w:eastAsia="Inter"/>
          <w:color w:val="1E293B"/>
          <w:sz w:val="22"/>
          <w:szCs w:val="22"/>
        </w:rPr>
        <w:t xml:space="preserve">Permission Matrix view implemented (Done)</w:t>
      </w:r>
    </w:p>
    <w:p>
      <w:pPr>
        <w:pStyle w:val="ListParagraph"/>
        <w:numPr>
          <w:ilvl w:val="0"/>
          <w:numId w:val="1"/>
        </w:numPr>
        <w:spacing w:after="60" w:line="312"/>
        <w:ind w:left="720" w:hanging="360"/>
      </w:pPr>
      <w:r>
        <w:rPr>
          <w:rFonts w:ascii="Inter" w:eastAsia="Inter"/>
          <w:color w:val="1E293B"/>
          <w:sz w:val="22"/>
          <w:szCs w:val="22"/>
        </w:rPr>
        <w:t xml:space="preserve">Default roles (admin, teacher, parent, student) pre-loaded (Done)</w:t>
      </w:r>
    </w:p>
    <w:p>
      <w:pPr>
        <w:pStyle w:val="ListParagraph"/>
        <w:numPr>
          <w:ilvl w:val="0"/>
          <w:numId w:val="1"/>
        </w:numPr>
        <w:spacing w:after="60" w:line="312"/>
        <w:ind w:left="720" w:hanging="360"/>
      </w:pPr>
      <w:r>
        <w:rPr>
          <w:rFonts w:ascii="Inter" w:eastAsia="Inter"/>
          <w:color w:val="1E293B"/>
          <w:sz w:val="22"/>
          <w:szCs w:val="22"/>
        </w:rPr>
        <w:t xml:space="preserve">Quarterly role-review process (Scheduled)</w:t>
      </w:r>
    </w:p>
    <w:p>
      <w:pPr>
        <w:spacing w:after="60" w:before="360" w:line="280"/>
      </w:pPr>
      <w:r>
        <w:rPr>
          <w:rFonts w:ascii="Inter" w:eastAsia="Inter"/>
          <w:b/>
          <w:bCs/>
          <w:color w:val="4F46E5"/>
          <w:spacing w:val="60"/>
          <w:sz w:val="22"/>
          <w:szCs w:val="22"/>
        </w:rPr>
        <w:t xml:space="preserve">ADR-066</w:t>
      </w:r>
    </w:p>
    <w:p>
      <w:pPr>
        <w:pStyle w:val="Heading1"/>
        <w:spacing w:after="200" w:before="60" w:line="312"/>
      </w:pPr>
      <w:r>
        <w:rPr>
          <w:rFonts w:ascii="Inter" w:eastAsia="Inter"/>
          <w:b/>
          <w:bCs/>
          <w:color w:val="0F172A"/>
          <w:sz w:val="36"/>
          <w:szCs w:val="36"/>
        </w:rPr>
        <w:t xml:space="preserve">Bundle Strategy</w:t>
      </w:r>
    </w:p>
    <w:p>
      <w:pPr>
        <w:spacing w:after="120" w:line="280"/>
      </w:pPr>
      <w:r>
        <w:rPr>
          <w:rFonts w:ascii="Inter" w:eastAsia="Inter"/>
          <w:color w:val="64748B"/>
          <w:sz w:val="20"/>
          <w:szCs w:val="20"/>
        </w:rPr>
        <w:t xml:space="preserve">Volume 4 — Security Architecture  -  </w:t>
      </w:r>
      <w:r>
        <w:rPr>
          <w:rFonts w:ascii="Inter" w:eastAsia="Inter"/>
          <w:color w:val="64748B"/>
          <w:sz w:val="20"/>
          <w:szCs w:val="20"/>
        </w:rPr>
        <w:t xml:space="preserve">Identity &amp; Security</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Adopt a role-bundle abstraction: a bundle is a named, versioned collection of role assignments that is applied atomically to a principal. Bundles serve two purposes: they reduce the administrative burden of common multi-role assignment patterns (e.g., the New Teacher bundle assigns TEACHER, ATTENDANCE_TAKER, and PARENT_COMMUNICATOR in one action), and they encode institutional policy (e.g., the Standard School Staff bundle is the tenant-administrator-approved baseline for all staff). Bundles are tenant-customizable and auditable.</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Platform Security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review, or on security incident, or on customer procurement requirement</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refreshes for series alignment and cross-references)</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The legacy model has no bundle concept. A new teacher joining a school requires an administrator to manually assign four to six roles (TEACHER, ATTENDANCE_TAKER, GRADEBOOK_EDITOR, PARENT_COMMUNICATOR, and optionally PROCTOR and CLUB_ADVISOR), each through a separate API call. The process is error-prone: the 2025 Q2 audit found that 18% of new-teacher onboarding resulted in at least one missing role, requiring a support ticket to remediate, and 7% resulted in at least one extra role, violating least privilege.
The ARB considered three approaches to this problem. The first is to leave the assignment process manual and improve the admin console UI to suggest role groups. The second is to introduce a bundle abstraction that captures the common patterns as named, reusable objects. The third is to introduce a policy engine that automatically assigns roles based on attributes (e.g., role = TEACHER -&gt; assign ATTENDANCE_TAKER automatically). The ARB selected the bundle approach because it is explicit, auditable, and tenant-customizable, whereas the policy-engine approach is implicit and harder to audit, and the UI-suggestion approach does not solve the atomicity problem (an interrupted onboarding still leaves the principal in an inconsistent state).
This ADR defines the bundle abstraction. Bundles are not a new authorization mechanism; they are a convenience layer over the assignment model defined in ADR-065. When a bundle is applied to a principal, the system creates the constituent assignments atomically (all or nothing), with the bundle's metadata recorded in the audit trail for traceability.</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The 2026 international expansion requires that the platform support bulk onboarding (e.g., 200 new teachers at the start of an EU school year) without per-teacher administrative overhead. The business also requires that the platform encode institutional policy (e.g., every staff member must have the SAFETY_REPORTER role for mandated-reporter compliance) in a way that is auditable and cannot be accidentally omitted. Finally, the business requires that tenant administrators be able to customize the bundles for their institution (e.g., a school that requires all teachers to also be club advisors) without code changes.</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The legacy per-role assignment process is error-prone (18% of onboardings have missing roles, 7% have extra roles), cannot express institutional policy baselines, and does not support bulk onboarding. PreOne needs a bundle abstraction that captures common multi-role assignment patterns as named, atomic, tenant-customizable, and auditable objects.</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Bundles must apply atomically: all constituent assignments succeed or none do.</w:t>
      </w:r>
    </w:p>
    <w:p>
      <w:pPr>
        <w:pStyle w:val="ListParagraph"/>
        <w:numPr>
          <w:ilvl w:val="0"/>
          <w:numId w:val="1"/>
        </w:numPr>
        <w:spacing w:after="60" w:line="312"/>
        <w:ind w:left="720" w:hanging="360"/>
      </w:pPr>
      <w:r>
        <w:rPr>
          <w:rFonts w:ascii="Inter" w:eastAsia="Inter"/>
          <w:color w:val="1E293B"/>
          <w:sz w:val="22"/>
          <w:szCs w:val="22"/>
        </w:rPr>
        <w:t xml:space="preserve">Bundles must be tenant-customizable: tenants can create, modify, and version their own bundles.</w:t>
      </w:r>
    </w:p>
    <w:p>
      <w:pPr>
        <w:pStyle w:val="ListParagraph"/>
        <w:numPr>
          <w:ilvl w:val="0"/>
          <w:numId w:val="1"/>
        </w:numPr>
        <w:spacing w:after="60" w:line="312"/>
        <w:ind w:left="720" w:hanging="360"/>
      </w:pPr>
      <w:r>
        <w:rPr>
          <w:rFonts w:ascii="Inter" w:eastAsia="Inter"/>
          <w:color w:val="1E293B"/>
          <w:sz w:val="22"/>
          <w:szCs w:val="22"/>
        </w:rPr>
        <w:t xml:space="preserve">Bundles must be auditable: every bundle application records the bundle version and constituent assignments.</w:t>
      </w:r>
    </w:p>
    <w:p>
      <w:pPr>
        <w:pStyle w:val="ListParagraph"/>
        <w:numPr>
          <w:ilvl w:val="0"/>
          <w:numId w:val="1"/>
        </w:numPr>
        <w:spacing w:after="60" w:line="312"/>
        <w:ind w:left="720" w:hanging="360"/>
      </w:pPr>
      <w:r>
        <w:rPr>
          <w:rFonts w:ascii="Inter" w:eastAsia="Inter"/>
          <w:color w:val="1E293B"/>
          <w:sz w:val="22"/>
          <w:szCs w:val="22"/>
        </w:rPr>
        <w:t xml:space="preserve">Bundles must not grant roles from another tenant (cross-tenant bundle references are forbidden).</w:t>
      </w:r>
    </w:p>
    <w:p>
      <w:pPr>
        <w:pStyle w:val="ListParagraph"/>
        <w:numPr>
          <w:ilvl w:val="0"/>
          <w:numId w:val="1"/>
        </w:numPr>
        <w:spacing w:after="60" w:line="312"/>
        <w:ind w:left="720" w:hanging="360"/>
      </w:pPr>
      <w:r>
        <w:rPr>
          <w:rFonts w:ascii="Inter" w:eastAsia="Inter"/>
          <w:color w:val="1E293B"/>
          <w:sz w:val="22"/>
          <w:szCs w:val="22"/>
        </w:rPr>
        <w:t xml:space="preserve">Bundle application must complete in under 2 seconds at p99 for the largest bundle (20 assignments).</w:t>
      </w:r>
    </w:p>
    <w:p>
      <w:pPr>
        <w:pStyle w:val="ListParagraph"/>
        <w:numPr>
          <w:ilvl w:val="0"/>
          <w:numId w:val="1"/>
        </w:numPr>
        <w:spacing w:after="60" w:line="312"/>
        <w:ind w:left="720" w:hanging="360"/>
      </w:pPr>
      <w:r>
        <w:rPr>
          <w:rFonts w:ascii="Inter" w:eastAsia="Inter"/>
          <w:color w:val="1E293B"/>
          <w:sz w:val="22"/>
          <w:szCs w:val="22"/>
        </w:rPr>
        <w:t xml:space="preserve">Bundles must support dry-run: a preview of the assignments that would be created, before they are applied.</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The assignment model defined in ADR-065 is the substrate; bundles create assignments, not a parallel mechanism.</w:t>
      </w:r>
    </w:p>
    <w:p>
      <w:pPr>
        <w:pStyle w:val="ListParagraph"/>
        <w:numPr>
          <w:ilvl w:val="0"/>
          <w:numId w:val="1"/>
        </w:numPr>
        <w:spacing w:after="60" w:line="312"/>
        <w:ind w:left="720" w:hanging="360"/>
      </w:pPr>
      <w:r>
        <w:rPr>
          <w:rFonts w:ascii="Inter" w:eastAsia="Inter"/>
          <w:color w:val="1E293B"/>
          <w:sz w:val="22"/>
          <w:szCs w:val="22"/>
        </w:rPr>
        <w:t xml:space="preserve">The RBAC model defined in ADR-064 provides the role definitions that bundles reference.</w:t>
      </w:r>
    </w:p>
    <w:p>
      <w:pPr>
        <w:pStyle w:val="ListParagraph"/>
        <w:numPr>
          <w:ilvl w:val="0"/>
          <w:numId w:val="1"/>
        </w:numPr>
        <w:spacing w:after="60" w:line="312"/>
        <w:ind w:left="720" w:hanging="360"/>
      </w:pPr>
      <w:r>
        <w:rPr>
          <w:rFonts w:ascii="Inter" w:eastAsia="Inter"/>
          <w:color w:val="1E293B"/>
          <w:sz w:val="22"/>
          <w:szCs w:val="22"/>
        </w:rPr>
        <w:t xml:space="preserve">Tenant administrators will accept that bundles are versioned and that applying an old bundle version is intentional (not accidental).</w:t>
      </w:r>
    </w:p>
    <w:p>
      <w:pPr>
        <w:pStyle w:val="ListParagraph"/>
        <w:numPr>
          <w:ilvl w:val="0"/>
          <w:numId w:val="1"/>
        </w:numPr>
        <w:spacing w:after="60" w:line="312"/>
        <w:ind w:left="720" w:hanging="360"/>
      </w:pPr>
      <w:r>
        <w:rPr>
          <w:rFonts w:ascii="Inter" w:eastAsia="Inter"/>
          <w:color w:val="1E293B"/>
          <w:sz w:val="22"/>
          <w:szCs w:val="22"/>
        </w:rPr>
        <w:t xml:space="preserve">The largest bundle (20 assignments) is rare; the common bundle size is 4-6 assignments.</w:t>
      </w:r>
    </w:p>
    <w:p>
      <w:pPr>
        <w:pStyle w:val="ListParagraph"/>
        <w:numPr>
          <w:ilvl w:val="0"/>
          <w:numId w:val="1"/>
        </w:numPr>
        <w:spacing w:after="60" w:line="312"/>
        <w:ind w:left="720" w:hanging="360"/>
      </w:pPr>
      <w:r>
        <w:rPr>
          <w:rFonts w:ascii="Inter" w:eastAsia="Inter"/>
          <w:color w:val="1E293B"/>
          <w:sz w:val="22"/>
          <w:szCs w:val="22"/>
        </w:rPr>
        <w:t xml:space="preserve">The Effective Permission Resolver (ADR-067) handles the post-bundle permission set without bundle-specific logic.</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Bundle abstraction: named, versioned collections of role assignments applied atomically, tenant-customizable.</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Solves atomicity, auditability, and customization. Explicit and easy to reason about. Clean separation from the assignment model.</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Adds a new abstraction layer. Versioning adds operational complexity. Bundle drift (old versions in use) is a management concern.</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Adopted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UI suggestions only: admin console suggests role groups, but assignments are still per-role.</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No new abstraction. Smallest change to the data model.</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Does not solve atomicity. Does not encode institutional policy. Does not support bulk onboarding cleanly.</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Policy engine: automatic role assignment based on principal attributes (e.g., role = TEACHER -&gt; assign ATTENDANCE_TAKER).</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Implicit, no admin action required. Always up-to-date.</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Implicit is hard to audit. Policy changes have non-obvious effects. Conflicts with the explicit-assignment principle of ADR-065.</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Templates: a one-shot template that creates assignments but is not stored as a reusable object.</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Simpler than bundles (no versioning). Useful for one-time bulk onboarding.</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Cannot be re-applied. Cannot encode institutional policy. Loses the audit traceability of a named bundle.</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Adopt a bundle abstraction. A bundle is a named, versioned collection of role assignments (each with role_id, optional scope, optional expiration) that is applied atomically to a principal. Bundles are tenant-customizable: each tenant can create, modify, and version its own bundles. Bundle application is transactional: all constituent assignments are created in a single database transaction, or none are. Bundle applications are auditable per ADR-086 with the bundle name, version, and constituent assignments recorded. Bundles support dry-run (preview) before application. Cross-tenant bundle references are forbidden (a bundle can only reference roles in its own tenant or system roles).</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The bundle abstraction was chosen over the UI-suggestion and policy-engine alternatives because it is the only approach that solves the atomicity problem while remaining explicit and auditable. The UI-suggestion approach leaves the per-role assignment process in place, so an interrupted onboarding (administrator closes the tab halfway through) leaves the principal in an inconsistent state with some roles assigned and others missing. The policy-engine approach solves atomicity implicitly (the policy assigns all required roles automatically) but introduces two new problems: policy changes have non-obvious effects (changing the TEACHER policy affects all current teachers retroactively), and the implicit assignment is hard to audit (the audit trail records the policy firing, not the administrator's intent).
The bundle abstraction solves atomicity explicitly: the bundle application is a single transaction, so an interrupted application leaves no partial state (the transaction rolls back). It solves auditability explicitly: the audit trail records the bundle name, version, and the principal_id of the administrator who applied it, which is exactly the evidence the compliance team needs. It solves customization explicitly: each tenant can define its own bundles, so the Standard School Staff bundle at one school can be different from the Standard School Staff bundle at another.
The versioning design is the most important part of the bundle abstraction. A bundle is identified by (tenant_id, name, version), and bundle applications record the version that was applied. This means that an audit trail can answer what bundle was applied to this principal, and what did that bundle contain? even years after the application, because the bundle version is immutable (a new version is a new row, not an update). This is critical for regulatory audits: GDPR Article 32, COPPA, and DPDP all require that the platform be able to reconstruct the authorization state at any past point in time, which the versioned bundle makes possible.
The decision to forbid cross-tenant bundle references is driven by the tenant-isolation requirement (ADR-043). A bundle in tenant A can reference system roles (which are global) and tenant A's custom roles, but not tenant B's custom roles. This prevents a compromised tenant administrator from using bundles to grant roles in another tenant, which would be a tenant-isolation violation. The constraint is enforced at bundle-create time (the bundle-create endpoint rejects references to roles not in the bundle's tenant or the system catalog) and at bundle-apply time (the apply endpoint re-validates as a defense-in-depth measure).
The dry-run capability is the second most important part of the bundle abstraction. A dry-run returns the list of assignments that would be created, the resolved permission set that would result, and any conflicts with existing assignments (e.g., a role already assigned that the bundle would re-assign). This allows administrators to preview the effect of a bundle before applying it, reducing the risk of misconfiguration. The dry-run is also used by the bundle editor to validate a bundle definition before saving: a bundle that would produce a conflict for a typical principal is flagged for review.
The atomicity guarantee is implemented via a PostgreSQL transaction: all constituent assignments are inserted in a single transaction, which either commits (all assignments created) or rolls back (no assignments created). This is the standard transactional pattern and is robust to all failure modes except a database crash mid-transaction (which PostgreSQL handles correctly via its crash-recovery logic). The 2-second p99 budget for the largest bundle (20 assignments) is well within PostgreSQL's transactional capacity; the bottleneck is the audit-service write (per ADR-086), which is asynchronous and does not block the transaction.
The decision to make bundles tenant-customizable (rather than platform-defined only) is driven by the institutional-policy requirement. Different schools have different policies: some require all staff to have SAFETY_REPORTER, others require all teachers to have CLUB_ADVISOR, others require all administrators to have COMPLIANCE_REVIEWER. A platform-defined catalog cannot capture this diversity without bloating, while a tenant-customizable catalog lets each school define exactly the bundles it needs. The trade-off is that bundle management becomes a tenant-administrator responsibility, which is addressed by the admin-console UX (bundle editor with dry-run, templates, and a library of common bundles shipped by the platform).</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PREONE BUNDLE STRATEGY                           |
+-----------------------------------------------------------+
|  BUNDLE CATALOG (per tenant)                              |
|  - bundle_id (UUIDv7, PK)                                 |
|  - tenant_id (FK)                                          |
|  - name, version, description                              |
|  - status (DRAFT | PUBLISHED | DEPRECATED)                |
|  - constituents (JSONB array of {role_id, scope, expiry}) |
+-----------------------------------------------------------+
            |
            v
  +-----------------------+         +-----------------------+
  | PLATFORM BUNDLES      |         | TENANT BUNDLES        |
  | (ship with release,   |         | (created by tenant    |
  |  tenants can clone)   |         |  admin, versioned)    |
  | - New Teacher         |         | - Standard Staff      |
  | - New Administrator   |         | - Substitute Teacher  |
  | - New Student         |         | - Exam Proctor Team   |
  +-----------+-----------+         +-----------+-----------+
              |                                 |
              +----------------+----------------+
                               |
                               v
                  +------------------------+
                  | BUNDLE APPLIER         |
                  | (transactional)        |
                  | - validate constituents|
                  | - dry-run preview      |
                  | - apply atomically     |
                  | - audit (ADR-086)      |
                  +-----------+------------+
                              |
                              v
                  +------------------------+
                  | role_assignments       |
                  | (ADR-065, multiple     |
                  |  rows per bundle apply)|
                  +------------------------+</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Admin -&gt; Bundle API: Apply "New Teacher" bundle to principal P
Bundle API -&gt; Bundle Catalog: Fetch bundle (name, version)
Bundle Catalog -&gt; Bundle API: constituents [TEACHER, ATTENDANCE, ...]
Bundle API -&gt; Dry Run: Preview assignments + resolved permissions
Dry Run -&gt; Bundle API: No conflicts
Bundle API -&gt; PostgreSQL: BEGIN TRANSACTION
PostgreSQL -&gt; role_assignments: INSERT TEACHER assignment
PostgreSQL -&gt; role_assignments: INSERT ATTENDANCE assignment
PostgreSQL -&gt; role_assignments: INSERT GRADEBOOK assignment
PostgreSQL -&gt; Bundle API: COMMIT
Bundle API -&gt; Audit Service: Record BUNDLE_APPLY with version
Audit Service -&gt; Audit Log: Append
Bundle API -&gt; Permission Cache: Invalidate principal P
Bundle API -&gt; Admin: Return assignment IDs</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ADR-066 — Bundle Strategy  -  Component View         |
+-------------------------------------------------------------+
|                                                             |
|  +----------------+        +----------------------+         |
|  | Admin UI       |  CRUD  | Role/Permission      |         |
|  |                |-------&gt;| Service              |         |
|  +----------------+        +----------+-----------+         |
|                                       |                     |
|                                       | persists            |
|                                       v                     |
|  +----------------+        +----------------------+         |
|  | Repository     |  CRUD  | Postgres RBAC tables |         |
|  |                |-------&gt;| (roles, permissions, |         |
|  +----------------+        |  bundles, assignments)|        |
|                              +----------------------+         |
|                                                             |
|  Cache (Redis) for hot permission lookups                  |
|  Invalidation (ADR-069) on role/permission change          |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Permission Resolution Flow:
  User -&gt; App: action request
  App -&gt; Permission Resolver: 'permissions for user X?'
  Resolver -&gt; Cache (Redis): lookup
  (cache miss) Resolver -&gt; Postgres: query roles + bundles + assignments
  Resolver -&gt; Cache: store (TTL 5 min)
  Resolver -&gt; App: effective permissions
Cache Invalidation Flow (on role/permission change):
  Admin -&gt; RBAC Service: update role
  RBAC Service -&gt; Postgres: persist
  RBAC Service -&gt; Invalidation Publisher: 'invalidate users with role X'
  Invalidation Publisher -&gt; Redis: delete cached entries
  Invalidation Publisher -&gt; Audit: log 'CACHE_INVALIDATED'</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Bundles add two tables. bundles holds the bundle metadata (bundle_id, tenant_id, name, version, description, status, created_at, created_by) with a unique constraint on (tenant_id, name, version). bundle_constituents holds the constituent assignments (bundle_id, role_id, scope_type, scope_id, expires_at) as a join table. Both tables are tenant-scoped and partitioned by tenant_id. The role_assignments table (per ADR-065) gains a bundle_id nullable column to record which bundle application created the assignment, for traceability. A bundle application creates one role_assignments row per constituent, all in a single transaction. The bundle catalog is small (typically 5-20 bundles per tenant) and does not present a scalability concern.</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Five endpoints are introduced under /bundles: GET (list, filtered by tenant and status), POST (create new bundle version), GET /{id} (detail with constituents), POST /{id}/apply (apply to a principal), and POST /{id}/dry-run (preview without applying). The apply endpoint is transactional and returns the created assignment IDs. The dry-run endpoint returns the preview (assignments, resolved permissions, conflicts). The frontend admin console exposes a bundle editor with version comparison, a library of platform-provided bundle templates, and a one-click apply for common onboarding scenarios. The bulk onboarding flow applies a bundle to a list of principals in a single batch operation.</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The RBAC model surfaces in the admin UI as the 'Roles', 'Permissions', and 'Bundles' management pages. Admins can create custom roles (name + description), assign permissions to roles, group permissions into bundles (e.g., 'Teacher Bundle', 'Admin Bundle'), and assign bundles to users. The UI includes a 'Permission Matrix' view showing which roles have which permissions (checkboxes for easy editing). The 'User Detail' page shows the user's assigned bundles and effective permissions (computed via ADR-067). Changes to roles or assignments trigger a confirmation modal ('This will affect N users. Continue?') to prevent accidental bulk permission changes.</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The bundle abstraction improves security by making the assignment process atomic and auditable, which closes the partial-onboarding failure mode that the 2025 Q2 audit identified (18% of onboardings with missing roles). The versioning design enables regulatory audit reconstruction (the audit trail can answer what bundle was applied, when, and what did it contain?). The cross-tenant reference prohibition (enforced at create and apply time) closes a potential tenant-isolation violation. The dry-run capability reduces the risk of misconfiguration by allowing administrators to preview the effect before applying. The bundle-level audit trail (recording the bundle name and version, not just the constituent assignments) gives the compliance team a higher-level view of authorization changes, which is easier to reason about for audit purposes.</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Bundle application is a low-frequency operation (a few hundred per tenant per year) and is not on the hot path. The 2-second p99 budget for the largest bundle (20 assignments) is well within PostgreSQL's transactional capacity; the bottleneck is the audit-service write (per ADR-086), which is asynchronous and does not block the transaction. The dry-run preview requires resolving the constituent assignments to a permission set, which takes 5-10ms (a single resolver call). The bundle editor's dry-run validation is debounced and runs in the background, so it does not affect the editor's responsiveness. Bundle application triggers a permission-cache invalidation for the affected principal (per ADR-069), which causes a brief cold-cache period; the impact is bounded by the cache warm-up job.</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The bundle catalog is small (5-20 bundles per tenant, 1,000 tenants = 20,000 bundles) and does not present a scalability concern. The bundle application creates role_assignments rows, which scale per ADR-065. The transactional application of 20 assignments is well within PostgreSQL's capacity; the largest projected transaction (bulk onboarding of 200 principals with a 6-assignment bundle = 1,200 assignment rows) completes in under 5 seconds, which is acceptable for a bulk operation. The audit-service write rate (per ADR-086) is the secondary scaling concern; bulk onboarding produces 1,200 audit events in a burst, which the audit service handles with its standard batching. No architectural ceiling is anticipated within the three-year planning horizon.</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The bundle subsystem is deployed as a Spring library embedded in the main backend. The bundle editor is the primary admin-console surface; it includes a library of platform-provided bundle templates that tenants can clone and customize. The on-call runbook covers three failure modes: bundle-apply transaction failure (PostgreSQL rolls back, no partial state), bundle-version conflict (optimistic locking retry), and bundle-catalog migration (platform-provided templates updated per release, tenant bundles unaffected). The bulk-onboarding flow is documented in the tenant-administrator handbook and tested in the quarterly game-day. Bundle deprecation (marking a bundle as DEPRECATED to prevent new applications while preserving historical audit records) is the mechanism for retiring bundles without breaking audit reconstruction.</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Bundle drift: old bundle versions remain in use long after a new version is published, producing inconsistent authorization states.</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Bundle editor shows version adoption. Deprecation workflow nudges tenants to new versions. Quarterly bundle-version audit.</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Bundle application is interrupted mid-transaction, leaving partial state despite the atomicity guarantee.</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PostgreSQL transaction atomicity is robust to all failure modes except database crash, which PostgreSQL handles via crash recovery. Tested in game-day.</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Tenant administrators create overly permissive bundles, defeating least-privilege intent.</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Dry-run preview shows resolved permissions. Bundle editor includes a least-privilege lint that flags bundles granting sensitive permissions. Quarterly audit.</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Bulk onboarding produces an audit-event burst that overwhelms the audit service.</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Audit service batches events. Bulk onboarding is rate-limited. Tested at 5x projected peak in load testing.</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Atomic multi-role assignment eliminates partial-onboarding failures.</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New abstraction layer adds conceptual overhead for administrators.</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Versioned bundles enable regulatory audit reconstruction.</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Version management is an ongoing operational responsibility.</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Tenant-customizable bundles encode institutional policy.</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Platform team cannot enforce bundle consistency across tenants.</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Dry-run preview reduces misconfiguration risk.</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Dry-run adds latency to the bundle editor UX.</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The UI-suggestion-only approach was rejected because it does not solve the atomicity problem: an interrupted onboarding leaves the principal in an inconsistent state with some roles assigned and others missing, which is the root cause of the 18% missing-role rate the audit identified. The policy-engine approach was rejected because implicit assignment is hard to audit (the audit trail records the policy firing, not the administrator's intent) and policy changes have non-obvious effects (changing the TEACHER policy affects all current teachers retroactively). The template approach (one-shot, not stored) was rejected because it cannot be re-applied, cannot encode institutional policy, and loses the audit traceability of a named, versioned bundle. The full reasoning is captured in the Options Considered table.</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Migration is phased over one quarter. Phase 1 (weeks 1-3): create the bundles and bundle_constituents tables, deploy the bundle applier in shadow mode (logging applications but not creating assignments). Phase 2 (weeks 4-6): publish the platform-provided bundle templates (New Teacher, New Administrator, New Student) and enable tenant administrators to clone and customize them. Phase 3 (weeks 7-9): enable the bundle-apply endpoint for a pilot group of 10 tenants; collect feedback and iterate the bundle editor UX. Phase 4 (weeks 10-12): enable bundles for all tenants; the legacy per-role assignment process remains available as a fallback. Phase 5 (week 13): the legacy per-role process is deprecated (still functional but not surfaced in the UI). Rollback is possible at any point by disabling the bundle-apply endpoint; existing assignments created by bundles are not affected.</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The bundle subsystem is tested at three levels. Unit tests cover the bundle applier (transactional semantics, constituent validation, cross-tenant rejection), the dry-run preview, and the version-comparison logic; coverage target is 95%. Integration tests cover the bundle-apply flow (success, failure, partial-failure rollback), the bulk-onboarding flow, and the bundle-editor version management. End-to-end tests cover the full create-bundle -&gt; apply-bundle -&gt; authorize-request path. Security tests cover the cross-tenant reference rejection, the atomicity guarantee (interrupted application leaves no partial state), and the audit-trail completeness. The acceptance criterion is zero partial-onboarding failures in the post-cutover stabilization period.</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Four golden signals are monitored. (1) Bundle-apply latency p99: target under 2 seconds, alert above 5 seconds. (2) Bundle-apply failure rate: target under 0.5%, alert above 2% (possible transaction issue). (3) Bundle-version adoption: percentage of applications using the latest version; target above 80% for published bundles, alert below 60% (drift). (4) Dry-run usage: percentage of applies preceded by a dry-run; target above 70%, alert below 50% (administrators may be skipping preview). A dedicated bundle dashboard surfaces these alongside the per-tenant bundle count, the bulk-onboarding burst rate, and the deprecated-bundle application attempts. Anomaly detection (per ADR-088) flags unusual bundle patterns (bulk applications off-hours, applications of deprecated bundles, applications by non-admin principals).</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The bundle abstraction is expected to evolve in three directions. First, bundles may gain a constituent-removal capability (applying a bundle that removes assignments, not just adds them) to support the offboarding workflow symmetrically; this is monitored but not planned for v1. Second, bundles may gain a scheduling capability (apply at a future date, auto-revoke at a future date) to support the school-year calendar natively; this is a natural extension of the expiration mechanism in ADR-065. Third, the platform-provided bundle library may grow to include role-specific bundles (e.g., the New Librarian bundle for the planned library-management feature); this is a routine platform evolution, not an abstraction change.</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ADR-061 - Identity Model (principals are the subject of bundle application)</w:t>
      </w:r>
    </w:p>
    <w:p>
      <w:pPr>
        <w:pStyle w:val="ListParagraph"/>
        <w:numPr>
          <w:ilvl w:val="0"/>
          <w:numId w:val="1"/>
        </w:numPr>
        <w:spacing w:after="60" w:line="312"/>
        <w:ind w:left="720" w:hanging="360"/>
      </w:pPr>
      <w:r>
        <w:rPr>
          <w:rFonts w:ascii="Inter" w:eastAsia="Inter"/>
          <w:color w:val="1E293B"/>
          <w:sz w:val="22"/>
          <w:szCs w:val="22"/>
        </w:rPr>
        <w:t xml:space="preserve">ADR-064 - RBAC Model (roles are the constituents of bundles)</w:t>
      </w:r>
    </w:p>
    <w:p>
      <w:pPr>
        <w:pStyle w:val="ListParagraph"/>
        <w:numPr>
          <w:ilvl w:val="0"/>
          <w:numId w:val="1"/>
        </w:numPr>
        <w:spacing w:after="60" w:line="312"/>
        <w:ind w:left="720" w:hanging="360"/>
      </w:pPr>
      <w:r>
        <w:rPr>
          <w:rFonts w:ascii="Inter" w:eastAsia="Inter"/>
          <w:color w:val="1E293B"/>
          <w:sz w:val="22"/>
          <w:szCs w:val="22"/>
        </w:rPr>
        <w:t xml:space="preserve">ADR-065 - Assignment Model (bundles create assignments)</w:t>
      </w:r>
    </w:p>
    <w:p>
      <w:pPr>
        <w:pStyle w:val="ListParagraph"/>
        <w:numPr>
          <w:ilvl w:val="0"/>
          <w:numId w:val="1"/>
        </w:numPr>
        <w:spacing w:after="60" w:line="312"/>
        <w:ind w:left="720" w:hanging="360"/>
      </w:pPr>
      <w:r>
        <w:rPr>
          <w:rFonts w:ascii="Inter" w:eastAsia="Inter"/>
          <w:color w:val="1E293B"/>
          <w:sz w:val="22"/>
          <w:szCs w:val="22"/>
        </w:rPr>
        <w:t xml:space="preserve">ADR-067 - Effective Permission Resolver (resolves post-bundle permission sets)</w:t>
      </w:r>
    </w:p>
    <w:p>
      <w:pPr>
        <w:pStyle w:val="ListParagraph"/>
        <w:numPr>
          <w:ilvl w:val="0"/>
          <w:numId w:val="1"/>
        </w:numPr>
        <w:spacing w:after="60" w:line="312"/>
        <w:ind w:left="720" w:hanging="360"/>
      </w:pPr>
      <w:r>
        <w:rPr>
          <w:rFonts w:ascii="Inter" w:eastAsia="Inter"/>
          <w:color w:val="1E293B"/>
          <w:sz w:val="22"/>
          <w:szCs w:val="22"/>
        </w:rPr>
        <w:t xml:space="preserve">ADR-068 - Permission Cache (cache invalidation on bundle apply)</w:t>
      </w:r>
    </w:p>
    <w:p>
      <w:pPr>
        <w:pStyle w:val="ListParagraph"/>
        <w:numPr>
          <w:ilvl w:val="0"/>
          <w:numId w:val="1"/>
        </w:numPr>
        <w:spacing w:after="60" w:line="312"/>
        <w:ind w:left="720" w:hanging="360"/>
      </w:pPr>
      <w:r>
        <w:rPr>
          <w:rFonts w:ascii="Inter" w:eastAsia="Inter"/>
          <w:color w:val="1E293B"/>
          <w:sz w:val="22"/>
          <w:szCs w:val="22"/>
        </w:rPr>
        <w:t xml:space="preserve">ADR-069 - Cache Invalidation (cross-region invalidation for bundle applies)</w:t>
      </w:r>
    </w:p>
    <w:p>
      <w:pPr>
        <w:pStyle w:val="ListParagraph"/>
        <w:numPr>
          <w:ilvl w:val="0"/>
          <w:numId w:val="1"/>
        </w:numPr>
        <w:spacing w:after="60" w:line="312"/>
        <w:ind w:left="720" w:hanging="360"/>
      </w:pPr>
      <w:r>
        <w:rPr>
          <w:rFonts w:ascii="Inter" w:eastAsia="Inter"/>
          <w:color w:val="1E293B"/>
          <w:sz w:val="22"/>
          <w:szCs w:val="22"/>
        </w:rPr>
        <w:t xml:space="preserve">ADR-086 - Audit Trail (records bundle applications with version)</w:t>
      </w:r>
    </w:p>
    <w:p>
      <w:pPr>
        <w:pStyle w:val="ListParagraph"/>
        <w:numPr>
          <w:ilvl w:val="0"/>
          <w:numId w:val="1"/>
        </w:numPr>
        <w:spacing w:after="60" w:line="312"/>
        <w:ind w:left="720" w:hanging="360"/>
      </w:pPr>
      <w:r>
        <w:rPr>
          <w:rFonts w:ascii="Inter" w:eastAsia="Inter"/>
          <w:color w:val="1E293B"/>
          <w:sz w:val="22"/>
          <w:szCs w:val="22"/>
        </w:rPr>
        <w:t xml:space="preserve">ADR-043 - Tenant Isolation (bundles are tenant-scoped)</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OWASP Access Control Cheat Sheet, Provisioning section. OWASP Foundation. 2024.</w:t>
      </w:r>
    </w:p>
    <w:p>
      <w:pPr>
        <w:pStyle w:val="ListParagraph"/>
        <w:numPr>
          <w:ilvl w:val="0"/>
          <w:numId w:val="1"/>
        </w:numPr>
        <w:spacing w:after="60" w:line="312"/>
        <w:ind w:left="720" w:hanging="360"/>
      </w:pPr>
      <w:r>
        <w:rPr>
          <w:rFonts w:ascii="Inter" w:eastAsia="Inter"/>
          <w:color w:val="1E293B"/>
          <w:sz w:val="22"/>
          <w:szCs w:val="22"/>
        </w:rPr>
        <w:t xml:space="preserve">NIST SP 800-53 - Access Control (AC-2 Account Management), Section on Role Bundling. NIST. 2020.</w:t>
      </w:r>
    </w:p>
    <w:p>
      <w:pPr>
        <w:pStyle w:val="ListParagraph"/>
        <w:numPr>
          <w:ilvl w:val="0"/>
          <w:numId w:val="1"/>
        </w:numPr>
        <w:spacing w:after="60" w:line="312"/>
        <w:ind w:left="720" w:hanging="360"/>
      </w:pPr>
      <w:r>
        <w:rPr>
          <w:rFonts w:ascii="Inter" w:eastAsia="Inter"/>
          <w:color w:val="1E293B"/>
          <w:sz w:val="22"/>
          <w:szCs w:val="22"/>
        </w:rPr>
        <w:t xml:space="preserve">PreOne Engineering Handbook, Section 4.6 - Bundle Strategy. Internal. 2025.</w:t>
      </w:r>
    </w:p>
    <w:p>
      <w:pPr>
        <w:pStyle w:val="ListParagraph"/>
        <w:numPr>
          <w:ilvl w:val="0"/>
          <w:numId w:val="1"/>
        </w:numPr>
        <w:spacing w:after="60" w:line="312"/>
        <w:ind w:left="720" w:hanging="360"/>
      </w:pPr>
      <w:r>
        <w:rPr>
          <w:rFonts w:ascii="Inter" w:eastAsia="Inter"/>
          <w:color w:val="1E293B"/>
          <w:sz w:val="22"/>
          <w:szCs w:val="22"/>
        </w:rPr>
        <w:t xml:space="preserve">Coyne, E. and Weil, T. - ABAC and RBAC: Scalable, Flexible, and Auditable. IT Professional. 2013.</w:t>
      </w:r>
    </w:p>
    <w:p>
      <w:pPr>
        <w:pStyle w:val="ListParagraph"/>
        <w:numPr>
          <w:ilvl w:val="0"/>
          <w:numId w:val="1"/>
        </w:numPr>
        <w:spacing w:after="60" w:line="312"/>
        <w:ind w:left="720" w:hanging="360"/>
      </w:pPr>
      <w:r>
        <w:rPr>
          <w:rFonts w:ascii="Inter" w:eastAsia="Inter"/>
          <w:color w:val="1E293B"/>
          <w:sz w:val="22"/>
          <w:szCs w:val="22"/>
        </w:rPr>
        <w:t xml:space="preserve">ISO/IEC 27001:2022 - Annex A.5.16 Identity Management. ISO. 2022.</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2025-08-01</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Platform Security Architect</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options enumerated; consultation with security and engineering teams</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2025-09-17</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Platform Security Architect</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Architecture Review Board after cross-team review</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2025-10-15</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published to architecture repository</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2026-07-15</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cross-references to Vol 1-3 ADRs added; 34-section template applied</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Platform Security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Authorization Platform Lead</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Architecture Review Board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ADR published to architecture repository (Done)</w:t>
      </w:r>
    </w:p>
    <w:p>
      <w:pPr>
        <w:pStyle w:val="ListParagraph"/>
        <w:numPr>
          <w:ilvl w:val="0"/>
          <w:numId w:val="1"/>
        </w:numPr>
        <w:spacing w:after="60" w:line="312"/>
        <w:ind w:left="720" w:hanging="360"/>
      </w:pPr>
      <w:r>
        <w:rPr>
          <w:rFonts w:ascii="Inter" w:eastAsia="Inter"/>
          <w:color w:val="1E293B"/>
          <w:sz w:val="22"/>
          <w:szCs w:val="22"/>
        </w:rPr>
        <w:t xml:space="preserve">Cross-references to upstream/downstream artefacts added (Done)</w:t>
      </w:r>
    </w:p>
    <w:p>
      <w:pPr>
        <w:pStyle w:val="ListParagraph"/>
        <w:numPr>
          <w:ilvl w:val="0"/>
          <w:numId w:val="1"/>
        </w:numPr>
        <w:spacing w:after="60" w:line="312"/>
        <w:ind w:left="720" w:hanging="360"/>
      </w:pPr>
      <w:r>
        <w:rPr>
          <w:rFonts w:ascii="Inter" w:eastAsia="Inter"/>
          <w:color w:val="1E293B"/>
          <w:sz w:val="22"/>
          <w:szCs w:val="22"/>
        </w:rPr>
        <w:t xml:space="preserve">Security team briefed in monthly architecture sync (Done)</w:t>
      </w:r>
    </w:p>
    <w:p>
      <w:pPr>
        <w:pStyle w:val="ListParagraph"/>
        <w:numPr>
          <w:ilvl w:val="0"/>
          <w:numId w:val="1"/>
        </w:numPr>
        <w:spacing w:after="60" w:line="312"/>
        <w:ind w:left="720" w:hanging="360"/>
      </w:pPr>
      <w:r>
        <w:rPr>
          <w:rFonts w:ascii="Inter" w:eastAsia="Inter"/>
          <w:color w:val="1E293B"/>
          <w:sz w:val="22"/>
          <w:szCs w:val="22"/>
        </w:rPr>
        <w:t xml:space="preserve">Code review checklist updated to enforce this ADR (Done)</w:t>
      </w:r>
    </w:p>
    <w:p>
      <w:pPr>
        <w:pStyle w:val="ListParagraph"/>
        <w:numPr>
          <w:ilvl w:val="0"/>
          <w:numId w:val="1"/>
        </w:numPr>
        <w:spacing w:after="60" w:line="312"/>
        <w:ind w:left="720" w:hanging="360"/>
      </w:pPr>
      <w:r>
        <w:rPr>
          <w:rFonts w:ascii="Inter" w:eastAsia="Inter"/>
          <w:color w:val="1E293B"/>
          <w:sz w:val="22"/>
          <w:szCs w:val="22"/>
        </w:rPr>
        <w:t xml:space="preserve">On-call runbook updated with operational procedures (Done)</w:t>
      </w:r>
    </w:p>
    <w:p>
      <w:pPr>
        <w:pStyle w:val="ListParagraph"/>
        <w:numPr>
          <w:ilvl w:val="0"/>
          <w:numId w:val="1"/>
        </w:numPr>
        <w:spacing w:after="60" w:line="312"/>
        <w:ind w:left="720" w:hanging="360"/>
      </w:pPr>
      <w:r>
        <w:rPr>
          <w:rFonts w:ascii="Inter" w:eastAsia="Inter"/>
          <w:color w:val="1E293B"/>
          <w:sz w:val="22"/>
          <w:szCs w:val="22"/>
        </w:rPr>
        <w:t xml:space="preserve">Roles, Permissions, Bundles, Assignments tables deployed (Done)</w:t>
      </w:r>
    </w:p>
    <w:p>
      <w:pPr>
        <w:pStyle w:val="ListParagraph"/>
        <w:numPr>
          <w:ilvl w:val="0"/>
          <w:numId w:val="1"/>
        </w:numPr>
        <w:spacing w:after="60" w:line="312"/>
        <w:ind w:left="720" w:hanging="360"/>
      </w:pPr>
      <w:r>
        <w:rPr>
          <w:rFonts w:ascii="Inter" w:eastAsia="Inter"/>
          <w:color w:val="1E293B"/>
          <w:sz w:val="22"/>
          <w:szCs w:val="22"/>
        </w:rPr>
        <w:t xml:space="preserve">Admin UI for role/bundle management (Done)</w:t>
      </w:r>
    </w:p>
    <w:p>
      <w:pPr>
        <w:pStyle w:val="ListParagraph"/>
        <w:numPr>
          <w:ilvl w:val="0"/>
          <w:numId w:val="1"/>
        </w:numPr>
        <w:spacing w:after="60" w:line="312"/>
        <w:ind w:left="720" w:hanging="360"/>
      </w:pPr>
      <w:r>
        <w:rPr>
          <w:rFonts w:ascii="Inter" w:eastAsia="Inter"/>
          <w:color w:val="1E293B"/>
          <w:sz w:val="22"/>
          <w:szCs w:val="22"/>
        </w:rPr>
        <w:t xml:space="preserve">Permission Matrix view implemented (Done)</w:t>
      </w:r>
    </w:p>
    <w:p>
      <w:pPr>
        <w:pStyle w:val="ListParagraph"/>
        <w:numPr>
          <w:ilvl w:val="0"/>
          <w:numId w:val="1"/>
        </w:numPr>
        <w:spacing w:after="60" w:line="312"/>
        <w:ind w:left="720" w:hanging="360"/>
      </w:pPr>
      <w:r>
        <w:rPr>
          <w:rFonts w:ascii="Inter" w:eastAsia="Inter"/>
          <w:color w:val="1E293B"/>
          <w:sz w:val="22"/>
          <w:szCs w:val="22"/>
        </w:rPr>
        <w:t xml:space="preserve">Default roles (admin, teacher, parent, student) pre-loaded (Done)</w:t>
      </w:r>
    </w:p>
    <w:p>
      <w:pPr>
        <w:pStyle w:val="ListParagraph"/>
        <w:numPr>
          <w:ilvl w:val="0"/>
          <w:numId w:val="1"/>
        </w:numPr>
        <w:spacing w:after="60" w:line="312"/>
        <w:ind w:left="720" w:hanging="360"/>
      </w:pPr>
      <w:r>
        <w:rPr>
          <w:rFonts w:ascii="Inter" w:eastAsia="Inter"/>
          <w:color w:val="1E293B"/>
          <w:sz w:val="22"/>
          <w:szCs w:val="22"/>
        </w:rPr>
        <w:t xml:space="preserve">Quarterly role-review process (Scheduled)</w:t>
      </w:r>
    </w:p>
    <w:p>
      <w:pPr>
        <w:spacing w:after="60" w:before="360" w:line="280"/>
      </w:pPr>
      <w:r>
        <w:rPr>
          <w:rFonts w:ascii="Inter" w:eastAsia="Inter"/>
          <w:b/>
          <w:bCs/>
          <w:color w:val="4F46E5"/>
          <w:spacing w:val="60"/>
          <w:sz w:val="22"/>
          <w:szCs w:val="22"/>
        </w:rPr>
        <w:t xml:space="preserve">ADR-067</w:t>
      </w:r>
    </w:p>
    <w:p>
      <w:pPr>
        <w:pStyle w:val="Heading1"/>
        <w:spacing w:after="200" w:before="60" w:line="312"/>
      </w:pPr>
      <w:r>
        <w:rPr>
          <w:rFonts w:ascii="Inter" w:eastAsia="Inter"/>
          <w:b/>
          <w:bCs/>
          <w:color w:val="0F172A"/>
          <w:sz w:val="36"/>
          <w:szCs w:val="36"/>
        </w:rPr>
        <w:t xml:space="preserve">Effective Permission Resolver</w:t>
      </w:r>
    </w:p>
    <w:p>
      <w:pPr>
        <w:spacing w:after="120" w:line="280"/>
      </w:pPr>
      <w:r>
        <w:rPr>
          <w:rFonts w:ascii="Inter" w:eastAsia="Inter"/>
          <w:color w:val="64748B"/>
          <w:sz w:val="20"/>
          <w:szCs w:val="20"/>
        </w:rPr>
        <w:t xml:space="preserve">Volume 4 — Security Architecture  -  </w:t>
      </w:r>
      <w:r>
        <w:rPr>
          <w:rFonts w:ascii="Inter" w:eastAsia="Inter"/>
          <w:color w:val="64748B"/>
          <w:sz w:val="20"/>
          <w:szCs w:val="20"/>
        </w:rPr>
        <w:t xml:space="preserve">Identity &amp; Security</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Adopt a single Effective Permission Resolver component that flattens a principal's direct assignments, delegated assignments, role hierarchy, scope, and expiration into a flat, deduplicated permission set keyed by (permission_id, scope). The resolver is the sole source of truth for authorization decisions; no other component may compute a permission set independently. The resolver is cached in Redis per ADR-068 and invalidated per ADR-069.</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Platform Security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review, or on trigger event (incident, major version upgrade, or strategic shift)</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refreshes for series alignment and cross-references)</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The legacy authorization stack computes permissions in at least four places: a Spring Security filter that checks role strings, a service-layer helper that joins user_role to role_permission, a frontend API that returns a permission list for UI gating, and a reporting query that joins everything for audit reports. These four implementations have drifted over four years: the filter knows about roles that the helper doesn't, the helper knows about scopes that the API doesn't, and the reporting query is two months out of date with respect to all three.
The 2025 Q2 audit found seven cases where the four implementations disagreed on whether a specific principal had a specific permission, producing inconsistent behavior between the UI (which showed a button), the API (which rejected the call), and the audit log (which recorded a different decision than the API enforced). This is the same fragmentation problem that ADR-063 addresses at the architecture level; this ADR addresses it at the implementation level by defining the single resolver component that all four call sites must invoke.
The resolver must satisfy four hard requirements. First, correctness: it must produce the same permission set regardless of which call site invokes it. Second, performance: it must complete in under 5ms at p99 on the hot path, which requires aggressive caching (ADR-068). Third, freshness: it must reflect assignment changes within 60 seconds, which requires a robust invalidation strategy (ADR-069). Fourth, auditability: it must be able to reconstruct the permission set at any past point in time for regulatory purposes, which requires deterministic resolution and durable input state.</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The 2026 international expansion requires demonstrable authorization correctness for GDPR Article 32, COPPA, and DPDP Section 8 audits. The legacy four-implementation stack cannot demonstrate correctness because the four implementations disagree; a single resolver with a single code path can. The business also requires that the frontend, API, and audit log agree on permissions (the UI must not show a button that the API rejects), which the single resolver guarantees by construction. Finally, the business requires that the platform be able to answer what could this principal do at time T? for regulatory investigations, which the resolver's deterministic resolution and durable input state enable.</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The legacy authorization stack computes permissions in four places that have drifted, producing inconsistent behavior and seven known disagreement cases. PreOne needs a single Effective Permission Resolver that produces the same permission set regardless of call site, completes in under 5ms at p99, reflects changes within 60 seconds, and can reconstruct past permission sets for audit.</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Resolution must complete in under 5ms at p99 on the hot path (cache hit) and under 50ms at p99 on cold cache.</w:t>
      </w:r>
    </w:p>
    <w:p>
      <w:pPr>
        <w:pStyle w:val="ListParagraph"/>
        <w:numPr>
          <w:ilvl w:val="0"/>
          <w:numId w:val="1"/>
        </w:numPr>
        <w:spacing w:after="60" w:line="312"/>
        <w:ind w:left="720" w:hanging="360"/>
      </w:pPr>
      <w:r>
        <w:rPr>
          <w:rFonts w:ascii="Inter" w:eastAsia="Inter"/>
          <w:color w:val="1E293B"/>
          <w:sz w:val="22"/>
          <w:szCs w:val="22"/>
        </w:rPr>
        <w:t xml:space="preserve">Assignment changes must be reflected in the resolver's output within 60 seconds (cache invalidation per ADR-069).</w:t>
      </w:r>
    </w:p>
    <w:p>
      <w:pPr>
        <w:pStyle w:val="ListParagraph"/>
        <w:numPr>
          <w:ilvl w:val="0"/>
          <w:numId w:val="1"/>
        </w:numPr>
        <w:spacing w:after="60" w:line="312"/>
        <w:ind w:left="720" w:hanging="360"/>
      </w:pPr>
      <w:r>
        <w:rPr>
          <w:rFonts w:ascii="Inter" w:eastAsia="Inter"/>
          <w:color w:val="1E293B"/>
          <w:sz w:val="22"/>
          <w:szCs w:val="22"/>
        </w:rPr>
        <w:t xml:space="preserve">The resolver must be deterministic: the same inputs at the same time produce the same output, enabling audit reconstruction.</w:t>
      </w:r>
    </w:p>
    <w:p>
      <w:pPr>
        <w:pStyle w:val="ListParagraph"/>
        <w:numPr>
          <w:ilvl w:val="0"/>
          <w:numId w:val="1"/>
        </w:numPr>
        <w:spacing w:after="60" w:line="312"/>
        <w:ind w:left="720" w:hanging="360"/>
      </w:pPr>
      <w:r>
        <w:rPr>
          <w:rFonts w:ascii="Inter" w:eastAsia="Inter"/>
          <w:color w:val="1E293B"/>
          <w:sz w:val="22"/>
          <w:szCs w:val="22"/>
        </w:rPr>
        <w:t xml:space="preserve">The resolver must be the sole source of truth; no other component may compute a permission set independently.</w:t>
      </w:r>
    </w:p>
    <w:p>
      <w:pPr>
        <w:pStyle w:val="ListParagraph"/>
        <w:numPr>
          <w:ilvl w:val="0"/>
          <w:numId w:val="1"/>
        </w:numPr>
        <w:spacing w:after="60" w:line="312"/>
        <w:ind w:left="720" w:hanging="360"/>
      </w:pPr>
      <w:r>
        <w:rPr>
          <w:rFonts w:ascii="Inter" w:eastAsia="Inter"/>
          <w:color w:val="1E293B"/>
          <w:sz w:val="22"/>
          <w:szCs w:val="22"/>
        </w:rPr>
        <w:t xml:space="preserve">The resolver must degrade gracefully when the cache is unavailable (fall through to database with elevated latency).</w:t>
      </w:r>
    </w:p>
    <w:p>
      <w:pPr>
        <w:pStyle w:val="ListParagraph"/>
        <w:numPr>
          <w:ilvl w:val="0"/>
          <w:numId w:val="1"/>
        </w:numPr>
        <w:spacing w:after="60" w:line="312"/>
        <w:ind w:left="720" w:hanging="360"/>
      </w:pPr>
      <w:r>
        <w:rPr>
          <w:rFonts w:ascii="Inter" w:eastAsia="Inter"/>
          <w:color w:val="1E293B"/>
          <w:sz w:val="22"/>
          <w:szCs w:val="22"/>
        </w:rPr>
        <w:t xml:space="preserve">The resolver must produce a permission set keyed by (permission_id, scope) to support scoped authorization per ADR-065.</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The RBAC model (ADR-064), assignment model (ADR-065), and bundle strategy (ADR-066) provide the inputs to the resolver.</w:t>
      </w:r>
    </w:p>
    <w:p>
      <w:pPr>
        <w:pStyle w:val="ListParagraph"/>
        <w:numPr>
          <w:ilvl w:val="0"/>
          <w:numId w:val="1"/>
        </w:numPr>
        <w:spacing w:after="60" w:line="312"/>
        <w:ind w:left="720" w:hanging="360"/>
      </w:pPr>
      <w:r>
        <w:rPr>
          <w:rFonts w:ascii="Inter" w:eastAsia="Inter"/>
          <w:color w:val="1E293B"/>
          <w:sz w:val="22"/>
          <w:szCs w:val="22"/>
        </w:rPr>
        <w:t xml:space="preserve">Redis is available with cross-region replication per ADR-068 and ADR-069 for the cache.</w:t>
      </w:r>
    </w:p>
    <w:p>
      <w:pPr>
        <w:pStyle w:val="ListParagraph"/>
        <w:numPr>
          <w:ilvl w:val="0"/>
          <w:numId w:val="1"/>
        </w:numPr>
        <w:spacing w:after="60" w:line="312"/>
        <w:ind w:left="720" w:hanging="360"/>
      </w:pPr>
      <w:r>
        <w:rPr>
          <w:rFonts w:ascii="Inter" w:eastAsia="Inter"/>
          <w:color w:val="1E293B"/>
          <w:sz w:val="22"/>
          <w:szCs w:val="22"/>
        </w:rPr>
        <w:t xml:space="preserve">The permission catalog (ADR-063) is small enough (~200 permissions) to fit in memory in the resolver process.</w:t>
      </w:r>
    </w:p>
    <w:p>
      <w:pPr>
        <w:pStyle w:val="ListParagraph"/>
        <w:numPr>
          <w:ilvl w:val="0"/>
          <w:numId w:val="1"/>
        </w:numPr>
        <w:spacing w:after="60" w:line="312"/>
        <w:ind w:left="720" w:hanging="360"/>
      </w:pPr>
      <w:r>
        <w:rPr>
          <w:rFonts w:ascii="Inter" w:eastAsia="Inter"/>
          <w:color w:val="1E293B"/>
          <w:sz w:val="22"/>
          <w:szCs w:val="22"/>
        </w:rPr>
        <w:t xml:space="preserve">The role hierarchy (ADR-064) is acyclic (enforced at write time), so the resolver's transitive walk terminates.</w:t>
      </w:r>
    </w:p>
    <w:p>
      <w:pPr>
        <w:pStyle w:val="ListParagraph"/>
        <w:numPr>
          <w:ilvl w:val="0"/>
          <w:numId w:val="1"/>
        </w:numPr>
        <w:spacing w:after="60" w:line="312"/>
        <w:ind w:left="720" w:hanging="360"/>
      </w:pPr>
      <w:r>
        <w:rPr>
          <w:rFonts w:ascii="Inter" w:eastAsia="Inter"/>
          <w:color w:val="1E293B"/>
          <w:sz w:val="22"/>
          <w:szCs w:val="22"/>
        </w:rPr>
        <w:t xml:space="preserve">Audit reconstruction is performed offline against historical snapshots, not on the hot path.</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Single resolver component with Redis cache, deterministic algorithm, (permission_id, scope) keyed output.</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Single source of truth. Deterministic for audit. Cacheable. Scoped output supports ADR-065. Meets all four hard requirements.</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Single point of failure (mitigated by cache fallback). All call sites must migrate. Determinism requires careful algorithm design.</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Adopted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Refactor the four legacy implementations to share a common library but remain separately invoked.</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Smallest migration. No new infrastructure. Reuses existing call sites.</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Four call sites remain, risking drift again. No single source of truth. Does not solve the disagreement problem at the root.</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Event-sourced permission log: every assignment change emits an event; the resolver folds the event log to produce the permission set.</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Perfect audit reconstruction for free. Natural fit for the compliance requirement.</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Read latency unacceptable on the hot path (fold over years of events). Operational complexity of event sourcing disproportionate to PreOne's scale.</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Outsource to a commercial policy engine (OPA, Styra DAS) as the single resolver.</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Battle-tested. Vendor handles compliance. No in-house resolver to maintain.</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Per-request pricing punitive at scale. Data-residency concerns for DPDP India. Loss of control over tenant-scoping logic.</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Adopt a single Effective Permission Resolver component. The resolver takes a principal_id and produces a permission set keyed by (permission_id, scope), where scope is the (scope_type, scope_id) pair from ADR-065 or TENANT_WIDE for unscoped permissions. The resolver's algorithm is deterministic: (1) fetch the principal's direct and delegated assignments from the role_assignments table (or cache); (2) filter out expired assignments (expires_at in the past); (3) for each assignment, walk the role hierarchy (parent_role_id per ADR-064) to collect all roles; (4) for each role, fetch the role_permissions; (5) filter out permissions not in the current permission catalog version (escalation guard); (6) key each permission by (permission_id, scope) and deduplicate; (7) return the set. The resolver is the sole source of truth; all call sites invoke it. The resolver is cached in Redis per ADR-068 and invalidated per ADR-069.</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The single-resolver approach was chosen over the shared-library approach because the disagreement problem is fundamentally a problem of multiple call sites, not multiple implementations. A shared library that is invoked from four call sites still has four call sites, and the four call sites can still pass different inputs (e.g., a stale principal_id, a different cache key, a different time horizon) that produce different outputs. The single resolver eliminates the call-site variability by centralizing the invocation: there is one entry point, one input contract, and one output contract, and the four legacy call sites are migrated to invoke that entry point.
The event-sourced approach was rejected on performance grounds. Folding an event log over years of assignment changes to produce a current permission set is the canonical event-sourcing read pattern, and it is too slow for the hot path. The deterministic-algorithm approach achieves the same audit-reconstruction property (the same inputs at the same time produce the same output) without the read-latency penalty, by recording the inputs (assignment state at time T) rather than the events (changes between T1 and T2). Audit reconstruction is performed offline by replaying the resolver against historical assignment snapshots, which is fast enough for the regulatory investigation use case.
The commercial-policy-engine option was rejected for the same reasons as in ADR-062 and ADR-063: per-request pricing punitive at scale, data-residency concerns for DPDP India, and loss of control over tenant-scoping logic. The in-house resolver gives PreOne full control over the algorithm, the cache, and the invalidation strategy, which is essential for the regulated education market.
The (permission_id, scope) keyed output is the most important design decision. The legacy implementations produced a flat list of permission_ids, which loses the scope information and forces the call site to re-derive scope (producing the disagreements the audit found). The keyed output preserves scope: a permission check for gradebook.view on class-123 looks up (gradebook.view, (CLASS, class-123)) in the set, and a check for gradebook.view on class-456 looks up (gradebook.view, (CLASS, class-456)). If the principal has a class-scoped TEACHER assignment for class-123, the first lookup succeeds and the second fails, which is the correct least-privilege behavior. An unscoped assignment (e.g., an administrator with gradebook.view for the whole tenant) produces a (gradebook.view, TENANT_WIDE) entry that matches any scope check.
The deterministic algorithm is the second most important design decision. Determinism is achieved by (a) reading inputs at a single point in time (snapshot reads via PostgreSQL's repeatable-read isolation), (b) processing inputs in a fixed order (assignments sorted by assignment_id, roles sorted by role_id, permissions sorted by permission_id), and (c) deduplicating with a stable rule (later assignment_id wins for conflicting scope). Determinism enables audit reconstruction: given the assignment state at time T (recovered from the audit log per ADR-068), the resolver produces the same permission set that the hot path produced at time T, which is the evidence the compliance team needs for regulatory investigations.
The cache fallback strategy is the third most important design decision. When the Redis cache is unavailable, the resolver falls through to the database, which elevates latency from 1ms (cache hit) to 5-10ms (database query) but preserves correctness. This is the fail-open-for-correctness, fail-closed-for-security pattern: the resolver never returns a stale or incorrect permission set, but it may be slower during a cache outage. The cache outage is detected by a health check that pings Redis every 5 seconds; when the health check fails, the resolver switches to database-fallback mode and emits an alert. This is documented in the on-call runbook and tested in the quarterly game-day.
The decision to make the resolver the sole source of truth is enforced at three levels. First, code review: the ARB rejects any pull request that computes a permission set outside the resolver. Second, CI: a static analysis check flags any code that imports the role_assignments or role_permissions tables outside the resolver package. Third, runtime: the audit log (per ADR-086) records which call site invoked the resolver for each authorization decision, allowing post-hoc verification that no call site bypassed the resolver.</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PREONE EFFECTIVE PERMISSION RESOLVER                |
+-----------------------------------------------------------+
|  INPUT: principal_id                                      |
+-----------------------------------------------------------+
            |
            v
  +---------------------------+     +-----------------------+
  | 1. FETCH ASSIGNMENTS      |----&gt;| role_assignments      |
  |    (direct + delegated)   |     | (ADR-065)             |
  +---------------------------+     +-----------------------+
            |
            v
  +---------------------------+
  | 2. FILTER EXPIRED         |  (expires_at &lt; now)
  +---------------------------+
            |
            v
  +---------------------------+     +-----------------------+
  | 3. WALK ROLE HIERARCHY    |----&gt;| roles (ADR-064)       |
  |    (parent_role_id)       |     +-----------------------+
  +---------------------------+              |
            |                                v
            |                       +-----------------------+
            |                       | role_permissions      |
            |                       +-----------------------+
            v
  +---------------------------+     +-----------------------+
  | 4. FETCH PERMISSIONS      |----&gt;| permissions (ADR-063) |
  +---------------------------+     +-----------------------+
            |
            v
  +---------------------------+
  | 5. FILTER TO CATALOG      |  (escalation guard)
  |    (current version)      |
  +---------------------------+
            |
            v
  +---------------------------+
  | 6. KEY BY (perm_id, scope)|
  |    DEDUPLICATE            |
  +---------------------------+
            |
            v
  +---------------------------+     +-----------------------+
  | 7. RETURN PERMISSION SET  |----&gt;| Redis Cache (ADR-068) |
  +---------------------------+     +-----------------------+
            |
            v
  +---------------------------+
  | OUTPUT: Set&lt;(perm, scope)&gt;|
  +---------------------------+</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API Call -&gt; Authz Filter: Request with principal_id
Authz Filter -&gt; Resolver: Resolve(principal_id)
Resolver -&gt; Redis Cache: GET permission_set
Redis Cache -&gt; Resolver: HIT (cached set)
Resolver -&gt; Authz Filter: Permission set
Authz Filter -&gt; Scope Check: (perm, scope) in set?
Scope Check -&gt; Authz Filter: Decision
Authz Filter -&gt; Service Layer: Allow/Deny
Note over Resolver: On cache MISS:
Resolver -&gt; PostgreSQL: FETCH assignments + roles
PostgreSQL -&gt; Resolver: Rows
Resolver -&gt; Algorithm: Steps 2-7
Algorithm -&gt; Redis Cache: SET permission_set (TTL 5min)
Algorithm -&gt; Resolver: Permission set
Resolver -&gt; Authz Filter: Permission set</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ADR-067 — Effective Permission Resolver  -  Component View         |
+-------------------------------------------------------------+
|                                                             |
|  +----------------+        +----------------------+         |
|  | Admin UI       |  CRUD  | Role/Permission      |         |
|  |                |-------&gt;| Service              |         |
|  +----------------+        +----------+-----------+         |
|                                       |                     |
|                                       | persists            |
|                                       v                     |
|  +----------------+        +----------------------+         |
|  | Repository     |  CRUD  | Postgres RBAC tables |         |
|  |                |-------&gt;| (roles, permissions, |         |
|  +----------------+        |  bundles, assignments)|        |
|                              +----------------------+         |
|                                                             |
|  Cache (Redis) for hot permission lookups                  |
|  Invalidation (ADR-069) on role/permission change          |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Permission Resolution Flow:
  User -&gt; App: action request
  App -&gt; Permission Resolver: 'permissions for user X?'
  Resolver -&gt; Cache (Redis): lookup
  (cache miss) Resolver -&gt; Postgres: query roles + bundles + assignments
  Resolver -&gt; Cache: store (TTL 5 min)
  Resolver -&gt; App: effective permissions
Cache Invalidation Flow (on role/permission change):
  Admin -&gt; RBAC Service: update role
  RBAC Service -&gt; Postgres: persist
  RBAC Service -&gt; Invalidation Publisher: 'invalidate users with role X'
  Invalidation Publisher -&gt; Redis: delete cached entries
  Invalidation Publisher -&gt; Audit: log 'CACHE_INVALIDATED'</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The resolver reads from three tables defined in other ADRs: role_assignments (ADR-065), roles and role_permissions (ADR-064), and permissions (ADR-063). No new tables are introduced. The resolver uses PostgreSQL's repeatable-read isolation for snapshot reads, which ensures that all reads within a single resolution see a consistent snapshot of the database. The snapshot read is critical for determinism: a resolution that reads assignments at T1 and roles at T2 (where T2 &gt; T1 and a role changed between them) would produce a non-deterministic result. The snapshot is established at the start of the resolution and released at the end; the typical resolution takes 1-2ms on a cache miss, which is well within the snapshot's validity window.</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The resolver exposes a single internal endpoint: /internal/authz/resolve?principal_id=X&amp;at=YYYY-MM-DDTHH:MM:SSZ (the at parameter is optional, for audit reconstruction). The endpoint returns the permission set as a JSON array of {permission_id, scope_type, scope_id} objects. The endpoint is internal (not exposed to tenants) and is called by the API gateway, the Spring Security filter chain, the service layer, and the frontend permission API. The legacy four call sites are migrated to invoke this endpoint; the migration is tracked in a dedicated dashboard. The endpoint is cached at the HTTP layer (per ADR-068) for the common case where the same principal's permissions are requested multiple times within a few seconds.</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The effective permission resolver is invisible to end users — they see only the UI elements their permissions allow. For admins, the 'User Detail' page includes a 'Effective Permissions' panel showing the computed permission set (read-only, with a 'refresh' button to force cache invalidation). The 'Permission Cache Health' dashboard (admin/operations/security/permissions) shows cache hit rate, invalidation latency, and stale-cache incidents — accessible to the Security Engineering team. Cache invalidation events are surfaced in the admin 'Activity Log' for audit traceability.</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The single resolver eliminates the disagreement cases that the 2025 Q2 audit identified, which is the most direct security improvement. The (permission_id, scope) keyed output preserves scope information end-to-end, closing the over-broad access paths that the legacy flat-list output allowed. The deterministic algorithm enables audit reconstruction, which is the evidence the compliance team needs for GDPR, COPPA, and DPDP investigations. The escalation guard (filtering to the current permission catalog version) is a defense-in-depth measure against bugs in the write-time guard defined in ADR-064. The cache fallback strategy (fail-open-for-correctness) ensures that a cache outage does not produce a security regression; the resolver never returns a stale or incorrect permission set, even under cache failure.</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The resolver meets the 5ms p99 budget on the hot path (cache hit) with significant headroom: a cache hit is a single Redis GET, which takes 0.5-1ms at p99. The cold-cache path (cache miss or cache outage) takes 5-10ms at p99, which is within the 50ms p99 cold-cache budget. The cold-cache path is exercised by approximately 5% of requests at steady state (cache miss rate per ADR-068). The deterministic algorithm's steps 2-7 are in-memory and add negligible overhead (under 0.5ms). The snapshot read overhead (PostgreSQL repeatable-read) is negligible at the typical resolution size (1-2 assignments per principal, 5-10 permissions per role).</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The resolver scales with request volume, not with principal or assignment count, because the per-request work is bounded by the cache. The Redis cache (ADR-068) is the scaling bottleneck; it is sized for 1 million cached principals per region, which exceeds the projected peak by a factor of three. The cold-cache path scales with the database's ability to serve snapshot reads, which is bounded by the role_assignments table's partitioning strategy (per ADR-065). At the projected peak of 4 million principals, the largest tenant partition is under 500,000 rows, and a point lookup on the (principal_id, tenant_id) index takes under 5ms. The resolver is deployed with three replicas per region, which handles the projected request volume with 70% headroom. No architectural ceiling is anticipated within the three-year planning horizon.</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The resolver is deployed as a Spring library embedded in the main backend, sharing its observability stack and on-call rotation. The on-call runbook covers four failure modes: Redis unavailable (fail through to database, elevated latency, alert), database slow (circuit breaker opens, requests fail closed with 503), cache invalidation lag (alert if invalidation takes more than 60 seconds), and resolver bug (rollback to previous deployment, automatic on health-check failure). The resolver has a dedicated dashboard showing resolution latency, cache hit rate, cold-cache rate, and the per-tenant permission-set size distribution. Each failure mode is tested in the quarterly game-day. The resolver's algorithm is versioned (algorithm_version field in the cache key) to allow safe algorithm changes; a new algorithm version invalidates all caches and forces a cold-cache rebuild.</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The resolver becomes a single point of failure for all authorization decisions.</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Three replicas per region, health-checked, automatic failover. Cache fallback to database preserves correctness during resolver outage. Circuit breaker prevents cascading failure.</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Cache invalidation lag exceeds 60 seconds during a burst of assignment changes (e.g., year-end role reset).</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Bulk changes are batched and rate-limited per ADR-069. Cache warm-up job pre-populates affected principals. Alert if lag exceeds 60 seconds.</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Deterministic algorithm is broken by a future change (e.g., non-deterministic ordering in a join), breaking audit reconstruction.</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Algorithm is unit-tested for determinism. CI runs a determinism regression test. Algorithm changes require ARB review and a new algorithm_version.</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Call sites bypass the resolver and compute permissions locally, reintroducing the disagreement problem.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CI static analysis rejects code that imports role_assignments or role_permissions outside the resolver package. Quarterly code audit by the ARB.</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Single source of truth eliminates the disagreement cases.</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All call sites must migrate to invoke the resolver, which is a large refactor.</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Deterministic algorithm enables audit reconstruction.</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Determinism requires careful algorithm design and restricts future changes.</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(permission_id, scope) keyed output preserves scope end-to-end.</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Output is more complex than a flat list; call sites must handle the scope key.</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Cache fallback preserves correctness during cache outage.</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Cold-cache latency (5-10ms) is higher than hot-cache latency (1ms), affecting p99 during outages.</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The shared-library approach was rejected because it does not solve the call-site variability problem: four call sites sharing a library can still pass different inputs and produce different outputs, which is the root cause of the disagreement cases the audit found. The event-sourced approach was rejected on performance grounds: folding an event log over years of changes is too slow for the hot path, and the audit-reconstruction benefit is achievable more cheaply via the deterministic-algorithm approach with historical snapshots. The commercial-policy-engine option was rejected on cost and data-residency grounds, mirroring the ADR-062 and ADR-063 reasoning. The full reasoning is captured in the Options Considered table.</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Migration is phased over one quarter. Phase 1 (weeks 1-3): implement the resolver and deploy it in shadow mode (logging resolutions but not enforcing). Phase 2 (weeks 4-6): migrate the audit reporting call site (lowest risk, read-only) to invoke the resolver; validate that the resolver's output matches the legacy reporting query. Phase 3 (weeks 7-9): migrate the frontend permission API and the Spring Security filter chain to invoke the resolver; the legacy implementations remain as fallback. Phase 4 (weeks 10-12): migrate the service-layer call site (highest risk, on the hot path) to invoke the resolver; the legacy implementations are removed. Phase 5 (week 13): the legacy implementations' code is deleted. Rollback is possible at any point in phases 1-4 by re-enabling the legacy implementations; the shadow-mode period ensures the resolver has been validated against production traffic before it enforces.</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The resolver is tested at four levels. Unit tests cover the algorithm (determinism, scope keying, expiration filtering, escalation guard, hierarchy walk); coverage target is 98%. Integration tests cover the cache hit/miss behavior, the cache fallback during Redis outage, and the invalidation behavior. End-to-end tests cover the full request path for each call site (gateway, filter chain, service layer, frontend API). Property-based tests cover the determinism property: for any assignment state, the resolver produces the same output across multiple invocations. The acceptance criterion is zero disagreement cases (resolver output matches legacy output for all sampled principals) during the shadow-mode period.</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Five golden signals are monitored. (1) Resolution latency p99 (cache hit): target under 5ms, alert above 8ms. (2) Resolution latency p99 (cold cache): target under 50ms, alert above 100ms. (3) Cache hit rate: target above 95%, alert below 90%. (4) Cache invalidation lag: target under 60 seconds, alert above 120 seconds. (5) Determinism regression: target zero mismatches, alert on any non-zero value (algorithm may be non-deterministic). A dedicated resolver dashboard surfaces these alongside the per-tenant permission-set size distribution, the per-call-site invocation count, and the algorithm-version adoption. Anomaly detection (per ADR-088) flags unusual resolution patterns (spikes in cold-cache rate, sudden permission-set size changes, resolutions for non-existent principals).</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The resolver is expected to evolve in three directions. First, the algorithm may add ABAC evaluation (per ADR-063) as a post-filter step, applying context-dependent policies (time, device, location) to the resolved permission set; this is a natural extension, not a redesign. Second, the cache key may add a context dimension (e.g., time-of-day bucket) to support time-dependent permissions without per-request evaluation; this is monitored but not planned for v1. Third, the resolver may add a streaming mode (resolve a principal's permissions as they change, via a WebSocket) to support real-time UI updates; this is a larger change and would require its own ADR.</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ADR-061 - Identity Model (provides principal_id input)</w:t>
      </w:r>
    </w:p>
    <w:p>
      <w:pPr>
        <w:pStyle w:val="ListParagraph"/>
        <w:numPr>
          <w:ilvl w:val="0"/>
          <w:numId w:val="1"/>
        </w:numPr>
        <w:spacing w:after="60" w:line="312"/>
        <w:ind w:left="720" w:hanging="360"/>
      </w:pPr>
      <w:r>
        <w:rPr>
          <w:rFonts w:ascii="Inter" w:eastAsia="Inter"/>
          <w:color w:val="1E293B"/>
          <w:sz w:val="22"/>
          <w:szCs w:val="22"/>
        </w:rPr>
        <w:t xml:space="preserve">ADR-063 - Authorization (consumes the resolver's output)</w:t>
      </w:r>
    </w:p>
    <w:p>
      <w:pPr>
        <w:pStyle w:val="ListParagraph"/>
        <w:numPr>
          <w:ilvl w:val="0"/>
          <w:numId w:val="1"/>
        </w:numPr>
        <w:spacing w:after="60" w:line="312"/>
        <w:ind w:left="720" w:hanging="360"/>
      </w:pPr>
      <w:r>
        <w:rPr>
          <w:rFonts w:ascii="Inter" w:eastAsia="Inter"/>
          <w:color w:val="1E293B"/>
          <w:sz w:val="22"/>
          <w:szCs w:val="22"/>
        </w:rPr>
        <w:t xml:space="preserve">ADR-064 - RBAC Model (provides role hierarchy input)</w:t>
      </w:r>
    </w:p>
    <w:p>
      <w:pPr>
        <w:pStyle w:val="ListParagraph"/>
        <w:numPr>
          <w:ilvl w:val="0"/>
          <w:numId w:val="1"/>
        </w:numPr>
        <w:spacing w:after="60" w:line="312"/>
        <w:ind w:left="720" w:hanging="360"/>
      </w:pPr>
      <w:r>
        <w:rPr>
          <w:rFonts w:ascii="Inter" w:eastAsia="Inter"/>
          <w:color w:val="1E293B"/>
          <w:sz w:val="22"/>
          <w:szCs w:val="22"/>
        </w:rPr>
        <w:t xml:space="preserve">ADR-065 - Assignment Model (provides assignment input)</w:t>
      </w:r>
    </w:p>
    <w:p>
      <w:pPr>
        <w:pStyle w:val="ListParagraph"/>
        <w:numPr>
          <w:ilvl w:val="0"/>
          <w:numId w:val="1"/>
        </w:numPr>
        <w:spacing w:after="60" w:line="312"/>
        <w:ind w:left="720" w:hanging="360"/>
      </w:pPr>
      <w:r>
        <w:rPr>
          <w:rFonts w:ascii="Inter" w:eastAsia="Inter"/>
          <w:color w:val="1E293B"/>
          <w:sz w:val="22"/>
          <w:szCs w:val="22"/>
        </w:rPr>
        <w:t xml:space="preserve">ADR-066 - Bundle Strategy (bundles create assignments that the resolver flattens)</w:t>
      </w:r>
    </w:p>
    <w:p>
      <w:pPr>
        <w:pStyle w:val="ListParagraph"/>
        <w:numPr>
          <w:ilvl w:val="0"/>
          <w:numId w:val="1"/>
        </w:numPr>
        <w:spacing w:after="60" w:line="312"/>
        <w:ind w:left="720" w:hanging="360"/>
      </w:pPr>
      <w:r>
        <w:rPr>
          <w:rFonts w:ascii="Inter" w:eastAsia="Inter"/>
          <w:color w:val="1E293B"/>
          <w:sz w:val="22"/>
          <w:szCs w:val="22"/>
        </w:rPr>
        <w:t xml:space="preserve">ADR-068 - Permission Cache (caches the resolver's output)</w:t>
      </w:r>
    </w:p>
    <w:p>
      <w:pPr>
        <w:pStyle w:val="ListParagraph"/>
        <w:numPr>
          <w:ilvl w:val="0"/>
          <w:numId w:val="1"/>
        </w:numPr>
        <w:spacing w:after="60" w:line="312"/>
        <w:ind w:left="720" w:hanging="360"/>
      </w:pPr>
      <w:r>
        <w:rPr>
          <w:rFonts w:ascii="Inter" w:eastAsia="Inter"/>
          <w:color w:val="1E293B"/>
          <w:sz w:val="22"/>
          <w:szCs w:val="22"/>
        </w:rPr>
        <w:t xml:space="preserve">ADR-069 - Cache Invalidation (invalidates the cache on assignment changes)</w:t>
      </w:r>
    </w:p>
    <w:p>
      <w:pPr>
        <w:pStyle w:val="ListParagraph"/>
        <w:numPr>
          <w:ilvl w:val="0"/>
          <w:numId w:val="1"/>
        </w:numPr>
        <w:spacing w:after="60" w:line="312"/>
        <w:ind w:left="720" w:hanging="360"/>
      </w:pPr>
      <w:r>
        <w:rPr>
          <w:rFonts w:ascii="Inter" w:eastAsia="Inter"/>
          <w:color w:val="1E293B"/>
          <w:sz w:val="22"/>
          <w:szCs w:val="22"/>
        </w:rPr>
        <w:t xml:space="preserve">ADR-086 - Audit Trail (records resolver invocations and inputs for reconstruction)</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NIST SP 800-162 - Guide to ABAC Definition and Considerations, Resolution section. NIST. 2014.</w:t>
      </w:r>
    </w:p>
    <w:p>
      <w:pPr>
        <w:pStyle w:val="ListParagraph"/>
        <w:numPr>
          <w:ilvl w:val="0"/>
          <w:numId w:val="1"/>
        </w:numPr>
        <w:spacing w:after="60" w:line="312"/>
        <w:ind w:left="720" w:hanging="360"/>
      </w:pPr>
      <w:r>
        <w:rPr>
          <w:rFonts w:ascii="Inter" w:eastAsia="Inter"/>
          <w:color w:val="1E293B"/>
          <w:sz w:val="22"/>
          <w:szCs w:val="22"/>
        </w:rPr>
        <w:t xml:space="preserve">Sandhu, R. et al. - The ARBAC97 Model for Role-Based Administration of Role-Based Access Control. ACM TISSEC. 1999.</w:t>
      </w:r>
    </w:p>
    <w:p>
      <w:pPr>
        <w:pStyle w:val="ListParagraph"/>
        <w:numPr>
          <w:ilvl w:val="0"/>
          <w:numId w:val="1"/>
        </w:numPr>
        <w:spacing w:after="60" w:line="312"/>
        <w:ind w:left="720" w:hanging="360"/>
      </w:pPr>
      <w:r>
        <w:rPr>
          <w:rFonts w:ascii="Inter" w:eastAsia="Inter"/>
          <w:color w:val="1E293B"/>
          <w:sz w:val="22"/>
          <w:szCs w:val="22"/>
        </w:rPr>
        <w:t xml:space="preserve">OWASP Access Control Cheat Sheet, Resolution section. OWASP Foundation. 2024.</w:t>
      </w:r>
    </w:p>
    <w:p>
      <w:pPr>
        <w:pStyle w:val="ListParagraph"/>
        <w:numPr>
          <w:ilvl w:val="0"/>
          <w:numId w:val="1"/>
        </w:numPr>
        <w:spacing w:after="60" w:line="312"/>
        <w:ind w:left="720" w:hanging="360"/>
      </w:pPr>
      <w:r>
        <w:rPr>
          <w:rFonts w:ascii="Inter" w:eastAsia="Inter"/>
          <w:color w:val="1E293B"/>
          <w:sz w:val="22"/>
          <w:szCs w:val="22"/>
        </w:rPr>
        <w:t xml:space="preserve">PreOne Engineering Handbook, Section 4.7 - Effective Permission Resolver. Internal. 2025.</w:t>
      </w:r>
    </w:p>
    <w:p>
      <w:pPr>
        <w:pStyle w:val="ListParagraph"/>
        <w:numPr>
          <w:ilvl w:val="0"/>
          <w:numId w:val="1"/>
        </w:numPr>
        <w:spacing w:after="60" w:line="312"/>
        <w:ind w:left="720" w:hanging="360"/>
      </w:pPr>
      <w:r>
        <w:rPr>
          <w:rFonts w:ascii="Inter" w:eastAsia="Inter"/>
          <w:color w:val="1E293B"/>
          <w:sz w:val="22"/>
          <w:szCs w:val="22"/>
        </w:rPr>
        <w:t xml:space="preserve">PostgreSQL Documentation, Chapter 13.2.2 - Repeatable Read Isolation Level. PostgreSQL. 2024.</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2025-08-01</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Platform Security Architect</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options enumerated; consultation with security and engineering teams</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2025-09-17</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Platform Security Architect</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Architecture Review Board after cross-team review</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2025-10-15</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published to architecture repository</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2026-07-15</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cross-references to Vol 1-3 ADRs added; 34-section template applied</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Platform Security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Authorization Platform Lead</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Architecture Review Board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ADR published to architecture repository (Done)</w:t>
      </w:r>
    </w:p>
    <w:p>
      <w:pPr>
        <w:pStyle w:val="ListParagraph"/>
        <w:numPr>
          <w:ilvl w:val="0"/>
          <w:numId w:val="1"/>
        </w:numPr>
        <w:spacing w:after="60" w:line="312"/>
        <w:ind w:left="720" w:hanging="360"/>
      </w:pPr>
      <w:r>
        <w:rPr>
          <w:rFonts w:ascii="Inter" w:eastAsia="Inter"/>
          <w:color w:val="1E293B"/>
          <w:sz w:val="22"/>
          <w:szCs w:val="22"/>
        </w:rPr>
        <w:t xml:space="preserve">Cross-references to upstream/downstream artefacts added (Done)</w:t>
      </w:r>
    </w:p>
    <w:p>
      <w:pPr>
        <w:pStyle w:val="ListParagraph"/>
        <w:numPr>
          <w:ilvl w:val="0"/>
          <w:numId w:val="1"/>
        </w:numPr>
        <w:spacing w:after="60" w:line="312"/>
        <w:ind w:left="720" w:hanging="360"/>
      </w:pPr>
      <w:r>
        <w:rPr>
          <w:rFonts w:ascii="Inter" w:eastAsia="Inter"/>
          <w:color w:val="1E293B"/>
          <w:sz w:val="22"/>
          <w:szCs w:val="22"/>
        </w:rPr>
        <w:t xml:space="preserve">Security team briefed in monthly architecture sync (Done)</w:t>
      </w:r>
    </w:p>
    <w:p>
      <w:pPr>
        <w:pStyle w:val="ListParagraph"/>
        <w:numPr>
          <w:ilvl w:val="0"/>
          <w:numId w:val="1"/>
        </w:numPr>
        <w:spacing w:after="60" w:line="312"/>
        <w:ind w:left="720" w:hanging="360"/>
      </w:pPr>
      <w:r>
        <w:rPr>
          <w:rFonts w:ascii="Inter" w:eastAsia="Inter"/>
          <w:color w:val="1E293B"/>
          <w:sz w:val="22"/>
          <w:szCs w:val="22"/>
        </w:rPr>
        <w:t xml:space="preserve">Code review checklist updated to enforce this ADR (Done)</w:t>
      </w:r>
    </w:p>
    <w:p>
      <w:pPr>
        <w:pStyle w:val="ListParagraph"/>
        <w:numPr>
          <w:ilvl w:val="0"/>
          <w:numId w:val="1"/>
        </w:numPr>
        <w:spacing w:after="60" w:line="312"/>
        <w:ind w:left="720" w:hanging="360"/>
      </w:pPr>
      <w:r>
        <w:rPr>
          <w:rFonts w:ascii="Inter" w:eastAsia="Inter"/>
          <w:color w:val="1E293B"/>
          <w:sz w:val="22"/>
          <w:szCs w:val="22"/>
        </w:rPr>
        <w:t xml:space="preserve">On-call runbook updated with operational procedures (Done)</w:t>
      </w:r>
    </w:p>
    <w:p>
      <w:pPr>
        <w:pStyle w:val="ListParagraph"/>
        <w:numPr>
          <w:ilvl w:val="0"/>
          <w:numId w:val="1"/>
        </w:numPr>
        <w:spacing w:after="60" w:line="312"/>
        <w:ind w:left="720" w:hanging="360"/>
      </w:pPr>
      <w:r>
        <w:rPr>
          <w:rFonts w:ascii="Inter" w:eastAsia="Inter"/>
          <w:color w:val="1E293B"/>
          <w:sz w:val="22"/>
          <w:szCs w:val="22"/>
        </w:rPr>
        <w:t xml:space="preserve">Effective Permission Resolver implemented (Done)</w:t>
      </w:r>
    </w:p>
    <w:p>
      <w:pPr>
        <w:pStyle w:val="ListParagraph"/>
        <w:numPr>
          <w:ilvl w:val="0"/>
          <w:numId w:val="1"/>
        </w:numPr>
        <w:spacing w:after="60" w:line="312"/>
        <w:ind w:left="720" w:hanging="360"/>
      </w:pPr>
      <w:r>
        <w:rPr>
          <w:rFonts w:ascii="Inter" w:eastAsia="Inter"/>
          <w:color w:val="1E293B"/>
          <w:sz w:val="22"/>
          <w:szCs w:val="22"/>
        </w:rPr>
        <w:t xml:space="preserve">Redis cache for permission lookups (Done)</w:t>
      </w:r>
    </w:p>
    <w:p>
      <w:pPr>
        <w:pStyle w:val="ListParagraph"/>
        <w:numPr>
          <w:ilvl w:val="0"/>
          <w:numId w:val="1"/>
        </w:numPr>
        <w:spacing w:after="60" w:line="312"/>
        <w:ind w:left="720" w:hanging="360"/>
      </w:pPr>
      <w:r>
        <w:rPr>
          <w:rFonts w:ascii="Inter" w:eastAsia="Inter"/>
          <w:color w:val="1E293B"/>
          <w:sz w:val="22"/>
          <w:szCs w:val="22"/>
        </w:rPr>
        <w:t xml:space="preserve">Cache invalidation on role/permission change (Done — ADR-069)</w:t>
      </w:r>
    </w:p>
    <w:p>
      <w:pPr>
        <w:pStyle w:val="ListParagraph"/>
        <w:numPr>
          <w:ilvl w:val="0"/>
          <w:numId w:val="1"/>
        </w:numPr>
        <w:spacing w:after="60" w:line="312"/>
        <w:ind w:left="720" w:hanging="360"/>
      </w:pPr>
      <w:r>
        <w:rPr>
          <w:rFonts w:ascii="Inter" w:eastAsia="Inter"/>
          <w:color w:val="1E293B"/>
          <w:sz w:val="22"/>
          <w:szCs w:val="22"/>
        </w:rPr>
        <w:t xml:space="preserve">Admin 'Effective Permissions' panel (Done)</w:t>
      </w:r>
    </w:p>
    <w:p>
      <w:pPr>
        <w:pStyle w:val="ListParagraph"/>
        <w:numPr>
          <w:ilvl w:val="0"/>
          <w:numId w:val="1"/>
        </w:numPr>
        <w:spacing w:after="60" w:line="312"/>
        <w:ind w:left="720" w:hanging="360"/>
      </w:pPr>
      <w:r>
        <w:rPr>
          <w:rFonts w:ascii="Inter" w:eastAsia="Inter"/>
          <w:color w:val="1E293B"/>
          <w:sz w:val="22"/>
          <w:szCs w:val="22"/>
        </w:rPr>
        <w:t xml:space="preserve">Cache hit-rate monitoring (target &gt;95%) (Done)</w:t>
      </w:r>
    </w:p>
    <w:p>
      <w:pPr>
        <w:spacing w:after="60" w:before="360" w:line="280"/>
      </w:pPr>
      <w:r>
        <w:rPr>
          <w:rFonts w:ascii="Inter" w:eastAsia="Inter"/>
          <w:b/>
          <w:bCs/>
          <w:color w:val="4F46E5"/>
          <w:spacing w:val="60"/>
          <w:sz w:val="22"/>
          <w:szCs w:val="22"/>
        </w:rPr>
        <w:t xml:space="preserve">ADR-068</w:t>
      </w:r>
    </w:p>
    <w:p>
      <w:pPr>
        <w:pStyle w:val="Heading1"/>
        <w:spacing w:after="200" w:before="60" w:line="312"/>
      </w:pPr>
      <w:r>
        <w:rPr>
          <w:rFonts w:ascii="Inter" w:eastAsia="Inter"/>
          <w:b/>
          <w:bCs/>
          <w:color w:val="0F172A"/>
          <w:sz w:val="36"/>
          <w:szCs w:val="36"/>
        </w:rPr>
        <w:t xml:space="preserve">Permission Cache</w:t>
      </w:r>
    </w:p>
    <w:p>
      <w:pPr>
        <w:spacing w:after="120" w:line="280"/>
      </w:pPr>
      <w:r>
        <w:rPr>
          <w:rFonts w:ascii="Inter" w:eastAsia="Inter"/>
          <w:color w:val="64748B"/>
          <w:sz w:val="20"/>
          <w:szCs w:val="20"/>
        </w:rPr>
        <w:t xml:space="preserve">Volume 4 — Security Architecture  -  </w:t>
      </w:r>
      <w:r>
        <w:rPr>
          <w:rFonts w:ascii="Inter" w:eastAsia="Inter"/>
          <w:color w:val="64748B"/>
          <w:sz w:val="20"/>
          <w:szCs w:val="20"/>
        </w:rPr>
        <w:t xml:space="preserve">Identity &amp; Security</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Adopt a Redis-backed permission cache that stores the Effective Permission Resolver's output keyed by (principal_id, algorithm_version). The cache TTL is 5 minutes; the cache is invalidated eagerly on assignment changes per ADR-069. The cache is the sole read path for the resolver on the hot path; cache misses fall through to the database and back-fill the cache. The cache is deployed as a three-node Redis Cluster per region with cross-region replication for failover.</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Platform Security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review, or on performance target breach, or on traffic pattern change</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refreshes for series alignment and cross-references)</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The Effective Permission Resolver (ADR-067) computes a permission set in 5-10ms on a cold cache, which is acceptable for occasional cold-cache reads but unsustainable for the hot path (every API request). The 2025 Q3 load test projected that without a cache, the resolver would consume 60% of the database CPU at projected peak, which is the primary scaling bottleneck for the authorization stack.
The ARB considered four caching strategies. The first is no cache, which is rejected on performance grounds. The second is an in-process cache (e.g., Caffeine), which is rejected because it does not invalidate across instances (a permission change on instance A is not visible to instance B for up to 5 minutes). The third is a Redis cache with TTL-only invalidation, which is rejected because TTL-only invalidation produces up to 5 minutes of staleness, which violates the 60-second freshness requirement. The fourth is a Redis cache with eager invalidation (per ADR-069), which is selected because it meets both the performance and freshness requirements.
This ADR defines the cache. The invalidation strategy (how the cache is invalidated on assignment changes) is defined in ADR-069. The resolver (which produces the cached values) is defined in ADR-067. This ADR defines the cache topology, the cache key, the TTL, the read path, the write path, and the failure modes.</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The 2026 international expansion requires that the authorization stack handle 10x the current request volume without a proportional increase in database cost. The cache is the primary mechanism for this: a 95% cache hit rate reduces the database load by 20x, which is the difference between a comfortable and an uncomfortable database scaling story. The business also requires that the cache not become a single point of failure for the authorization stack, which drives the multi-region deployment with failover. Finally, the business requires that the cache not leak permission data across tenants, which drives the tenant-scoped cache key design.</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The Effective Permission Resolver is too slow for the hot path without a cache (5-10ms cold vs 1ms budgeted). PreOne needs a Redis-backed permission cache with a 95% hit rate, eager invalidation for 60-second freshness, multi-region deployment for fault tolerance, and tenant-scoped keys for isolation.</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The cache must achieve a 95% hit rate at steady state to meet the resolver's 5ms p99 budget.</w:t>
      </w:r>
    </w:p>
    <w:p>
      <w:pPr>
        <w:pStyle w:val="ListParagraph"/>
        <w:numPr>
          <w:ilvl w:val="0"/>
          <w:numId w:val="1"/>
        </w:numPr>
        <w:spacing w:after="60" w:line="312"/>
        <w:ind w:left="720" w:hanging="360"/>
      </w:pPr>
      <w:r>
        <w:rPr>
          <w:rFonts w:ascii="Inter" w:eastAsia="Inter"/>
          <w:color w:val="1E293B"/>
          <w:sz w:val="22"/>
          <w:szCs w:val="22"/>
        </w:rPr>
        <w:t xml:space="preserve">The cache must invalidate eagerly on assignment changes (per ADR-069) to meet the 60-second freshness requirement.</w:t>
      </w:r>
    </w:p>
    <w:p>
      <w:pPr>
        <w:pStyle w:val="ListParagraph"/>
        <w:numPr>
          <w:ilvl w:val="0"/>
          <w:numId w:val="1"/>
        </w:numPr>
        <w:spacing w:after="60" w:line="312"/>
        <w:ind w:left="720" w:hanging="360"/>
      </w:pPr>
      <w:r>
        <w:rPr>
          <w:rFonts w:ascii="Inter" w:eastAsia="Inter"/>
          <w:color w:val="1E293B"/>
          <w:sz w:val="22"/>
          <w:szCs w:val="22"/>
        </w:rPr>
        <w:t xml:space="preserve">The cache must not leak permission data across tenants; cache keys must include tenant_id or be tenant-scoped.</w:t>
      </w:r>
    </w:p>
    <w:p>
      <w:pPr>
        <w:pStyle w:val="ListParagraph"/>
        <w:numPr>
          <w:ilvl w:val="0"/>
          <w:numId w:val="1"/>
        </w:numPr>
        <w:spacing w:after="60" w:line="312"/>
        <w:ind w:left="720" w:hanging="360"/>
      </w:pPr>
      <w:r>
        <w:rPr>
          <w:rFonts w:ascii="Inter" w:eastAsia="Inter"/>
          <w:color w:val="1E293B"/>
          <w:sz w:val="22"/>
          <w:szCs w:val="22"/>
        </w:rPr>
        <w:t xml:space="preserve">The cache must tolerate Redis node failure without producing incorrect results (correctness over availability).</w:t>
      </w:r>
    </w:p>
    <w:p>
      <w:pPr>
        <w:pStyle w:val="ListParagraph"/>
        <w:numPr>
          <w:ilvl w:val="0"/>
          <w:numId w:val="1"/>
        </w:numPr>
        <w:spacing w:after="60" w:line="312"/>
        <w:ind w:left="720" w:hanging="360"/>
      </w:pPr>
      <w:r>
        <w:rPr>
          <w:rFonts w:ascii="Inter" w:eastAsia="Inter"/>
          <w:color w:val="1E293B"/>
          <w:sz w:val="22"/>
          <w:szCs w:val="22"/>
        </w:rPr>
        <w:t xml:space="preserve">The cache must be horizontally scalable to 1 million cached principals per region.</w:t>
      </w:r>
    </w:p>
    <w:p>
      <w:pPr>
        <w:pStyle w:val="ListParagraph"/>
        <w:numPr>
          <w:ilvl w:val="0"/>
          <w:numId w:val="1"/>
        </w:numPr>
        <w:spacing w:after="60" w:line="312"/>
        <w:ind w:left="720" w:hanging="360"/>
      </w:pPr>
      <w:r>
        <w:rPr>
          <w:rFonts w:ascii="Inter" w:eastAsia="Inter"/>
          <w:color w:val="1E293B"/>
          <w:sz w:val="22"/>
          <w:szCs w:val="22"/>
        </w:rPr>
        <w:t xml:space="preserve">The cache TTL must be bounded (max 5 minutes) to limit stale-data window if invalidation fails.</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Redis 7+ is available with cluster mode and cross-region replication (Redis Enterprise or self-hosted equivalent).</w:t>
      </w:r>
    </w:p>
    <w:p>
      <w:pPr>
        <w:pStyle w:val="ListParagraph"/>
        <w:numPr>
          <w:ilvl w:val="0"/>
          <w:numId w:val="1"/>
        </w:numPr>
        <w:spacing w:after="60" w:line="312"/>
        <w:ind w:left="720" w:hanging="360"/>
      </w:pPr>
      <w:r>
        <w:rPr>
          <w:rFonts w:ascii="Inter" w:eastAsia="Inter"/>
          <w:color w:val="1E293B"/>
          <w:sz w:val="22"/>
          <w:szCs w:val="22"/>
        </w:rPr>
        <w:t xml:space="preserve">The Effective Permission Resolver (ADR-067) produces deterministic output for a given (principal_id, algorithm_version).</w:t>
      </w:r>
    </w:p>
    <w:p>
      <w:pPr>
        <w:pStyle w:val="ListParagraph"/>
        <w:numPr>
          <w:ilvl w:val="0"/>
          <w:numId w:val="1"/>
        </w:numPr>
        <w:spacing w:after="60" w:line="312"/>
        <w:ind w:left="720" w:hanging="360"/>
      </w:pPr>
      <w:r>
        <w:rPr>
          <w:rFonts w:ascii="Inter" w:eastAsia="Inter"/>
          <w:color w:val="1E293B"/>
          <w:sz w:val="22"/>
          <w:szCs w:val="22"/>
        </w:rPr>
        <w:t xml:space="preserve">Assignment changes are infrequent relative to authorization requests (write rate under 0.1% of read rate).</w:t>
      </w:r>
    </w:p>
    <w:p>
      <w:pPr>
        <w:pStyle w:val="ListParagraph"/>
        <w:numPr>
          <w:ilvl w:val="0"/>
          <w:numId w:val="1"/>
        </w:numPr>
        <w:spacing w:after="60" w:line="312"/>
        <w:ind w:left="720" w:hanging="360"/>
      </w:pPr>
      <w:r>
        <w:rPr>
          <w:rFonts w:ascii="Inter" w:eastAsia="Inter"/>
          <w:color w:val="1E293B"/>
          <w:sz w:val="22"/>
          <w:szCs w:val="22"/>
        </w:rPr>
        <w:t xml:space="preserve">The cache invalidation strategy (ADR-069) correctly invalidates within 60 seconds of an assignment change.</w:t>
      </w:r>
    </w:p>
    <w:p>
      <w:pPr>
        <w:pStyle w:val="ListParagraph"/>
        <w:numPr>
          <w:ilvl w:val="0"/>
          <w:numId w:val="1"/>
        </w:numPr>
        <w:spacing w:after="60" w:line="312"/>
        <w:ind w:left="720" w:hanging="360"/>
      </w:pPr>
      <w:r>
        <w:rPr>
          <w:rFonts w:ascii="Inter" w:eastAsia="Inter"/>
          <w:color w:val="1E293B"/>
          <w:sz w:val="22"/>
          <w:szCs w:val="22"/>
        </w:rPr>
        <w:t xml:space="preserve">Network latency within a region is under 1ms, making the Redis round-trip acceptable on the hot path.</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Redis Cluster with eager invalidation, TTL 5 minutes, (principal_id, algorithm_version) key, three nodes per region.</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Meets performance and freshness requirements. Horizontally scalable. Fault-tolerant. Tenant isolation via key scoping.</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Operational complexity of Redis Cluster. Eager invalidation requires a robust invalidation pipeline (ADR-069). Cross-region replication adds latency to writes.</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Adopted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In-process Caffeine cache with TTL-only invalidation, 1-minute TTL.</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Lowest latency (no network round-trip). Simplest operationally. No new infrastructure.</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No cross-instance invalidation (permission changes on one instance are invisible to others for up to 1 minute). Violates the 60-second freshness requirement in the worst case.</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Two-layer cache: Caffeine (1-minute TTL) in front of Redis (5-minute TTL) with eager invalidation.</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Lowest latency for hot principals (Caffeine hit). Redis as fallback. Reduces Redis load.</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Two layers add complexity. Caffeine invalidation across instances still requires Redis pub/sub. Marginal benefit over Redis-only at PreOne's cache hit pattern.</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Redis with TTL-only invalidation, 1-minute TTL (no eager invalidation).</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Simpler than eager invalidation. No invalidation pipeline to operate. TTL bounds staleness.</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Up to 1-minute staleness on every assignment change. Violates the 60-second freshness requirement in the average case. Rejected by ARB as insufficient for the regulated education market.</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Adopt a Redis Cluster-backed permission cache. The cache stores the Effective Permission Resolver's output keyed by principal_id:{principal_id}:algorithm_version:{v}, where the value is the JSON-serialized permission set. The cache TTL is 5 minutes (300 seconds), bounded to limit the stale-data window if invalidation fails. The cache is invalidated eagerly on assignment changes per ADR-069. The cache is deployed as a three-node Redis Cluster per region, with cross-region replication for failover. Reads are the sole hot path for the resolver; cache misses fall through to the database and back-fill the cache. The cache is tenant-scoped via a tenant_id prefix on the key, ensuring that a Redis SCAN operation scoped to one tenant cannot enumerate another tenant's keys.</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The Redis Cluster with eager invalidation was chosen over the in-process Caffeine cache because the cross-instance invalidation problem is fundamental. PreOne's backend runs as multiple Spring Boot instances behind a load balancer; a permission change processed by instance A must be visible to instance B within 60 seconds. The in-process Caffeine cache has no cross-instance invalidation mechanism (a pub/sub layer would be required, which negates the simplicity advantage). The Redis cache's eager invalidation (per ADR-069) provides cross-instance invalidation natively via Redis pub/sub, which is the standard pattern for distributed cache invalidation.
The two-layer cache (Caffeine in front of Redis) was rejected because the marginal benefit is small at PreOne's cache hit pattern. The Redis round-trip is under 1ms within a region, which is well within the 5ms p99 budget. Adding a Caffeine layer would reduce the hot-principal latency from 1ms to 0.1ms, which is not perceptible to the user and does not justify the operational complexity of two layers. The two-layer cache is the standard pattern for very-high-throughput systems (e.g., social media feeds) where the inner layer's latency matters; PreOne's throughput does not justify it.
The TTL-only invalidation was rejected because it violates the 60-second freshness requirement in the average case. A 1-minute TTL means that an assignment change takes up to 1 minute to be visible (the worst case), which is acceptable, but the average case is 30 seconds, which is also acceptable; the problem is that the worst case can be longer if the cache is back-filled just before the change. Eager invalidation makes the worst case 60 seconds (the invalidation pipeline's budget per ADR-069), which is the requirement. The TTL is retained as a safety net for invalidation failures: if the invalidation pipeline fails for any reason, the TTL ensures that stale data is eventually replaced.
The 5-minute TTL is chosen as a balance between freshness (shorter is better) and cache hit rate (longer is better). A 5-minute TTL with eager invalidation gives a 95% hit rate at PreOne's projected access pattern (each principal's permissions are accessed 20+ times per 5-minute window). A shorter TTL (e.g., 1 minute) would reduce the hit rate to 80%, which would elevate the cold-cache rate and the database load. A longer TTL (e.g., 30 minutes) would not improve the hit rate significantly (the access pattern is bursty, not steady) and would increase the stale-data window if invalidation fails.
The tenant-scoped key (tenant_id:{tenant_id}:principal_id:{principal_id}:algorithm_version:{v}) is the critical security property. It ensures that a Redis SCAN operation scoped to one tenant (e.g., for cache inspection or debugging) cannot enumerate another tenant's keys, which is a tenant-isolation requirement (ADR-043). The key structure also supports efficient bulk invalidation (delete all keys for a tenant via SCAN + DEL) for the rare case where a tenant-wide change requires full cache flush.
The algorithm_version in the key is the second critical property. It ensures that an algorithm change (per ADR-067) does not produce stale cached values: a new algorithm version produces a new key namespace, which is cold, forcing a cold-cache rebuild. The old key namespace is allowed to expire via TTL, which is a graceful cleanup mechanism. This pattern is standard for versioned caches and avoids the need for an explicit flush on algorithm change.
The three-node Redis Cluster per region is the minimum configuration that provides fault tolerance (one node can fail without losing availability) and horizontal scalability (the cache is sharded across the three nodes). The cross-region replication is asynchronous (the primary region writes, the secondary regions replicate with a small lag), which means that a region failover may produce a brief window of stale data; this is acceptable because the resolver's cache fallback (per ADR-067) preserves correctness during the window. The replication lag is monitored and alerted on if it exceeds 5 seconds.
The decision to make reads the sole hot path (cache misses fall through to the database and back-fill) is the standard cache-aside pattern. The alternative (read-through, where the cache itself calls the resolver on miss) is rejected because it couples the cache to the resolver's deployment, which complicates scaling and deployment. The cache-aside pattern keeps the cache and the resolver independently deployable, which is operationally simpler.</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PREONE PERMISSION CACHE                          |
+-----------------------------------------------------------+
|  Region A (primary)                                       |
|  +-------------------+   +-------------------+            |
|  | Redis Cluster     |   | Redis Cluster     |            |
|  | Node A1 (shard 1) |   | Node A2 (shard 2) |            |
|  +-------------------+   +-------------------+            |
|  +-------------------+                                    |
|  | Redis Cluster     |   Async Replication                |
|  | Node A3 (shard 3) |   +------+                         |
|  +-------------------+   |      |                         |
|         ^                v      v                         |
|         |     +-------------------+                       |
|         |     | Region B (secondary)|                     |
|         |     | Redis Cluster       |                     |
|         |     | (replica of A)      |                     |
|         |     +-------------------+                       |
|         |                                                |
|  +------+--------+                                       |
|  | Resolver      |  READ: cache-aside                    |
|  | (ADR-067)     |  - GET key -&gt; HIT: return             |
|  +---------------+  - GET key -&gt; MISS: query DB, SET key  |
|         ^                                                |
|         |                                                |
|  +------+--------+                                       |
|  | Assignment    |  WRITE: invalidate per ADR-069         |
|  | Service       |  - PUBLISH invalidation event          |
|  +---------------+  - DEL key on all subscribers          |
+-----------------------------------------------------------+
Key: tenant_id:{tid}:principal_id:{pid}:algorithm_version:{v}
TTL: 300 seconds (5 minutes)
Value: JSON-serialized permission set</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API Call -&gt; Resolver: Resolve(principal_id)
Resolver -&gt; Redis: GET tenant_id:T:principal_id:P:algorithm_version:V
Redis -&gt; Resolver: MISS
Resolver -&gt; PostgreSQL: FETCH assignments + roles (snapshot read)
PostgreSQL -&gt; Resolver: Rows
Resolver -&gt; Algorithm: Compute permission set
Algorithm -&gt; Redis: SET key with TTL 300s
Algorithm -&gt; Resolver: Permission set
Resolver -&gt; API Call: Return permission set
Note over Redis: Later:
API Call -&gt; Resolver: Resolve(principal_id)
Resolver -&gt; Redis: GET key
Redis -&gt; Resolver: HIT (cached)
Resolver -&gt; API Call: Return cached permission set
Note over Assignment Service: Assignment changes:
Assignment Service -&gt; Invalidation Bus: PUBLISH invalidate(P)
Invalidation Bus -&gt; Redis A1: DEL key
Invalidation Bus -&gt; Redis A2: DEL key
Invalidation Bus -&gt; Redis A3: DEL key</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ADR-068 — Permission Cache  -  Component View         |
+-------------------------------------------------------------+
|                                                             |
|  +----------------+        +----------------------+         |
|  | Admin UI       |  CRUD  | Role/Permission      |         |
|  |                |-------&gt;| Service              |         |
|  +----------------+        +----------+-----------+         |
|                                       |                     |
|                                       | persists            |
|                                       v                     |
|  +----------------+        +----------------------+         |
|  | Repository     |  CRUD  | Postgres RBAC tables |         |
|  |                |-------&gt;| (roles, permissions, |         |
|  +----------------+        |  bundles, assignments)|        |
|                              +----------------------+         |
|                                                             |
|  Cache (Redis) for hot permission lookups                  |
|  Invalidation (ADR-069) on role/permission change          |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Permission Resolution Flow:
  User -&gt; App: action request
  App -&gt; Permission Resolver: 'permissions for user X?'
  Resolver -&gt; Cache (Redis): lookup
  (cache miss) Resolver -&gt; Postgres: query roles + bundles + assignments
  Resolver -&gt; Cache: store (TTL 5 min)
  Resolver -&gt; App: effective permissions
Cache Invalidation Flow (on role/permission change):
  Admin -&gt; RBAC Service: update role
  RBAC Service -&gt; Postgres: persist
  RBAC Service -&gt; Invalidation Publisher: 'invalidate users with role X'
  Invalidation Publisher -&gt; Redis: delete cached entries
  Invalidation Publisher -&gt; Audit: log 'CACHE_INVALIDATED'</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The permission cache does not add new database tables. It reads from the role_assignments, roles, role_permissions, and permissions tables defined in ADR-063, ADR-064, and ADR-065. The cache reduces database load by approximately 20x at a 95% hit rate, which is the primary scalability benefit. The cache's back-fill on miss uses the same snapshot read as the resolver (per ADR-067), so the database's repeatable-read isolation is exercised on every cache miss. The cache does not affect the database's write path; assignment changes (which trigger cache invalidation) are writes to the role_assignments table, which is unchanged.</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The cache is internal to the resolver; no new public endpoints are introduced. The resolver's /internal/authz/resolve endpoint (per ADR-067) is the sole consumer of the cache. The cache's behavior is transparent to the API callers: they invoke the resolver, which checks the cache and falls through to the database on miss. The cache's TTL and hit rate are exposed via the resolver's observability dashboard (per ADR-067's monitoring section), not via a dedicated API. The cache's invalidation is triggered by the assignment service's writes (per ADR-069), which are internal to the authorization stack.</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The effective permission resolver is invisible to end users — they see only the UI elements their permissions allow. For admins, the 'User Detail' page includes a 'Effective Permissions' panel showing the computed permission set (read-only, with a 'refresh' button to force cache invalidation). The 'Permission Cache Health' dashboard (admin/operations/security/permissions) shows cache hit rate, invalidation latency, and stale-cache incidents — accessible to the Security Engineering team. Cache invalidation events are surfaced in the admin 'Activity Log' for audit traceability.</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The tenant-scoped key is the critical security property. It ensures that a Redis SCAN operation scoped to one tenant cannot enumerate another tenant's keys, which is a tenant-isolation requirement (ADR-043). The cache does not store PII (the permission set contains only permission IDs and scope IDs, not personal data), so a cache compromise does not expose PII. The cache's TTL bounds the stale-data window if invalidation fails, which is a defense-in-depth measure against invalidation pipeline bugs. The cross-region replication is encrypted in transit (TLS 1.3 per ADR-077) and at rest (Redis encryption at rest), so the replicated data is protected. The cache's failure mode (fail through to database) preserves correctness, so a cache compromise cannot produce incorrect authorization decisions (an attacker who modifies cached data would be detected on the next invalidation, within 5 minutes at worst).</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The cache meets the 5ms p99 budget with significant headroom: a cache hit is a single Redis GET, which takes 0.5-1ms at p99. The cold-cache path (5% of requests at steady state) takes 5-10ms at p99, which is within the 50ms cold-cache budget. The cache reduces database load by 20x at a 95% hit rate, which is the primary scalability benefit. The cache's memory footprint is approximately 1KB per cached principal (the JSON-serialized permission set), so 1 million cached principals is 1GB, which fits comfortably in the three-node Redis Cluster's 12GB total memory. The cache's invalidation (per ADR-069) adds a small write load (one DEL per assignment change), which is negligible relative to the read load.</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The cache scales with the number of cached principals, projected to grow from two hundred thousand to four million over three years. At 1KB per principal, four million principals is 4GB, which fits in the three-node Redis Cluster's 12GB total memory with headroom for growth. The cache's read throughput scales with the number of Redis nodes (each shard handles a fraction of the read load); at three nodes, the projected peak read rate (5,000 reads per second) is well within each node's capacity (50,000+ reads per second). The cache's invalidation throughput scales with the Redis pub/sub capacity, which is not a bottleneck at PreOne's write rate. If the cache grows beyond 4GB, the cluster can be expanded to five nodes without disruption (Redis Cluster supports online resharding). No architectural ceiling is anticipated within the three-year planning horizon.</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The Redis Cluster is deployed as a managed service (AWS ElastiCache for Redis or equivalent) in each region, with cross-region replication configured for failover. The on-call runbook covers four failure modes: single-node failure (cluster continues with reduced capacity, alert), multi-node failure (cluster unavailable, resolver fails through to database, alert), replication lag (alert if lag exceeds 5 seconds, may indicate network issue), and cache corruption (detection via spot-check job, mitigation via flush and rebuild). The cache's hit rate, memory usage, and eviction rate are monitored on a dedicated dashboard. The cache's TTL and invalidation behavior are tested in the quarterly game-day, including a simulated invalidation pipeline failure to verify that the TTL bounds the stale-data window.</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Cache invalidation pipeline fails silently, producing stale permissions for up to 5 minutes (the TTL).</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TTL bounds the stale window. Invalidation pipeline is monitored with alerts on lag &gt; 60s. Spot-check job compares cache to database hourly.</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Redis Cluster node failure causes brief cache unavailability, elevating cold-cache rate.</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Three-node cluster tolerates one node failure. Resolver fails through to database. Database has capacity for 5x cold-cache rate.</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Cache key namespace collision across tenants if tenant_id prefix is omitted by a bug.</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Key construction is centralized in a single library. CI test verifies tenant isolation. Spot-check job verifies no cross-tenant keys.</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Algorithm version bump causes a cold-cache rebuild storm, overwhelming the database.</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Algorithm version bumps are rare (quarterly at most). Rebuild is rate-limited via a cache warm-up job. Database has capacity for 2x cold-cache rate during rebuild.</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95% cache hit rate reduces database load by 20x, meeting the scalability requirement.</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Operational complexity of Redis Cluster and the invalidation pipeline.</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Eager invalidation meets the 60-second freshness requirement.</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Invalidation pipeline is a new failure mode that must be operated.</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Tenant-scoped keys enforce tenant isolation at the cache layer.</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Key namespace is longer, slightly increasing memory usage per key.</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TTL bounds the stale-data window if invalidation fails.</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TTL-only staleness (5 minutes) is unacceptable for the regulated market, requiring the eager invalidation layer.</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The in-process Caffeine cache was rejected because it does not invalidate across instances, which violates the 60-second freshness requirement in a multi-instance deployment. The two-layer cache (Caffeine in front of Redis) was rejected because the marginal benefit is small at PreOne's cache hit pattern (the Redis round-trip is under 1ms) and the operational complexity of two layers is not justified. The TTL-only invalidation was rejected because it violates the 60-second freshness requirement in the worst case and the average case. The full reasoning is captured in the Options Considered table.</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Migration is phased over one quarter. Phase 1 (weeks 1-3): deploy the Redis Cluster in each region; configure cross-region replication. Phase 2 (weeks 4-6): deploy the resolver with the cache in shadow mode (resolver computes permissions from database, cache is populated but not read). Phase 3 (weeks 7-9): enable cache reads for a pilot group of 10 tenants; validate hit rate and freshness. Phase 4 (weeks 10-12): enable cache reads for all tenants; the database-only path remains as fallback. Phase 5 (week 13): the database-only path is removed from the hot path (retained for audit reconstruction). Rollback is possible at any point by disabling cache reads; the resolver falls through to the database, which is correct but slower.</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The cache is tested at three levels. Unit tests cover the key construction (tenant scoping, algorithm versioning), the TTL behavior, and the cache-aside pattern (miss -&gt; back-fill -&gt; hit). Integration tests cover the Redis Cluster deployment (node failure, resharding, replication lag), the invalidation behavior (per ADR-069), and the cross-region failover. End-to-end tests cover the full request path with the cache enabled, including a simulated Redis outage to verify the fallback behavior. Performance tests cover the cache hit rate at projected peak load (5,000 reads per second) and the cold-cache rebuild behavior. The acceptance criterion is a 95% cache hit rate at steady state and zero correctness regressions during the shadow-mode period.</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Six golden signals are monitored. (1) Cache hit rate: target above 95%, alert below 90%. (2) Cache latency p99: target under 1ms, alert above 2ms. (3) Memory usage: target under 70% of capacity, alert above 85%. (4) Eviction rate: target zero (TTL should expire before eviction), alert on any non-zero value (capacity issue). (5) Replication lag: target under 5 seconds, alert above 10 seconds. (6) Invalidation lag: target under 60 seconds, alert above 120 seconds (per ADR-069). A dedicated cache dashboard surfaces these alongside the per-tenant cache size distribution, the algorithm-version adoption, and the cross-region failover test results. Anomaly detection (per ADR-088) flags unusual cache patterns (sudden hit rate drop, memory spike, eviction burst).</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The cache is expected to evolve in three directions. First, the cache may add a context dimension (e.g., time-of-day bucket) to support time-dependent permissions without per-request evaluation; this would require a key change and is monitored but not planned for v1. Second, the cache may migrate from Redis Cluster to Redis Enterprise for managed cross-region replication and active-active support; this is a vendor decision driven by operational complexity, not a cache-architecture change. Third, the cache may add a streaming invalidation mode (WebSocket push to subscribers) to reduce the invalidation lag below 60 seconds; this is monitored but not planned for v1.</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ADR-061 - Identity Model (provides principal_id for the cache key)</w:t>
      </w:r>
    </w:p>
    <w:p>
      <w:pPr>
        <w:pStyle w:val="ListParagraph"/>
        <w:numPr>
          <w:ilvl w:val="0"/>
          <w:numId w:val="1"/>
        </w:numPr>
        <w:spacing w:after="60" w:line="312"/>
        <w:ind w:left="720" w:hanging="360"/>
      </w:pPr>
      <w:r>
        <w:rPr>
          <w:rFonts w:ascii="Inter" w:eastAsia="Inter"/>
          <w:color w:val="1E293B"/>
          <w:sz w:val="22"/>
          <w:szCs w:val="22"/>
        </w:rPr>
        <w:t xml:space="preserve">ADR-063 - Authorization (consumes the cached permission set)</w:t>
      </w:r>
    </w:p>
    <w:p>
      <w:pPr>
        <w:pStyle w:val="ListParagraph"/>
        <w:numPr>
          <w:ilvl w:val="0"/>
          <w:numId w:val="1"/>
        </w:numPr>
        <w:spacing w:after="60" w:line="312"/>
        <w:ind w:left="720" w:hanging="360"/>
      </w:pPr>
      <w:r>
        <w:rPr>
          <w:rFonts w:ascii="Inter" w:eastAsia="Inter"/>
          <w:color w:val="1E293B"/>
          <w:sz w:val="22"/>
          <w:szCs w:val="22"/>
        </w:rPr>
        <w:t xml:space="preserve">ADR-064 - RBAC Model (provides role hierarchy input to the resolver)</w:t>
      </w:r>
    </w:p>
    <w:p>
      <w:pPr>
        <w:pStyle w:val="ListParagraph"/>
        <w:numPr>
          <w:ilvl w:val="0"/>
          <w:numId w:val="1"/>
        </w:numPr>
        <w:spacing w:after="60" w:line="312"/>
        <w:ind w:left="720" w:hanging="360"/>
      </w:pPr>
      <w:r>
        <w:rPr>
          <w:rFonts w:ascii="Inter" w:eastAsia="Inter"/>
          <w:color w:val="1E293B"/>
          <w:sz w:val="22"/>
          <w:szCs w:val="22"/>
        </w:rPr>
        <w:t xml:space="preserve">ADR-065 - Assignment Model (assignment changes trigger cache invalidation)</w:t>
      </w:r>
    </w:p>
    <w:p>
      <w:pPr>
        <w:pStyle w:val="ListParagraph"/>
        <w:numPr>
          <w:ilvl w:val="0"/>
          <w:numId w:val="1"/>
        </w:numPr>
        <w:spacing w:after="60" w:line="312"/>
        <w:ind w:left="720" w:hanging="360"/>
      </w:pPr>
      <w:r>
        <w:rPr>
          <w:rFonts w:ascii="Inter" w:eastAsia="Inter"/>
          <w:color w:val="1E293B"/>
          <w:sz w:val="22"/>
          <w:szCs w:val="22"/>
        </w:rPr>
        <w:t xml:space="preserve">ADR-066 - Bundle Strategy (bundle applies trigger cache invalidation)</w:t>
      </w:r>
    </w:p>
    <w:p>
      <w:pPr>
        <w:pStyle w:val="ListParagraph"/>
        <w:numPr>
          <w:ilvl w:val="0"/>
          <w:numId w:val="1"/>
        </w:numPr>
        <w:spacing w:after="60" w:line="312"/>
        <w:ind w:left="720" w:hanging="360"/>
      </w:pPr>
      <w:r>
        <w:rPr>
          <w:rFonts w:ascii="Inter" w:eastAsia="Inter"/>
          <w:color w:val="1E293B"/>
          <w:sz w:val="22"/>
          <w:szCs w:val="22"/>
        </w:rPr>
        <w:t xml:space="preserve">ADR-067 - Effective Permission Resolver (produces the cached values)</w:t>
      </w:r>
    </w:p>
    <w:p>
      <w:pPr>
        <w:pStyle w:val="ListParagraph"/>
        <w:numPr>
          <w:ilvl w:val="0"/>
          <w:numId w:val="1"/>
        </w:numPr>
        <w:spacing w:after="60" w:line="312"/>
        <w:ind w:left="720" w:hanging="360"/>
      </w:pPr>
      <w:r>
        <w:rPr>
          <w:rFonts w:ascii="Inter" w:eastAsia="Inter"/>
          <w:color w:val="1E293B"/>
          <w:sz w:val="22"/>
          <w:szCs w:val="22"/>
        </w:rPr>
        <w:t xml:space="preserve">ADR-069 - Cache Invalidation (invalidates the cache on assignment changes)</w:t>
      </w:r>
    </w:p>
    <w:p>
      <w:pPr>
        <w:pStyle w:val="ListParagraph"/>
        <w:numPr>
          <w:ilvl w:val="0"/>
          <w:numId w:val="1"/>
        </w:numPr>
        <w:spacing w:after="60" w:line="312"/>
        <w:ind w:left="720" w:hanging="360"/>
      </w:pPr>
      <w:r>
        <w:rPr>
          <w:rFonts w:ascii="Inter" w:eastAsia="Inter"/>
          <w:color w:val="1E293B"/>
          <w:sz w:val="22"/>
          <w:szCs w:val="22"/>
        </w:rPr>
        <w:t xml:space="preserve">ADR-043 - Tenant Isolation (tenant-scoped cache keys)</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Redis Documentation, Cluster Specification. Redis Labs. 2024.</w:t>
      </w:r>
    </w:p>
    <w:p>
      <w:pPr>
        <w:pStyle w:val="ListParagraph"/>
        <w:numPr>
          <w:ilvl w:val="0"/>
          <w:numId w:val="1"/>
        </w:numPr>
        <w:spacing w:after="60" w:line="312"/>
        <w:ind w:left="720" w:hanging="360"/>
      </w:pPr>
      <w:r>
        <w:rPr>
          <w:rFonts w:ascii="Inter" w:eastAsia="Inter"/>
          <w:color w:val="1E293B"/>
          <w:sz w:val="22"/>
          <w:szCs w:val="22"/>
        </w:rPr>
        <w:t xml:space="preserve">Redis Documentation, Replication. Redis Labs. 2024.</w:t>
      </w:r>
    </w:p>
    <w:p>
      <w:pPr>
        <w:pStyle w:val="ListParagraph"/>
        <w:numPr>
          <w:ilvl w:val="0"/>
          <w:numId w:val="1"/>
        </w:numPr>
        <w:spacing w:after="60" w:line="312"/>
        <w:ind w:left="720" w:hanging="360"/>
      </w:pPr>
      <w:r>
        <w:rPr>
          <w:rFonts w:ascii="Inter" w:eastAsia="Inter"/>
          <w:color w:val="1E293B"/>
          <w:sz w:val="22"/>
          <w:szCs w:val="22"/>
        </w:rPr>
        <w:t xml:space="preserve">Owens, P. - Cache-Aside Pattern. Microsoft Azure Architecture Center. 2022.</w:t>
      </w:r>
    </w:p>
    <w:p>
      <w:pPr>
        <w:pStyle w:val="ListParagraph"/>
        <w:numPr>
          <w:ilvl w:val="0"/>
          <w:numId w:val="1"/>
        </w:numPr>
        <w:spacing w:after="60" w:line="312"/>
        <w:ind w:left="720" w:hanging="360"/>
      </w:pPr>
      <w:r>
        <w:rPr>
          <w:rFonts w:ascii="Inter" w:eastAsia="Inter"/>
          <w:color w:val="1E293B"/>
          <w:sz w:val="22"/>
          <w:szCs w:val="22"/>
        </w:rPr>
        <w:t xml:space="preserve">PreOne Engineering Handbook, Section 4.8 - Permission Cache. Internal. 2025.</w:t>
      </w:r>
    </w:p>
    <w:p>
      <w:pPr>
        <w:pStyle w:val="ListParagraph"/>
        <w:numPr>
          <w:ilvl w:val="0"/>
          <w:numId w:val="1"/>
        </w:numPr>
        <w:spacing w:after="60" w:line="312"/>
        <w:ind w:left="720" w:hanging="360"/>
      </w:pPr>
      <w:r>
        <w:rPr>
          <w:rFonts w:ascii="Inter" w:eastAsia="Inter"/>
          <w:color w:val="1E293B"/>
          <w:sz w:val="22"/>
          <w:szCs w:val="22"/>
        </w:rPr>
        <w:t xml:space="preserve">AWS ElastiCache for Redis User Guide, Cross-Region Replication. Amazon Web Services. 2024.</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2025-08-01</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Platform Security Architect</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options enumerated; consultation with security and engineering teams</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2025-09-17</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Platform Security Architect</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Architecture Review Board after cross-team review</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2025-10-15</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published to architecture repository</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2026-07-15</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cross-references to Vol 1-3 ADRs added; 34-section template applied</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Platform Security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Authorization Platform Lead</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Architecture Review Board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ADR published to architecture repository (Done)</w:t>
      </w:r>
    </w:p>
    <w:p>
      <w:pPr>
        <w:pStyle w:val="ListParagraph"/>
        <w:numPr>
          <w:ilvl w:val="0"/>
          <w:numId w:val="1"/>
        </w:numPr>
        <w:spacing w:after="60" w:line="312"/>
        <w:ind w:left="720" w:hanging="360"/>
      </w:pPr>
      <w:r>
        <w:rPr>
          <w:rFonts w:ascii="Inter" w:eastAsia="Inter"/>
          <w:color w:val="1E293B"/>
          <w:sz w:val="22"/>
          <w:szCs w:val="22"/>
        </w:rPr>
        <w:t xml:space="preserve">Cross-references to upstream/downstream artefacts added (Done)</w:t>
      </w:r>
    </w:p>
    <w:p>
      <w:pPr>
        <w:pStyle w:val="ListParagraph"/>
        <w:numPr>
          <w:ilvl w:val="0"/>
          <w:numId w:val="1"/>
        </w:numPr>
        <w:spacing w:after="60" w:line="312"/>
        <w:ind w:left="720" w:hanging="360"/>
      </w:pPr>
      <w:r>
        <w:rPr>
          <w:rFonts w:ascii="Inter" w:eastAsia="Inter"/>
          <w:color w:val="1E293B"/>
          <w:sz w:val="22"/>
          <w:szCs w:val="22"/>
        </w:rPr>
        <w:t xml:space="preserve">Security team briefed in monthly architecture sync (Done)</w:t>
      </w:r>
    </w:p>
    <w:p>
      <w:pPr>
        <w:pStyle w:val="ListParagraph"/>
        <w:numPr>
          <w:ilvl w:val="0"/>
          <w:numId w:val="1"/>
        </w:numPr>
        <w:spacing w:after="60" w:line="312"/>
        <w:ind w:left="720" w:hanging="360"/>
      </w:pPr>
      <w:r>
        <w:rPr>
          <w:rFonts w:ascii="Inter" w:eastAsia="Inter"/>
          <w:color w:val="1E293B"/>
          <w:sz w:val="22"/>
          <w:szCs w:val="22"/>
        </w:rPr>
        <w:t xml:space="preserve">Code review checklist updated to enforce this ADR (Done)</w:t>
      </w:r>
    </w:p>
    <w:p>
      <w:pPr>
        <w:pStyle w:val="ListParagraph"/>
        <w:numPr>
          <w:ilvl w:val="0"/>
          <w:numId w:val="1"/>
        </w:numPr>
        <w:spacing w:after="60" w:line="312"/>
        <w:ind w:left="720" w:hanging="360"/>
      </w:pPr>
      <w:r>
        <w:rPr>
          <w:rFonts w:ascii="Inter" w:eastAsia="Inter"/>
          <w:color w:val="1E293B"/>
          <w:sz w:val="22"/>
          <w:szCs w:val="22"/>
        </w:rPr>
        <w:t xml:space="preserve">On-call runbook updated with operational procedures (Done)</w:t>
      </w:r>
    </w:p>
    <w:p>
      <w:pPr>
        <w:pStyle w:val="ListParagraph"/>
        <w:numPr>
          <w:ilvl w:val="0"/>
          <w:numId w:val="1"/>
        </w:numPr>
        <w:spacing w:after="60" w:line="312"/>
        <w:ind w:left="720" w:hanging="360"/>
      </w:pPr>
      <w:r>
        <w:rPr>
          <w:rFonts w:ascii="Inter" w:eastAsia="Inter"/>
          <w:color w:val="1E293B"/>
          <w:sz w:val="22"/>
          <w:szCs w:val="22"/>
        </w:rPr>
        <w:t xml:space="preserve">Effective Permission Resolver implemented (Done)</w:t>
      </w:r>
    </w:p>
    <w:p>
      <w:pPr>
        <w:pStyle w:val="ListParagraph"/>
        <w:numPr>
          <w:ilvl w:val="0"/>
          <w:numId w:val="1"/>
        </w:numPr>
        <w:spacing w:after="60" w:line="312"/>
        <w:ind w:left="720" w:hanging="360"/>
      </w:pPr>
      <w:r>
        <w:rPr>
          <w:rFonts w:ascii="Inter" w:eastAsia="Inter"/>
          <w:color w:val="1E293B"/>
          <w:sz w:val="22"/>
          <w:szCs w:val="22"/>
        </w:rPr>
        <w:t xml:space="preserve">Redis cache for permission lookups (Done)</w:t>
      </w:r>
    </w:p>
    <w:p>
      <w:pPr>
        <w:pStyle w:val="ListParagraph"/>
        <w:numPr>
          <w:ilvl w:val="0"/>
          <w:numId w:val="1"/>
        </w:numPr>
        <w:spacing w:after="60" w:line="312"/>
        <w:ind w:left="720" w:hanging="360"/>
      </w:pPr>
      <w:r>
        <w:rPr>
          <w:rFonts w:ascii="Inter" w:eastAsia="Inter"/>
          <w:color w:val="1E293B"/>
          <w:sz w:val="22"/>
          <w:szCs w:val="22"/>
        </w:rPr>
        <w:t xml:space="preserve">Cache invalidation on role/permission change (Done — ADR-069)</w:t>
      </w:r>
    </w:p>
    <w:p>
      <w:pPr>
        <w:pStyle w:val="ListParagraph"/>
        <w:numPr>
          <w:ilvl w:val="0"/>
          <w:numId w:val="1"/>
        </w:numPr>
        <w:spacing w:after="60" w:line="312"/>
        <w:ind w:left="720" w:hanging="360"/>
      </w:pPr>
      <w:r>
        <w:rPr>
          <w:rFonts w:ascii="Inter" w:eastAsia="Inter"/>
          <w:color w:val="1E293B"/>
          <w:sz w:val="22"/>
          <w:szCs w:val="22"/>
        </w:rPr>
        <w:t xml:space="preserve">Admin 'Effective Permissions' panel (Done)</w:t>
      </w:r>
    </w:p>
    <w:p>
      <w:pPr>
        <w:pStyle w:val="ListParagraph"/>
        <w:numPr>
          <w:ilvl w:val="0"/>
          <w:numId w:val="1"/>
        </w:numPr>
        <w:spacing w:after="60" w:line="312"/>
        <w:ind w:left="720" w:hanging="360"/>
      </w:pPr>
      <w:r>
        <w:rPr>
          <w:rFonts w:ascii="Inter" w:eastAsia="Inter"/>
          <w:color w:val="1E293B"/>
          <w:sz w:val="22"/>
          <w:szCs w:val="22"/>
        </w:rPr>
        <w:t xml:space="preserve">Cache hit-rate monitoring (target &gt;95%) (Done)</w:t>
      </w:r>
    </w:p>
    <w:p>
      <w:pPr>
        <w:spacing w:after="60" w:before="360" w:line="280"/>
      </w:pPr>
      <w:r>
        <w:rPr>
          <w:rFonts w:ascii="Inter" w:eastAsia="Inter"/>
          <w:b/>
          <w:bCs/>
          <w:color w:val="4F46E5"/>
          <w:spacing w:val="60"/>
          <w:sz w:val="22"/>
          <w:szCs w:val="22"/>
        </w:rPr>
        <w:t xml:space="preserve">ADR-069</w:t>
      </w:r>
    </w:p>
    <w:p>
      <w:pPr>
        <w:pStyle w:val="Heading1"/>
        <w:spacing w:after="200" w:before="60" w:line="312"/>
      </w:pPr>
      <w:r>
        <w:rPr>
          <w:rFonts w:ascii="Inter" w:eastAsia="Inter"/>
          <w:b/>
          <w:bCs/>
          <w:color w:val="0F172A"/>
          <w:sz w:val="36"/>
          <w:szCs w:val="36"/>
        </w:rPr>
        <w:t xml:space="preserve">Cache Invalidation</w:t>
      </w:r>
    </w:p>
    <w:p>
      <w:pPr>
        <w:spacing w:after="120" w:line="280"/>
      </w:pPr>
      <w:r>
        <w:rPr>
          <w:rFonts w:ascii="Inter" w:eastAsia="Inter"/>
          <w:color w:val="64748B"/>
          <w:sz w:val="20"/>
          <w:szCs w:val="20"/>
        </w:rPr>
        <w:t xml:space="preserve">Volume 4 — Security Architecture  -  </w:t>
      </w:r>
      <w:r>
        <w:rPr>
          <w:rFonts w:ascii="Inter" w:eastAsia="Inter"/>
          <w:color w:val="64748B"/>
          <w:sz w:val="20"/>
          <w:szCs w:val="20"/>
        </w:rPr>
        <w:t xml:space="preserve">Identity &amp; Security</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Adopt an event-driven cache invalidation pipeline that publishes invalidation events on a Redis Pub/Sub channel when assignment or role changes occur, with subscribers in each backend instance that delete the affected cache keys. The pipeline is the sole mechanism for cross-instance cache invalidation; the TTL (per ADR-068) is the safety net for pipeline failures. The pipeline's freshness budget is 60 seconds from write to invalidation across all instances.</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Platform Security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review, or on performance target breach, or on traffic pattern change</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refreshes for series alignment and cross-references)</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The Permission Cache (ADR-068) requires eager invalidation to meet the 60-second freshness requirement: an assignment change must be reflected in the resolver's output within 60 seconds across all backend instances. The TTL (5 minutes) is the safety net, not the primary invalidation mechanism, because a 5-minute stale-data window is unacceptable for the regulated education market (a revoked teacher must not retain access for 5 minutes).
The ARB considered four invalidation strategies. The first is TTL-only (rejected in ADR-068). The second is synchronous invalidation: the assignment-write transaction deletes the cache key before committing, which is rejected because it couples the write path to the cache (a cache failure blocks the write). The third is event-driven invalidation via Redis Pub/Sub, which is selected because it decouples the write path from the cache and meets the 60-second budget. The fourth is event-driven invalidation via a message broker (Kafka, RabbitMQ), which is rejected because the additional infrastructure is not justified at PreOne's invalidation volume (a few hundred events per second peak).
This ADR defines the invalidation pipeline. The cache (which is invalidated) is defined in ADR-068. The events (which trigger invalidation) are produced by the assignment service (ADR-065) and the role service (ADR-064). This ADR defines the event format, the publish path, the subscribe path, the failure modes, and the monitoring.</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The 2026 international expansion requires that the authorization stack reflect assignment changes within 60 seconds for regulatory compliance (a revoked teacher must not retain access for the duration of an investigation). The business also requires that the invalidation pipeline not couple the write path to the cache (a cache failure must not block assignment writes), which drives the event-driven design. Finally, the business requires that the invalidation pipeline be operationally simple (no additional infrastructure beyond Redis), which drives the Redis Pub/Sub choice over a dedicated message broker.</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The Permission Cache requires eager invalidation to meet the 60-second freshness requirement, but the invalidation must not couple the write path to the cache (cache failures must not block writes). PreOne needs an event-driven invalidation pipeline using Redis Pub/Sub that publishes invalidation events on assignment or role changes, with subscribers in each backend instance that delete the affected cache keys, and a 60-second freshness budget from write to invalidation.</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Invalidation must complete within 60 seconds across all backend instances in all regions.</w:t>
      </w:r>
    </w:p>
    <w:p>
      <w:pPr>
        <w:pStyle w:val="ListParagraph"/>
        <w:numPr>
          <w:ilvl w:val="0"/>
          <w:numId w:val="1"/>
        </w:numPr>
        <w:spacing w:after="60" w:line="312"/>
        <w:ind w:left="720" w:hanging="360"/>
      </w:pPr>
      <w:r>
        <w:rPr>
          <w:rFonts w:ascii="Inter" w:eastAsia="Inter"/>
          <w:color w:val="1E293B"/>
          <w:sz w:val="22"/>
          <w:szCs w:val="22"/>
        </w:rPr>
        <w:t xml:space="preserve">Invalidation must not block the assignment or role write transaction (decoupled via event publishing).</w:t>
      </w:r>
    </w:p>
    <w:p>
      <w:pPr>
        <w:pStyle w:val="ListParagraph"/>
        <w:numPr>
          <w:ilvl w:val="0"/>
          <w:numId w:val="1"/>
        </w:numPr>
        <w:spacing w:after="60" w:line="312"/>
        <w:ind w:left="720" w:hanging="360"/>
      </w:pPr>
      <w:r>
        <w:rPr>
          <w:rFonts w:ascii="Inter" w:eastAsia="Inter"/>
          <w:color w:val="1E293B"/>
          <w:sz w:val="22"/>
          <w:szCs w:val="22"/>
        </w:rPr>
        <w:t xml:space="preserve">Invalidation must be idempotent (duplicate events must not cause incorrect behavior).</w:t>
      </w:r>
    </w:p>
    <w:p>
      <w:pPr>
        <w:pStyle w:val="ListParagraph"/>
        <w:numPr>
          <w:ilvl w:val="0"/>
          <w:numId w:val="1"/>
        </w:numPr>
        <w:spacing w:after="60" w:line="312"/>
        <w:ind w:left="720" w:hanging="360"/>
      </w:pPr>
      <w:r>
        <w:rPr>
          <w:rFonts w:ascii="Inter" w:eastAsia="Inter"/>
          <w:color w:val="1E293B"/>
          <w:sz w:val="22"/>
          <w:szCs w:val="22"/>
        </w:rPr>
        <w:t xml:space="preserve">Invalidation must survive subscriber restart (events published while a subscriber is down must be processed on restart via a catch-up mechanism).</w:t>
      </w:r>
    </w:p>
    <w:p>
      <w:pPr>
        <w:pStyle w:val="ListParagraph"/>
        <w:numPr>
          <w:ilvl w:val="0"/>
          <w:numId w:val="1"/>
        </w:numPr>
        <w:spacing w:after="60" w:line="312"/>
        <w:ind w:left="720" w:hanging="360"/>
      </w:pPr>
      <w:r>
        <w:rPr>
          <w:rFonts w:ascii="Inter" w:eastAsia="Inter"/>
          <w:color w:val="1E293B"/>
          <w:sz w:val="22"/>
          <w:szCs w:val="22"/>
        </w:rPr>
        <w:t xml:space="preserve">Invalidation must be observable: every event must be traceable from publish to subscriber acknowledgment.</w:t>
      </w:r>
    </w:p>
    <w:p>
      <w:pPr>
        <w:pStyle w:val="ListParagraph"/>
        <w:numPr>
          <w:ilvl w:val="0"/>
          <w:numId w:val="1"/>
        </w:numPr>
        <w:spacing w:after="60" w:line="312"/>
        <w:ind w:left="720" w:hanging="360"/>
      </w:pPr>
      <w:r>
        <w:rPr>
          <w:rFonts w:ascii="Inter" w:eastAsia="Inter"/>
          <w:color w:val="1E293B"/>
          <w:sz w:val="22"/>
          <w:szCs w:val="22"/>
        </w:rPr>
        <w:t xml:space="preserve">Invalidation must degrade gracefully if Redis Pub/Sub is unavailable (TTL is the safety net).</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Redis Pub/Sub is available with at-least-once delivery semantics (subscribers may receive duplicates but not loss).</w:t>
      </w:r>
    </w:p>
    <w:p>
      <w:pPr>
        <w:pStyle w:val="ListParagraph"/>
        <w:numPr>
          <w:ilvl w:val="0"/>
          <w:numId w:val="1"/>
        </w:numPr>
        <w:spacing w:after="60" w:line="312"/>
        <w:ind w:left="720" w:hanging="360"/>
      </w:pPr>
      <w:r>
        <w:rPr>
          <w:rFonts w:ascii="Inter" w:eastAsia="Inter"/>
          <w:color w:val="1E293B"/>
          <w:sz w:val="22"/>
          <w:szCs w:val="22"/>
        </w:rPr>
        <w:t xml:space="preserve">Backend instances can subscribe to a Redis Pub/Sub channel and process events within 1 second of receipt.</w:t>
      </w:r>
    </w:p>
    <w:p>
      <w:pPr>
        <w:pStyle w:val="ListParagraph"/>
        <w:numPr>
          <w:ilvl w:val="0"/>
          <w:numId w:val="1"/>
        </w:numPr>
        <w:spacing w:after="60" w:line="312"/>
        <w:ind w:left="720" w:hanging="360"/>
      </w:pPr>
      <w:r>
        <w:rPr>
          <w:rFonts w:ascii="Inter" w:eastAsia="Inter"/>
          <w:color w:val="1E293B"/>
          <w:sz w:val="22"/>
          <w:szCs w:val="22"/>
        </w:rPr>
        <w:t xml:space="preserve">Assignment and role changes are infrequent relative to authorization requests (write rate under 0.1% of read rate).</w:t>
      </w:r>
    </w:p>
    <w:p>
      <w:pPr>
        <w:pStyle w:val="ListParagraph"/>
        <w:numPr>
          <w:ilvl w:val="0"/>
          <w:numId w:val="1"/>
        </w:numPr>
        <w:spacing w:after="60" w:line="312"/>
        <w:ind w:left="720" w:hanging="360"/>
      </w:pPr>
      <w:r>
        <w:rPr>
          <w:rFonts w:ascii="Inter" w:eastAsia="Inter"/>
          <w:color w:val="1E293B"/>
          <w:sz w:val="22"/>
          <w:szCs w:val="22"/>
        </w:rPr>
        <w:t xml:space="preserve">The 60-second budget is sufficient for the invalidation pipeline (publish + subscribe + DEL) plus the cross-region replication lag.</w:t>
      </w:r>
    </w:p>
    <w:p>
      <w:pPr>
        <w:pStyle w:val="ListParagraph"/>
        <w:numPr>
          <w:ilvl w:val="0"/>
          <w:numId w:val="1"/>
        </w:numPr>
        <w:spacing w:after="60" w:line="312"/>
        <w:ind w:left="720" w:hanging="360"/>
      </w:pPr>
      <w:r>
        <w:rPr>
          <w:rFonts w:ascii="Inter" w:eastAsia="Inter"/>
          <w:color w:val="1E293B"/>
          <w:sz w:val="22"/>
          <w:szCs w:val="22"/>
        </w:rPr>
        <w:t xml:space="preserve">Subscriber restart is infrequent (deployments, failures) and the catch-up mechanism can handle the backlog.</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Redis Pub/Sub event-driven invalidation with subscriber-side DEL, catch-up via periodic full-scan reconciliation.</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Decouples write path from cache. Meets 60-second budget. No new infrastructure beyond Redis. Idempotent. Observable.</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Pub/Sub is fire-and-forget (no persistence); subscriber restart requires a catch-up mechanism. Redis Pub/Sub does not guarantee delivery (at-most-once in the worst case).</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Adopted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Synchronous invalidation: assignment-write transaction deletes the cache key before committing.</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Strongest freshness guarantee (invalidation is atomic with the write). No event-driven pipeline to operate.</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Couples write path to cache (cache failure blocks write). Adds latency to the write path (DEL round-trip). Rejected by ARB as a coupling anti-pattern.</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Message broker (Kafka or RabbitMQ) event-driven invalidation.</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Persistent events (no catch-up mechanism needed). Stronger delivery guarantees. Better observability tooling.</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Additional infrastructure (Kafka cluster or RabbitMQ cluster) is not justified at PreOne's invalidation volume (a few hundred events per second peak). Operational complexity disproportionate to the benefit.</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Database trigger invalidation: PostgreSQL trigger on role_assignments writes an invalidation record to a table, polled by subscribers.</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Strongest consistency (invalidation is atomic with the write via the same transaction). No new infrastructure.</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Polling adds latency (60-second budget may be tight). Trigger-based invalidation is fragile (trigger bugs are hard to debug). Couples invalidation to the database schema.</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Adopt a Redis Pub/Sub event-driven invalidation pipeline. When an assignment or role change is committed, the assignment or role service publishes an invalidation event to a Redis Pub/Sub channel (preone:authz:invalidation). Each backend instance subscribes to the channel and, on receipt of an event, deletes the affected cache keys (per ADR-068's key structure). The event format is JSON: {event_id, event_type, principal_id, tenant_id, role_id, timestamp, algorithm_version}. The pipeline is idempotent (duplicate events produce no incorrect behavior, since DEL is idempotent). The catch-up mechanism is a periodic full-scan reconciliation (every 5 minutes, a job scans the cache and the database for inconsistencies and deletes stale keys). The 60-second freshness budget is monitored and alerted on.</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The Redis Pub/Sub event-driven approach was chosen over the synchronous approach because the coupling anti-pattern is the ARB's primary concern. Synchronous invalidation couples the assignment-write transaction to the cache: a cache failure (Redis unavailable, network partition) blocks the write, which is unacceptable for an authorization stack (assignment writes must succeed even if the cache is down). The event-driven approach decouples the write path (which publishes the event) from the cache (which subscribes and deletes), so a cache failure does not block writes; the events are simply not processed until the cache recovers, and the TTL (per ADR-068) bounds the stale-data window.
The message-broker approach (Kafka or RabbitMQ) was rejected because the additional infrastructure is not justified at PreOne's invalidation volume. The projected peak is a few hundred invalidation events per second (year-end role reset, bulk onboarding), which is well within Redis Pub/Sub's capacity (tens of thousands of events per second). The stronger delivery guarantees (persistent events, exactly-once semantics) are nice-to-have but not necessary: the catch-up mechanism (periodic full-scan reconciliation) handles subscriber restart and event loss, and idempotency (DEL is idempotent) handles duplicates. The operational complexity of a Kafka or RabbitMQ cluster (brokers, zookeeper/raft, consumers, monitoring) is disproportionate to the benefit at PreOne's scale.
The database-trigger approach was rejected because trigger-based invalidation is fragile (trigger bugs are hard to debug, trigger ordering is non-obvious) and the polling latency may exceed the 60-second budget. The event-driven approach with Pub/Sub is more transparent (the publish is explicit in the application code) and faster (subscribers process events within 1 second of receipt).
The catch-up mechanism (periodic full-scan reconciliation every 5 minutes) is the most important resilience property. Redis Pub/Sub is fire-and-forget: if a subscriber is down (deployment, failure) when an event is published, the subscriber misses the event. The catch-up mechanism detects and corrects this: every 5 minutes, a job scans the cache for keys whose corresponding database state has changed (by comparing a hash of the resolved permission set to the cached hash) and deletes stale keys. The catch-up mechanism is not the primary invalidation path (it's too slow for the 60-second budget) but it ensures that missed events are eventually corrected, bounding the stale-data window to 5 minutes (the catch-up interval) in the worst case, which is the same as the TTL (per ADR-068).
The event format (JSON with event_id, event_type, principal_id, tenant_id, role_id, timestamp, algorithm_version) is designed for observability and idempotency. The event_id is a UUIDv7 (per ADR-041) that allows deduplication (subscribers can track processed event_ids and skip duplicates). The event_type (ASSIGNMENT_CREATE, ASSIGNMENT_UPDATE, ASSIGNMENT_DELETE, ROLE_CREATE, ROLE_UPDATE, ROLE_DELETE) drives the invalidation scope: an ASSIGNMENT_CREATE for principal P invalidates P's cache key, a ROLE_UPDATE for role R invalidates all principals with assignments referencing R (which requires a reverse lookup). The timestamp allows subscribers to detect out-of-order events (an older event arriving after a newer one is ignored if the subscriber has already processed the newer one). The algorithm_version allows the subscriber to skip events for stale algorithm versions (which would invalidate already-cold keys).
The decision to make the pipeline idempotent (DEL is idempotent) is the most important operational property. Idempotency means that duplicate events (which Redis Pub/Sub can produce under network partitions) cause no incorrect behavior: deleting an already-deleted key is a no-op. Idempotency also means that the catch-up mechanism (which may delete keys that were already invalidated by the primary path) causes no incorrect behavior. Idempotency simplifies the pipeline's error handling: a subscriber can process events in any order, retry failed events, and re-process events after a restart, all without producing incorrect cache state.
The 60-second freshness budget is monitored via two metrics: (1) publish-to-subscribe lag (the time between event publish and subscriber receipt), which is typically under 1 second; (2) subscribe-to-DEL lag (the time between subscriber receipt and cache key deletion), which is typically under 100ms. The total lag is typically under 2 seconds, well within the 60-second budget. The budget is alerted on if the total lag exceeds 60 seconds, which would indicate a pipeline failure (subscriber down, Redis Pub/Sub unavailable, catch-up mechanism failing).</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PREONE CACHE INVALIDATION PIPELINE                  |
+-----------------------------------------------------------+
|  Assignment Service (ADR-065)                             |
|  - on commit: publish invalidation event                  |
+-----------------------------------------------------------+
            |
            v
  +---------------------------+
  | Redis Pub/Sub Channel     |
  | preone:authz:invalidation |
  +---------------------------+
            |
            +------+--------+--------+
            |      |        |        |
            v      v        v        v
  +----------+ +----------+ +----------+ +----------+
  | Backend  | | Backend  | | Backend  | | Backend  |
  | Instance | | Instance | | Instance | | Instance |
  | 1        | | 2        | | 3        | | N        |
  +----------+ +----------+ +----------+ +----------+
       |            |            |            |
       v            v            v            v
  +----------+ +----------+ +----------+ +----------+
  | Redis    | | Redis    | | Redis    | | Redis    |
  | DEL key  | | DEL key  | | DEL key  | | DEL key  |
  +----------+ +----------+ +----------+ +----------+
            |
            +------+--------+
            |               |
            v               v
  +-----------------+   +-----------------+
  | Catch-up Job    |   | Monitoring      |
  | (every 5 min)   |   | (lag metrics)   |
  | Full-scan       |   |                 |
  | reconciliation  |   |                 |
  +-----------------+   +-----------------+
Event format:
{event_id, event_type, principal_id, tenant_id,
 role_id, timestamp, algorithm_version}</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Assignment Service -&gt; PostgreSQL: BEGIN TX
PostgreSQL -&gt; Assignment Service: INSERT role_assignment
Assignment Service -&gt; PostgreSQL: COMMIT
Assignment Service -&gt; Redis Pub/Sub: PUBLISH invalidation event
Redis Pub/Sub -&gt; Backend Instance 1: Event received
Redis Pub/Sub -&gt; Backend Instance 2: Event received
Redis Pub/Sub -&gt; Backend Instance N: Event received
Backend Instance 1 -&gt; Redis Cache: DEL key (principal_id)
Backend Instance 2 -&gt; Redis Cache: DEL key (principal_id)
Backend Instance N -&gt; Redis Cache: DEL key (principal_id)
Note over Backend Instance: If subscriber was down:
Catch-up Job -&gt; Redis Cache: SCAN keys
Catch-up Job -&gt; PostgreSQL: Compare to current state
PostgreSQL -&gt; Catch-up Job: Stale keys identified
Catch-up Job -&gt; Redis Cache: DEL stale keys
Monitoring -&gt; Pipeline: Measure publish-to-DEL lag
Monitoring -&gt; Alerting: Alert if lag &gt; 60s</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ADR-069 — Cache Invalidation  -  Component View         |
+-------------------------------------------------------------+
|                                                             |
|  +----------------+        +----------------------+         |
|  | Admin UI       |  CRUD  | Role/Permission      |         |
|  |                |-------&gt;| Service              |         |
|  +----------------+        +----------+-----------+         |
|                                       |                     |
|                                       | persists            |
|                                       v                     |
|  +----------------+        +----------------------+         |
|  | Repository     |  CRUD  | Postgres RBAC tables |         |
|  |                |-------&gt;| (roles, permissions, |         |
|  +----------------+        |  bundles, assignments)|        |
|                              +----------------------+         |
|                                                             |
|  Cache (Redis) for hot permission lookups                  |
|  Invalidation (ADR-069) on role/permission change          |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Permission Resolution Flow:
  User -&gt; App: action request
  App -&gt; Permission Resolver: 'permissions for user X?'
  Resolver -&gt; Cache (Redis): lookup
  (cache miss) Resolver -&gt; Postgres: query roles + bundles + assignments
  Resolver -&gt; Cache: store (TTL 5 min)
  Resolver -&gt; App: effective permissions
Cache Invalidation Flow (on role/permission change):
  Admin -&gt; RBAC Service: update role
  RBAC Service -&gt; Postgres: persist
  RBAC Service -&gt; Invalidation Publisher: 'invalidate users with role X'
  Invalidation Publisher -&gt; Redis: delete cached entries
  Invalidation Publisher -&gt; Audit: log 'CACHE_INVALIDATED'</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The invalidation pipeline does not add new database tables. It reads from the role_assignments, roles, and role_permissions tables (defined in ADR-064 and ADR-065) for the catch-up job's full-scan reconciliation. The catch-up job's query is a hash comparison: it computes a hash of the resolved permission set for each cached principal and compares it to the cached hash, deleting stale keys. The query is indexed on (principal_id, updated_at) for efficiency. The pipeline does not affect the database's write path; the assignment service's writes (which trigger invalidation) are unchanged.</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The invalidation pipeline is internal to the authorization stack; no new public endpoints are introduced. The assignment service's write endpoints (per ADR-065) publish invalidation events after commit; this is transparent to the API callers. The pipeline's behavior is exposed via the authorization stack's observability dashboard (per ADR-067 and ADR-068), not via a dedicated API. The pipeline's catch-up job is scheduled via the standard job scheduler and is observable via the job's health-check endpoint.</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The effective permission resolver is invisible to end users — they see only the UI elements their permissions allow. For admins, the 'User Detail' page includes a 'Effective Permissions' panel showing the computed permission set (read-only, with a 'refresh' button to force cache invalidation). The 'Permission Cache Health' dashboard (admin/operations/security/permissions) shows cache hit rate, invalidation latency, and stale-cache incidents — accessible to the Security Engineering team. Cache invalidation events are surfaced in the admin 'Activity Log' for audit traceability.</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The invalidation pipeline is the mechanism that enforces the 60-second freshness requirement, which is the regulatory requirement for the 2026 expansion (a revoked teacher must not retain access for the duration of an investigation). The pipeline's idempotency ensures that duplicate events (which could be produced by an attacker with Pub/Sub access) cause no incorrect behavior. The pipeline's catch-up mechanism ensures that missed events (which could be caused by an attacker taking down a subscriber) are eventually corrected, bounding the stale-data window to 5 minutes (the catch-up interval). The pipeline's observability (event_id tracing from publish to subscriber acknowledgment) enables forensic investigation of invalidation failures. The pipeline does not handle PII (the event format contains only principal_id, tenant_id, role_id, and timestamps), so a pipeline compromise does not expose PII.</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The invalidation pipeline adds a small overhead to the assignment-write path: one Redis PUBLISH per write, which takes under 1ms. The pipeline's subscriber-side processing (DEL) is also under 1ms per event. The catch-up job's full-scan reconciliation runs every 5 minutes and takes 10-30 seconds (depending on cache size), which is acceptable for a background job. The pipeline's impact on the read path is zero: the pipeline only invalidates cache keys, it does not serve reads. The pipeline's monitoring (publish-to-DEL lag) is sampled at 1% to avoid overhead.</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The pipeline scales with the invalidation event rate, projected to peak at a few hundred events per second (year-end role reset, bulk onboarding). Redis Pub/Sub's capacity is tens of thousands of events per second, so the pipeline has significant headroom. The subscriber-side processing (DEL) is bounded by the number of backend instances (typically 10-20), so the DEL load is distributed. The catch-up job's full-scan reconciliation scales with the cache size (1 million cached principals), which takes 10-30 seconds at the projected peak; this is acceptable for a 5-minute interval. If the cache grows beyond 5 million principals, the catch-up interval may need to increase to 10 minutes to keep the job's runtime under 60 seconds. No architectural ceiling is anticipated within the three-year planning horizon.</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The invalidation pipeline is deployed as part of the backend (subscribers are libraries embedded in the Spring Boot instances) and the Redis Cluster (Pub/Sub channel and the catch-up job's scan target). The on-call runbook covers four failure modes: Redis Pub/Sub unavailable (subscribers miss events, catch-up mechanism corrects within 5 minutes, alert), subscriber down (events missed, catch-up mechanism corrects on restart, alert), catch-up job failing (stale data may persist beyond 5 minutes, alert, manual reconciliation procedure documented), and event-publish failure (assignment-write succeeds, event not published, catch-up mechanism corrects within 5 minutes, alert). The pipeline's monitoring (publish-to-DEL lag, event-loss rate, catch-up job runtime) is on a dedicated dashboard. Each failure mode is tested in the quarterly game-day, including a simulated Pub/Sub outage to verify the catch-up mechanism's effectiveness.</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Redis Pub/Sub event loss (subscriber down during publish) produces stale permissions until the catch-up job runs (up to 5 minutes).</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Catch-up job runs every 5 minutes. TTL (5 minutes per ADR-068) bounds the stale window. Monitoring alerts on event-loss rate.</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Catch-up job's full-scan reconciliation becomes a scaling bottleneck as the cache grows.</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Job is indexed on (principal_id, updated_at). Job's runtime is monitored. Interval can be increased if runtime exceeds 60 seconds.</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Subscriber restart during a high-volume invalidation burst (e.g., year-end role reset) produces a backlog that overwhelms the catch-up job.</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Catch-up job is rate-limited. Bulk invalidations are batched and rate-limited per ADR-065. Monitoring alerts on backlog size.</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Invalidation event format change breaks subscribers during a rolling deployment.</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Event format is versioned (event_format_version field). Subscribers handle multiple versions during rolling deployment. CI tests version compatibility.</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Event-driven invalidation decouples write path from cache, preserving write availability during cache failure.</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Pub/Sub is fire-and-forget; catch-up mechanism is required for resilience.</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Redis Pub/Sub avoids additional infrastructure (no Kafka or RabbitMQ).</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Weaker delivery guarantees than a persistent message broker; catch-up mechanism compensates.</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Idempotent DEL simplifies error handling and enables retry.</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Subscribers must track processed event_ids to avoid redundant work (minor overhead).</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Catch-up mechanism bounds the stale-data window to 5 minutes even under pipeline failure.</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Catch-up job's full-scan reconciliation adds background load to the database and Redis.</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The synchronous invalidation approach was rejected because it couples the assignment-write transaction to the cache, which is a coupling anti-pattern: a cache failure blocks the write, which is unacceptable for an authorization stack. The message-broker approach (Kafka, RabbitMQ) was rejected because the additional infrastructure is not justified at PreOne's invalidation volume (a few hundred events per second peak); Redis Pub/Sub's capacity is tens of thousands of events per second, and the catch-up mechanism compensates for the weaker delivery guarantees. The database-trigger approach was rejected because trigger-based invalidation is fragile (trigger bugs are hard to debug) and the polling latency may exceed the 60-second budget. The full reasoning is captured in the Options Considered table.</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Migration is phased over one quarter, alongside the cache migration (per ADR-068). Phase 1 (weeks 1-3): deploy the Redis Pub/Sub channel and the subscriber library; subscribers log events but do not DEL (shadow mode). Phase 2 (weeks 4-6): enable subscriber-side DEL for a pilot group of 10 tenants; validate the publish-to-DEL lag and the event-loss rate. Phase 3 (weeks 7-9): enable subscriber-side DEL for all tenants; the catch-up job is deployed in shadow mode (logging stale keys but not deleting). Phase 4 (weeks 10-12): enable the catch-up job's DEL; the pipeline is fully operational. Phase 5 (week 13): the shadow-mode logging is removed. Rollback is possible at any point by disabling the subscriber-side DEL; the cache falls back to TTL-only invalidation (5-minute stale window), which is correct but slower to reflect changes.</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The invalidation pipeline is tested at three levels. Unit tests cover the event-publish logic, the subscriber-side DEL, the idempotency (duplicate events produce no incorrect behavior), and the event-format versioning. Integration tests cover the Redis Pub/Sub channel (publish, subscribe, event loss, subscriber restart), the catch-up job's full-scan reconciliation, and the cross-region replication of events. End-to-end tests cover the full assignment-write -&gt; event-publish -&gt; subscriber-DEL -&gt; cache-miss -&gt; resolver-database-query path, including a simulated Pub/Sub outage to verify the catch-up mechanism. Performance tests cover the publish-to-DEL lag at projected peak event rate (a few hundred events per second) and the catch-up job's runtime at projected cache size. The acceptance criterion is a publish-to-DEL lag under 60 seconds at p99 and zero stale-data incidents during the shadow-mode period.</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Six golden signals are monitored. (1) Publish-to-subscribe lag p99: target under 1 second, alert above 5 seconds. (2) Subscribe-to-DEL lag p99: target under 100ms, alert above 500ms. (3) Event-loss rate: target under 0.1%, alert above 1% (subscribers may be missing events). (4) Catch-up job runtime: target under 60 seconds, alert above 120 seconds (may need interval increase). (5) Catch-up job stale-key count: target under 100 per run, alert above 1,000 (pipeline may be failing). (6) Event-publish failure rate: target under 0.01%, alert above 0.1% (assignment writes may be outpacing publishes). A dedicated invalidation dashboard surfaces these alongside the per-event-type distribution, the per-subscriber DEL rate, and the cross-region replication lag. Anomaly detection (per ADR-088) flags unusual invalidation patterns (event bursts, subscriber DEL rate drops, catch-up job runtime spikes).</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The pipeline is expected to evolve in three directions. First, the catch-up mechanism may migrate from full-scan reconciliation to a delta-based approach (only scan principals whose assignments changed since the last catch-up) if the full-scan runtime becomes a scaling concern; this is a performance optimization, not a redesign. Second, the pipeline may add a streaming invalidation mode (WebSocket push to subscribers) to reduce the publish-to-DEL lag below 1 second for time-sensitive workflows; this is monitored but not planned for v1. Third, the pipeline may migrate from Redis Pub/Sub to Redis Streams (which provide persistent events and consumer groups) if the event-loss rate becomes a concern; this would eliminate the catch-up mechanism but add operational complexity, and is monitored but not planned for v1.</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ADR-061 - Identity Model (provides principal_id for the invalidation event)</w:t>
      </w:r>
    </w:p>
    <w:p>
      <w:pPr>
        <w:pStyle w:val="ListParagraph"/>
        <w:numPr>
          <w:ilvl w:val="0"/>
          <w:numId w:val="1"/>
        </w:numPr>
        <w:spacing w:after="60" w:line="312"/>
        <w:ind w:left="720" w:hanging="360"/>
      </w:pPr>
      <w:r>
        <w:rPr>
          <w:rFonts w:ascii="Inter" w:eastAsia="Inter"/>
          <w:color w:val="1E293B"/>
          <w:sz w:val="22"/>
          <w:szCs w:val="22"/>
        </w:rPr>
        <w:t xml:space="preserve">ADR-063 - Authorization (consumes the invalidated cache via the resolver)</w:t>
      </w:r>
    </w:p>
    <w:p>
      <w:pPr>
        <w:pStyle w:val="ListParagraph"/>
        <w:numPr>
          <w:ilvl w:val="0"/>
          <w:numId w:val="1"/>
        </w:numPr>
        <w:spacing w:after="60" w:line="312"/>
        <w:ind w:left="720" w:hanging="360"/>
      </w:pPr>
      <w:r>
        <w:rPr>
          <w:rFonts w:ascii="Inter" w:eastAsia="Inter"/>
          <w:color w:val="1E293B"/>
          <w:sz w:val="22"/>
          <w:szCs w:val="22"/>
        </w:rPr>
        <w:t xml:space="preserve">ADR-064 - RBAC Model (role changes trigger invalidation)</w:t>
      </w:r>
    </w:p>
    <w:p>
      <w:pPr>
        <w:pStyle w:val="ListParagraph"/>
        <w:numPr>
          <w:ilvl w:val="0"/>
          <w:numId w:val="1"/>
        </w:numPr>
        <w:spacing w:after="60" w:line="312"/>
        <w:ind w:left="720" w:hanging="360"/>
      </w:pPr>
      <w:r>
        <w:rPr>
          <w:rFonts w:ascii="Inter" w:eastAsia="Inter"/>
          <w:color w:val="1E293B"/>
          <w:sz w:val="22"/>
          <w:szCs w:val="22"/>
        </w:rPr>
        <w:t xml:space="preserve">ADR-065 - Assignment Model (assignment changes trigger invalidation)</w:t>
      </w:r>
    </w:p>
    <w:p>
      <w:pPr>
        <w:pStyle w:val="ListParagraph"/>
        <w:numPr>
          <w:ilvl w:val="0"/>
          <w:numId w:val="1"/>
        </w:numPr>
        <w:spacing w:after="60" w:line="312"/>
        <w:ind w:left="720" w:hanging="360"/>
      </w:pPr>
      <w:r>
        <w:rPr>
          <w:rFonts w:ascii="Inter" w:eastAsia="Inter"/>
          <w:color w:val="1E293B"/>
          <w:sz w:val="22"/>
          <w:szCs w:val="22"/>
        </w:rPr>
        <w:t xml:space="preserve">ADR-066 - Bundle Strategy (bundle applies trigger invalidation)</w:t>
      </w:r>
    </w:p>
    <w:p>
      <w:pPr>
        <w:pStyle w:val="ListParagraph"/>
        <w:numPr>
          <w:ilvl w:val="0"/>
          <w:numId w:val="1"/>
        </w:numPr>
        <w:spacing w:after="60" w:line="312"/>
        <w:ind w:left="720" w:hanging="360"/>
      </w:pPr>
      <w:r>
        <w:rPr>
          <w:rFonts w:ascii="Inter" w:eastAsia="Inter"/>
          <w:color w:val="1E293B"/>
          <w:sz w:val="22"/>
          <w:szCs w:val="22"/>
        </w:rPr>
        <w:t xml:space="preserve">ADR-067 - Effective Permission Resolver (produces the cached values that are invalidated)</w:t>
      </w:r>
    </w:p>
    <w:p>
      <w:pPr>
        <w:pStyle w:val="ListParagraph"/>
        <w:numPr>
          <w:ilvl w:val="0"/>
          <w:numId w:val="1"/>
        </w:numPr>
        <w:spacing w:after="60" w:line="312"/>
        <w:ind w:left="720" w:hanging="360"/>
      </w:pPr>
      <w:r>
        <w:rPr>
          <w:rFonts w:ascii="Inter" w:eastAsia="Inter"/>
          <w:color w:val="1E293B"/>
          <w:sz w:val="22"/>
          <w:szCs w:val="22"/>
        </w:rPr>
        <w:t xml:space="preserve">ADR-068 - Permission Cache (the cache that is invalidated)</w:t>
      </w:r>
    </w:p>
    <w:p>
      <w:pPr>
        <w:pStyle w:val="ListParagraph"/>
        <w:numPr>
          <w:ilvl w:val="0"/>
          <w:numId w:val="1"/>
        </w:numPr>
        <w:spacing w:after="60" w:line="312"/>
        <w:ind w:left="720" w:hanging="360"/>
      </w:pPr>
      <w:r>
        <w:rPr>
          <w:rFonts w:ascii="Inter" w:eastAsia="Inter"/>
          <w:color w:val="1E293B"/>
          <w:sz w:val="22"/>
          <w:szCs w:val="22"/>
        </w:rPr>
        <w:t xml:space="preserve">ADR-086 - Audit Trail (records invalidation events for forensic investigation)</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Redis Documentation, Pub/Sub. Redis Labs. 2024.</w:t>
      </w:r>
    </w:p>
    <w:p>
      <w:pPr>
        <w:pStyle w:val="ListParagraph"/>
        <w:numPr>
          <w:ilvl w:val="0"/>
          <w:numId w:val="1"/>
        </w:numPr>
        <w:spacing w:after="60" w:line="312"/>
        <w:ind w:left="720" w:hanging="360"/>
      </w:pPr>
      <w:r>
        <w:rPr>
          <w:rFonts w:ascii="Inter" w:eastAsia="Inter"/>
          <w:color w:val="1E293B"/>
          <w:sz w:val="22"/>
          <w:szCs w:val="22"/>
        </w:rPr>
        <w:t xml:space="preserve">Redis Documentation, Streams (alternative to Pub/Sub). Redis Labs. 2024.</w:t>
      </w:r>
    </w:p>
    <w:p>
      <w:pPr>
        <w:pStyle w:val="ListParagraph"/>
        <w:numPr>
          <w:ilvl w:val="0"/>
          <w:numId w:val="1"/>
        </w:numPr>
        <w:spacing w:after="60" w:line="312"/>
        <w:ind w:left="720" w:hanging="360"/>
      </w:pPr>
      <w:r>
        <w:rPr>
          <w:rFonts w:ascii="Inter" w:eastAsia="Inter"/>
          <w:color w:val="1E293B"/>
          <w:sz w:val="22"/>
          <w:szCs w:val="22"/>
        </w:rPr>
        <w:t xml:space="preserve">Thomson, A. and Abadi, D. - Calvin: Fast Distributed Transactions for Partitioned Database Systems. ACM SIGMOD. 2012.</w:t>
      </w:r>
    </w:p>
    <w:p>
      <w:pPr>
        <w:pStyle w:val="ListParagraph"/>
        <w:numPr>
          <w:ilvl w:val="0"/>
          <w:numId w:val="1"/>
        </w:numPr>
        <w:spacing w:after="60" w:line="312"/>
        <w:ind w:left="720" w:hanging="360"/>
      </w:pPr>
      <w:r>
        <w:rPr>
          <w:rFonts w:ascii="Inter" w:eastAsia="Inter"/>
          <w:color w:val="1E293B"/>
          <w:sz w:val="22"/>
          <w:szCs w:val="22"/>
        </w:rPr>
        <w:t xml:space="preserve">PreOne Engineering Handbook, Section 4.9 - Cache Invalidation. Internal. 2025.</w:t>
      </w:r>
    </w:p>
    <w:p>
      <w:pPr>
        <w:pStyle w:val="ListParagraph"/>
        <w:numPr>
          <w:ilvl w:val="0"/>
          <w:numId w:val="1"/>
        </w:numPr>
        <w:spacing w:after="60" w:line="312"/>
        <w:ind w:left="720" w:hanging="360"/>
      </w:pPr>
      <w:r>
        <w:rPr>
          <w:rFonts w:ascii="Inter" w:eastAsia="Inter"/>
          <w:color w:val="1E293B"/>
          <w:sz w:val="22"/>
          <w:szCs w:val="22"/>
        </w:rPr>
        <w:t xml:space="preserve">Tanenbaum, A. and Van Steen, M. - Distributed Systems, Chapter 7 (Consistency and Replication). Pearson. 2017.</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2025-08-01</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Platform Security Architect</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options enumerated; consultation with security and engineering teams</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2025-09-17</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Platform Security Architect</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Architecture Review Board after cross-team review</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2025-10-15</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published to architecture repository</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2026-07-15</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cross-references to Vol 1-3 ADRs added; 34-section template applied</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Platform Security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Authorization Platform Lead</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Architecture Review Board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ADR published to architecture repository (Done)</w:t>
      </w:r>
    </w:p>
    <w:p>
      <w:pPr>
        <w:pStyle w:val="ListParagraph"/>
        <w:numPr>
          <w:ilvl w:val="0"/>
          <w:numId w:val="1"/>
        </w:numPr>
        <w:spacing w:after="60" w:line="312"/>
        <w:ind w:left="720" w:hanging="360"/>
      </w:pPr>
      <w:r>
        <w:rPr>
          <w:rFonts w:ascii="Inter" w:eastAsia="Inter"/>
          <w:color w:val="1E293B"/>
          <w:sz w:val="22"/>
          <w:szCs w:val="22"/>
        </w:rPr>
        <w:t xml:space="preserve">Cross-references to upstream/downstream artefacts added (Done)</w:t>
      </w:r>
    </w:p>
    <w:p>
      <w:pPr>
        <w:pStyle w:val="ListParagraph"/>
        <w:numPr>
          <w:ilvl w:val="0"/>
          <w:numId w:val="1"/>
        </w:numPr>
        <w:spacing w:after="60" w:line="312"/>
        <w:ind w:left="720" w:hanging="360"/>
      </w:pPr>
      <w:r>
        <w:rPr>
          <w:rFonts w:ascii="Inter" w:eastAsia="Inter"/>
          <w:color w:val="1E293B"/>
          <w:sz w:val="22"/>
          <w:szCs w:val="22"/>
        </w:rPr>
        <w:t xml:space="preserve">Security team briefed in monthly architecture sync (Done)</w:t>
      </w:r>
    </w:p>
    <w:p>
      <w:pPr>
        <w:pStyle w:val="ListParagraph"/>
        <w:numPr>
          <w:ilvl w:val="0"/>
          <w:numId w:val="1"/>
        </w:numPr>
        <w:spacing w:after="60" w:line="312"/>
        <w:ind w:left="720" w:hanging="360"/>
      </w:pPr>
      <w:r>
        <w:rPr>
          <w:rFonts w:ascii="Inter" w:eastAsia="Inter"/>
          <w:color w:val="1E293B"/>
          <w:sz w:val="22"/>
          <w:szCs w:val="22"/>
        </w:rPr>
        <w:t xml:space="preserve">Code review checklist updated to enforce this ADR (Done)</w:t>
      </w:r>
    </w:p>
    <w:p>
      <w:pPr>
        <w:pStyle w:val="ListParagraph"/>
        <w:numPr>
          <w:ilvl w:val="0"/>
          <w:numId w:val="1"/>
        </w:numPr>
        <w:spacing w:after="60" w:line="312"/>
        <w:ind w:left="720" w:hanging="360"/>
      </w:pPr>
      <w:r>
        <w:rPr>
          <w:rFonts w:ascii="Inter" w:eastAsia="Inter"/>
          <w:color w:val="1E293B"/>
          <w:sz w:val="22"/>
          <w:szCs w:val="22"/>
        </w:rPr>
        <w:t xml:space="preserve">On-call runbook updated with operational procedures (Done)</w:t>
      </w:r>
    </w:p>
    <w:p>
      <w:pPr>
        <w:pStyle w:val="ListParagraph"/>
        <w:numPr>
          <w:ilvl w:val="0"/>
          <w:numId w:val="1"/>
        </w:numPr>
        <w:spacing w:after="60" w:line="312"/>
        <w:ind w:left="720" w:hanging="360"/>
      </w:pPr>
      <w:r>
        <w:rPr>
          <w:rFonts w:ascii="Inter" w:eastAsia="Inter"/>
          <w:color w:val="1E293B"/>
          <w:sz w:val="22"/>
          <w:szCs w:val="22"/>
        </w:rPr>
        <w:t xml:space="preserve">Effective Permission Resolver implemented (Done)</w:t>
      </w:r>
    </w:p>
    <w:p>
      <w:pPr>
        <w:pStyle w:val="ListParagraph"/>
        <w:numPr>
          <w:ilvl w:val="0"/>
          <w:numId w:val="1"/>
        </w:numPr>
        <w:spacing w:after="60" w:line="312"/>
        <w:ind w:left="720" w:hanging="360"/>
      </w:pPr>
      <w:r>
        <w:rPr>
          <w:rFonts w:ascii="Inter" w:eastAsia="Inter"/>
          <w:color w:val="1E293B"/>
          <w:sz w:val="22"/>
          <w:szCs w:val="22"/>
        </w:rPr>
        <w:t xml:space="preserve">Redis cache for permission lookups (Done)</w:t>
      </w:r>
    </w:p>
    <w:p>
      <w:pPr>
        <w:pStyle w:val="ListParagraph"/>
        <w:numPr>
          <w:ilvl w:val="0"/>
          <w:numId w:val="1"/>
        </w:numPr>
        <w:spacing w:after="60" w:line="312"/>
        <w:ind w:left="720" w:hanging="360"/>
      </w:pPr>
      <w:r>
        <w:rPr>
          <w:rFonts w:ascii="Inter" w:eastAsia="Inter"/>
          <w:color w:val="1E293B"/>
          <w:sz w:val="22"/>
          <w:szCs w:val="22"/>
        </w:rPr>
        <w:t xml:space="preserve">Cache invalidation on role/permission change (Done — ADR-069)</w:t>
      </w:r>
    </w:p>
    <w:p>
      <w:pPr>
        <w:pStyle w:val="ListParagraph"/>
        <w:numPr>
          <w:ilvl w:val="0"/>
          <w:numId w:val="1"/>
        </w:numPr>
        <w:spacing w:after="60" w:line="312"/>
        <w:ind w:left="720" w:hanging="360"/>
      </w:pPr>
      <w:r>
        <w:rPr>
          <w:rFonts w:ascii="Inter" w:eastAsia="Inter"/>
          <w:color w:val="1E293B"/>
          <w:sz w:val="22"/>
          <w:szCs w:val="22"/>
        </w:rPr>
        <w:t xml:space="preserve">Admin 'Effective Permissions' panel (Done)</w:t>
      </w:r>
    </w:p>
    <w:p>
      <w:pPr>
        <w:pStyle w:val="ListParagraph"/>
        <w:numPr>
          <w:ilvl w:val="0"/>
          <w:numId w:val="1"/>
        </w:numPr>
        <w:spacing w:after="60" w:line="312"/>
        <w:ind w:left="720" w:hanging="360"/>
      </w:pPr>
      <w:r>
        <w:rPr>
          <w:rFonts w:ascii="Inter" w:eastAsia="Inter"/>
          <w:color w:val="1E293B"/>
          <w:sz w:val="22"/>
          <w:szCs w:val="22"/>
        </w:rPr>
        <w:t xml:space="preserve">Cache hit-rate monitoring (target &gt;95%) (Done)</w:t>
      </w:r>
    </w:p>
    <w:p>
      <w:pPr>
        <w:spacing w:after="60" w:before="360" w:line="280"/>
      </w:pPr>
      <w:r>
        <w:rPr>
          <w:rFonts w:ascii="Inter" w:eastAsia="Inter"/>
          <w:b/>
          <w:bCs/>
          <w:color w:val="4F46E5"/>
          <w:spacing w:val="60"/>
          <w:sz w:val="22"/>
          <w:szCs w:val="22"/>
        </w:rPr>
        <w:t xml:space="preserve">ADR-070</w:t>
      </w:r>
    </w:p>
    <w:p>
      <w:pPr>
        <w:pStyle w:val="Heading1"/>
        <w:spacing w:after="200" w:before="60" w:line="312"/>
      </w:pPr>
      <w:r>
        <w:rPr>
          <w:rFonts w:ascii="Inter" w:eastAsia="Inter"/>
          <w:b/>
          <w:bCs/>
          <w:color w:val="0F172A"/>
          <w:sz w:val="36"/>
          <w:szCs w:val="36"/>
        </w:rPr>
        <w:t xml:space="preserve">JWT Policy</w:t>
      </w:r>
    </w:p>
    <w:p>
      <w:pPr>
        <w:spacing w:after="120" w:line="280"/>
      </w:pPr>
      <w:r>
        <w:rPr>
          <w:rFonts w:ascii="Inter" w:eastAsia="Inter"/>
          <w:color w:val="64748B"/>
          <w:sz w:val="20"/>
          <w:szCs w:val="20"/>
        </w:rPr>
        <w:t xml:space="preserve">Volume 4 — Security Architecture  -  </w:t>
      </w:r>
      <w:r>
        <w:rPr>
          <w:rFonts w:ascii="Inter" w:eastAsia="Inter"/>
          <w:color w:val="64748B"/>
          <w:sz w:val="20"/>
          <w:szCs w:val="20"/>
        </w:rPr>
        <w:t xml:space="preserve">Identity &amp; Security</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Adopt RS256-signed JWTs with a 15-minute access-token lifetime, a 7-day refresh-token lifetime, and a quarterly signing-key rotation with a 24-hour dual-key validation window. The JWT carries the principal_id, tenant_id, scope, and a key_id header that identifies the signing key. Tokens are stateless (no server-side session lookup on the hot path) and are validated via asymmetric signature verification using the public key published at the JWKS endpoint.</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Platform Security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review, or on security incident, or on cryptography standard update</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refreshes for series alignment and cross-references)</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The legacy token strategy uses HS256-signed JWTs with a 24-hour lifetime and a single static signing key stored in environment variables. This strategy has three significant weaknesses that this ADR addresses.
First, signing algorithm. HS256 is symmetric, meaning the same key signs and verifies. Any service that can verify a token can also forge one, which violates the principle of least privilege and makes a compromised service a token-forgery vector. RS256 is asymmetric, meaning only the authorization server holds the signing key and all other services hold the public key for verification; a compromised service cannot forge tokens.
Second, token lifetime. A 24-hour access token is far too long: a stolen token is valid for up to 24 hours, which is an unacceptable exposure window. The industry standard for access tokens is 5-60 minutes; PreOne adopts 15 minutes as a balance between security (shorter is better) and user experience (longer means fewer refreshes). The refresh token (per ADR-071) handles the long-lived session.
Third, key rotation. The static signing key has not been rotated in two years, which means a key compromise (e.g., via a leaked environment variable) would be catastrophic and undetectable. Quarterly rotation with a dual-key validation window is the standard practice and limits the blast radius of a key compromise to one quarter.
This ADR defines the JWT policy. The refresh token lifecycle (rotation, reuse detection) is defined in ADR-071. The MFA enforcement (which may require step-up tokens) is defined in ADR-072. This ADR defines the access token format, signing, lifetime, claims, and rotation.</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The 2026 international expansion requires that the platform satisfy the OAuth 2.1 security profile, which recommends asymmetric signing (RS256 or ES256) and short-lived access tokens. The business also requires that token compromise be detectable and recoverable within hours, not days, which drives the short lifetime and the quarterly rotation. Finally, the business requires that token validation be stateless (no server-side session lookup on the hot path), which is the primary performance benefit of JWTs over opaque tokens and which the asymmetric signature enables.</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The legacy HS256 JWT with a 24-hour lifetime and a static signing key is insecure (compromised services can forge tokens), has an unacceptable exposure window for stolen tokens (24 hours), and has no rotation story (a key compromise is catastrophic and undetectable). PreOne needs an RS256 JWT policy with a 15-minute access-token lifetime, a 7-day refresh-token lifetime, and quarterly signing-key rotation.</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Access token lifetime must be 15 minutes (900 seconds); refresh token lifetime must be 7 days (604800 seconds).</w:t>
      </w:r>
    </w:p>
    <w:p>
      <w:pPr>
        <w:pStyle w:val="ListParagraph"/>
        <w:numPr>
          <w:ilvl w:val="0"/>
          <w:numId w:val="1"/>
        </w:numPr>
        <w:spacing w:after="60" w:line="312"/>
        <w:ind w:left="720" w:hanging="360"/>
      </w:pPr>
      <w:r>
        <w:rPr>
          <w:rFonts w:ascii="Inter" w:eastAsia="Inter"/>
          <w:color w:val="1E293B"/>
          <w:sz w:val="22"/>
          <w:szCs w:val="22"/>
        </w:rPr>
        <w:t xml:space="preserve">Signing algorithm must be RS256 (asymmetric); the signing key must never leave the authorization server.</w:t>
      </w:r>
    </w:p>
    <w:p>
      <w:pPr>
        <w:pStyle w:val="ListParagraph"/>
        <w:numPr>
          <w:ilvl w:val="0"/>
          <w:numId w:val="1"/>
        </w:numPr>
        <w:spacing w:after="60" w:line="312"/>
        <w:ind w:left="720" w:hanging="360"/>
      </w:pPr>
      <w:r>
        <w:rPr>
          <w:rFonts w:ascii="Inter" w:eastAsia="Inter"/>
          <w:color w:val="1E293B"/>
          <w:sz w:val="22"/>
          <w:szCs w:val="22"/>
        </w:rPr>
        <w:t xml:space="preserve">Signing keys must be rotated quarterly with a 24-hour dual-key validation window for in-flight tokens.</w:t>
      </w:r>
    </w:p>
    <w:p>
      <w:pPr>
        <w:pStyle w:val="ListParagraph"/>
        <w:numPr>
          <w:ilvl w:val="0"/>
          <w:numId w:val="1"/>
        </w:numPr>
        <w:spacing w:after="60" w:line="312"/>
        <w:ind w:left="720" w:hanging="360"/>
      </w:pPr>
      <w:r>
        <w:rPr>
          <w:rFonts w:ascii="Inter" w:eastAsia="Inter"/>
          <w:color w:val="1E293B"/>
          <w:sz w:val="22"/>
          <w:szCs w:val="22"/>
        </w:rPr>
        <w:t xml:space="preserve">The JWT must carry principal_id, tenant_id, scope, and a key_id header identifying the signing key.</w:t>
      </w:r>
    </w:p>
    <w:p>
      <w:pPr>
        <w:pStyle w:val="ListParagraph"/>
        <w:numPr>
          <w:ilvl w:val="0"/>
          <w:numId w:val="1"/>
        </w:numPr>
        <w:spacing w:after="60" w:line="312"/>
        <w:ind w:left="720" w:hanging="360"/>
      </w:pPr>
      <w:r>
        <w:rPr>
          <w:rFonts w:ascii="Inter" w:eastAsia="Inter"/>
          <w:color w:val="1E293B"/>
          <w:sz w:val="22"/>
          <w:szCs w:val="22"/>
        </w:rPr>
        <w:t xml:space="preserve">Token validation must be stateless (no server-side session lookup on the hot path).</w:t>
      </w:r>
    </w:p>
    <w:p>
      <w:pPr>
        <w:pStyle w:val="ListParagraph"/>
        <w:numPr>
          <w:ilvl w:val="0"/>
          <w:numId w:val="1"/>
        </w:numPr>
        <w:spacing w:after="60" w:line="312"/>
        <w:ind w:left="720" w:hanging="360"/>
      </w:pPr>
      <w:r>
        <w:rPr>
          <w:rFonts w:ascii="Inter" w:eastAsia="Inter"/>
          <w:color w:val="1E293B"/>
          <w:sz w:val="22"/>
          <w:szCs w:val="22"/>
        </w:rPr>
        <w:t xml:space="preserve">The JWKS endpoint must be publicly readable (it publishes only public keys) and cached aggressively by clients.</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The authorization server (per ADR-062) is the sole issuer of PreOne JWTs.</w:t>
      </w:r>
    </w:p>
    <w:p>
      <w:pPr>
        <w:pStyle w:val="ListParagraph"/>
        <w:numPr>
          <w:ilvl w:val="0"/>
          <w:numId w:val="1"/>
        </w:numPr>
        <w:spacing w:after="60" w:line="312"/>
        <w:ind w:left="720" w:hanging="360"/>
      </w:pPr>
      <w:r>
        <w:rPr>
          <w:rFonts w:ascii="Inter" w:eastAsia="Inter"/>
          <w:color w:val="1E293B"/>
          <w:sz w:val="22"/>
          <w:szCs w:val="22"/>
        </w:rPr>
        <w:t xml:space="preserve">AWS KMS (per ADR-078) is available for signing-key storage and rotation.</w:t>
      </w:r>
    </w:p>
    <w:p>
      <w:pPr>
        <w:pStyle w:val="ListParagraph"/>
        <w:numPr>
          <w:ilvl w:val="0"/>
          <w:numId w:val="1"/>
        </w:numPr>
        <w:spacing w:after="60" w:line="312"/>
        <w:ind w:left="720" w:hanging="360"/>
      </w:pPr>
      <w:r>
        <w:rPr>
          <w:rFonts w:ascii="Inter" w:eastAsia="Inter"/>
          <w:color w:val="1E293B"/>
          <w:sz w:val="22"/>
          <w:szCs w:val="22"/>
        </w:rPr>
        <w:t xml:space="preserve">All backend services can fetch and cache the JWKS endpoint for public-key verification.</w:t>
      </w:r>
    </w:p>
    <w:p>
      <w:pPr>
        <w:pStyle w:val="ListParagraph"/>
        <w:numPr>
          <w:ilvl w:val="0"/>
          <w:numId w:val="1"/>
        </w:numPr>
        <w:spacing w:after="60" w:line="312"/>
        <w:ind w:left="720" w:hanging="360"/>
      </w:pPr>
      <w:r>
        <w:rPr>
          <w:rFonts w:ascii="Inter" w:eastAsia="Inter"/>
          <w:color w:val="1E293B"/>
          <w:sz w:val="22"/>
          <w:szCs w:val="22"/>
        </w:rPr>
        <w:t xml:space="preserve">The 15-minute access token lifetime is acceptable to users (the refresh token handles the long-lived session transparently).</w:t>
      </w:r>
    </w:p>
    <w:p>
      <w:pPr>
        <w:pStyle w:val="ListParagraph"/>
        <w:numPr>
          <w:ilvl w:val="0"/>
          <w:numId w:val="1"/>
        </w:numPr>
        <w:spacing w:after="60" w:line="312"/>
        <w:ind w:left="720" w:hanging="360"/>
      </w:pPr>
      <w:r>
        <w:rPr>
          <w:rFonts w:ascii="Inter" w:eastAsia="Inter"/>
          <w:color w:val="1E293B"/>
          <w:sz w:val="22"/>
          <w:szCs w:val="22"/>
        </w:rPr>
        <w:t xml:space="preserve">The quarterly rotation cadence is frequent enough to limit key-compromise blast radius and infrequent enough to avoid operational overhead.</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RS256 JWT, 15min access, 7d refresh, quarterly rotation with dual-key window, JWKS endpoint.</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Asymmetric signing limits forgery to the authorization server. Short lifetime limits stolen-token exposure. Quarterly rotation limits key-compromise blast radius. Stateless validation is fast.</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RS256 signatures are larger than HS256 (256 bytes vs 32 bytes). JWKS endpoint is a new dependency. Rotation requires operational discipline.</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Adopted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HS256 JWT with 15min access and 7d refresh, quarterly key rotation.</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Smaller signatures. Simpler key management (single shared key). Faster verification (HMAC is faster than RSA).</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Symmetric signing means any verifying service can forge tokens. Violates the OAuth 2.1 security profile. Rejected by ARB as insufficient for the regulated education market.</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ES256 JWT (ECDSA with P-256), 15min access, 7d refresh, quarterly rotation.</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Smaller signatures than RS256 (64 bytes). Faster verification than RS256. Asymmetric.</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ES256 is less widely supported than RS256 (some older clients and libraries lack ECDSA support). Slightly more complex key management. Marginal benefit over RS256 at PreOne's scale.</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Opaque tokens (random strings) with server-side session lookup on every request.</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Strongest revocation story (token is invalid the moment the session is deleted). No signing key to manage.</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Server-side session lookup on every request adds 1-4ms to the hot path. Violates the stateless-validation requirement. Scales poorly at PreOne's projected request volume.</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Adopt RS256-signed JWTs with a 15-minute access-token lifetime and a 7-day refresh-token lifetime. The JWT header includes a key_id that identifies the signing key, allowing the authorization server to rotate keys without invalidating in-flight tokens. The JWT payload includes the principal_id (subject), tenant_id, scope (space-delimited OAuth scopes), iat (issued at), exp (expiration), and jti (unique token ID for audit). Signing keys are stored in AWS KMS (per ADR-078) and rotated quarterly with a 24-hour dual-key validation window: during rotation, both the old and new keys are valid for verification, and the new key is used for signing. The JWKS endpoint at /oauth2/jwks publishes the public keys for verification and is cached aggressively by clients. Token validation is stateless: services verify the signature using the cached public key, with no server-side session lookup.</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RS256 was chosen over HS256 because the asymmetric property is the critical security improvement. With HS256, every service that verifies tokens holds the signing key, which means a compromise of any service enables token forgery. With RS256, only the authorization server holds the signing key; all other services hold the public key, which cannot forge tokens. This is the principle of least privilege applied to cryptographic keys, and it is the OAuth 2.1 security profile recommendation. The larger signature size (256 bytes vs 32 bytes) is a minor cost (the JWT is still under 1KB) and is offset by the security benefit.
ES256 was rejected over RS256 on compatibility grounds. ES256 offers smaller signatures (64 bytes) and faster verification, but the marginal benefit at PreOne's scale (token validation is under 1ms either way) does not justify the compatibility risk: some older clients and libraries (notably, some SAML school federations and older mobile clients) lack ECDSA support, which would require a fallback to RS256 for those clients, complicating the implementation. RS256 is universally supported and is the safe default. ES256 may be revisited as a future evolution (per the futureEvolution section) if compatibility concerns are resolved.
The opaque-token approach was rejected because the server-side session lookup on every request adds 1-4ms to the hot path, which consumes the entire authorization latency budget (per ADR-067). The stateless validation of JWTs (signature verification only, no session lookup) is the primary performance benefit and is essential for the projected request volume. The trade-off is that JWT revocation is harder (a stolen token is valid until it expires), which is mitigated by the short 15-minute lifetime and the refresh-token rotation strategy (per ADR-071).
The 15-minute access-token lifetime is the most important parameter. A shorter lifetime (e.g., 5 minutes) would reduce the stolen-token exposure window but would increase the refresh rate (every 5 minutes instead of every 15), which adds load to the token endpoint and degrades the user experience (more frequent refreshes mean more frequent latency spikes). A longer lifetime (e.g., 60 minutes) would reduce the refresh rate but would extend the stolen-token exposure window, which is unacceptable for the regulated education market. The 15-minute lifetime is the industry standard for SPAs and mobile apps and is the balance point.
The 7-day refresh-token lifetime is the second most important parameter. A shorter lifetime (e.g., 1 day) would force users to re-authenticate daily, which is unacceptable for a school platform used by teachers all day. A longer lifetime (e.g., 30 days) would extend the stolen-refresh-token exposure window, which is mitigated by the rotation strategy (per ADR-071) but is still a concern. The 7-day lifetime is the industry standard for web apps and is the balance point. The refresh token is rotated on every use (per ADR-071), so a stolen refresh token is detected (and invalidated) the next time the legitimate user refreshes.
The quarterly signing-key rotation with a 24-hour dual-key validation window is the third most important parameter. The quarterly cadence limits the key-compromise blast radius to one quarter (a compromised key is rotated out within 90 days). The 24-hour dual-key window ensures that in-flight tokens (issued just before rotation) remain valid until they expire (max 15 minutes), which avoids disrupting active sessions. The rotation is automated via AWS KMS (per ADR-078) and is rehearsed in staging quarterly to verify the automation. The old key is retained in KMS for the duration of the dual-key window and then destroyed, which is the key-lifecycle management best practice.
The key_id header is the enabler for the dual-key window. Each JWT includes the key_id of the signing key in its header, so the verifying service knows which public key to use for verification. Without the key_id, the verifying service would have to try all valid public keys, which is inefficient and error-prone. The key_id is a UUIDv7 (per ADR-041) that is unique per key, allowing the JWKS endpoint to publish multiple keys (the current and the previous, during the dual-key window) and the verifying service to select the correct one.
The jti (JWT ID) claim is the enabler for audit and revocation. The jti is a UUIDv7 that is unique per token, allowing the audit trail (per ADR-086) to correlate a token to its issuance and use. The jti also enables token revocation (a stolen token's jti can be added to a revocation list, which is checked on the hot path via a Redis lookup), which is the mitigation for the stateless-validation revocation weakness. The revocation list is short (only stolen tokens) and is checked via a Redis lookup (under 1ms), so the revocation mechanism does not violate the stateless-validation requirement in practice.
The decision to publish the JWKS endpoint publicly is the standard OAuth 2.1 practice. The JWKS endpoint publishes only public keys, which are not sensitive (they are designed to be distributed to verifiers). Publishing the JWKS publicly allows any service (including third-party integrations) to verify PreOne JWTs without a shared secret, which is the asymmetric-signing benefit. The JWKS endpoint is cached aggressively by clients (1-hour cache) to reduce the load on the authorization server, with a short TTL (5 minutes) in the cache header to allow key rotation to propagate quickly.</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PREONE JWT POLICY                                |
+-----------------------------------------------------------+
|  Authorization Server (ADR-062)                           |
|  - holds RS256 signing keys (in AWS KMS, per ADR-078)     |
|  - issues JWTs on /oauth2/token                           |
|  - rotates keys quarterly                                 |
+-----------------------------------------------------------+
            |
            v
  +---------------------------+
  | JWT Header                |
  | - alg: RS256              |
  | - typ: JWT                |
  | - key_id: &lt;UUIDv7&gt;        |
  +---------------------------+
  | JWT Payload               |
  | - sub: principal_id       |
  | - tenant_id: &lt;tid&gt;        |
  | - scope: "a b c"          |
  | - iat, exp, jti           |
  +---------------------------+
  | JWT Signature             |
  | - RS256(signing_key,      |
  |    header + payload)      |
  +---------------------------+
            |
            v
  +---------------------------+        +---------------------------+
  | JWKS Endpoint             |&lt;-------| Backend Services          |
  | /oauth2/jwks              |        | - fetch + cache public    |
  | - publishes public keys   |        |   keys (1h cache)         |
  | - cached 1h by clients    |        | - verify JWT signature    |
  +---------------------------+        |   (stateless, no session  |
                                       |   lookup)                 |
                                       +---------------------------+
                                                  |
                                                  v
                                       +---------------------------+
                                       | Redis Revocation List     |
                                       | - stolen jtis             |
                                       | - checked on hot path     |
                                       |   (&lt;1ms lookup)           |
                                       +---------------------------+</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Client -&gt; Authz Server: POST /oauth2/token (with refresh)
Authz Server -&gt; AWS KMS: Sign JWT with current key
AWS KMS -&gt; Authz Server: Signed JWT
Authz Server -&gt; Client: JWT (15min access, 7d refresh)
Client -&gt; Backend Service: API call with Bearer JWT
Backend Service -&gt; Local Cache: Lookup public key by key_id
Local Cache -&gt; Backend Service: Public key (or JWKS fetch)
Backend Service -&gt; Signature Verify: Verify RS256 signature
Signature Verify -&gt; Backend Service: Valid
Backend Service -&gt; Redis Revocation: Check jti (if revocation enabled)
Redis Revocation -&gt; Backend Service: Not revoked
Backend Service -&gt; Client: Response
Note over Authz Server: Quarterly rotation:
Authz Server -&gt; AWS KMS: Generate new signing key
Authz Server -&gt; JWKS Endpoint: Publish new public key (keep old 24h)
Authz Server -&gt; Authz Server: Sign with new key (dual-key validation 24h)
Authz Server -&gt; AWS KMS: Destroy old key (after 24h)</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ADR-070 — JWT Policy  -  Component View         |
+-------------------------------------------------------------+
|                                                             |
|  +----------------+        +----------------------+         |
|  | Auth Service   | issue  | Token Service        |         |
|  |                |-------&gt;| (JWT / Refresh /     |         |
|  +----------------+        |  Session)            |         |
|                              +----------+-----------+         |
|                                         |                     |
|                                         | verify              |
|                                         v                     |
|  +----------------+        +----------------------+         |
|  | API Gateway    |  recv  | Token Validator      |         |
|  |                |-------&gt;| (signature + exp)    |         |
|  +----------------+        +----------+-----------+         |
|                                       |                     |
|                                       | cache (Redis)       |
|                                       v                     |
|  +----------------+        +----------------------+         |
|  | Session Store  |  CRUD  | Redis                |         |
|  |                |-------&gt;| (active sessions)    |         |
|  +----------------+        +----------------------+         |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Token Lifecycle Flow:
  Auth Service -&gt; JWT Issuer: create (header.payload.signature)
  JWT Issuer -&gt; Client: access token (15min) + refresh token (30d)
  Client -&gt; API: Bearer token in header
  API -&gt; Token Validator: verify signature + expiry
  (valid) API -&gt; App: process request
  (expired) API -&gt; Client: 401 (trigger refresh)
Session Flow:
  Auth Service -&gt; Session Store (Redis): create session
  Client -&gt; API: Bearer + session cookie
  API -&gt; Session Store: validate active
  (logout) API -&gt; Session Store: delete session
  API -&gt; Audit: log 'SESSION_TERMINATED'</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The JWT policy adds one table. jwt_revocation_list holds revoked jtis with columns jti (UUIDv7, PK), principal_id, tenant_id, revoked_at, revoked_by, reason. The table is small (only stolen tokens are revoked) and is indexed on jti for the hot-path lookup. The oauth_refresh_token table defined in ADR-062 is retained for refresh-token metadata (per ADR-071). The signing keys are stored in AWS KMS (per ADR-078), not in the database; the database stores only the key_id and the key's metadata (created_at, rotated_at, destroyed_at) for audit purposes. No changes to the identities table defined in ADR-061; the JWT carries the principal_id but does not modify the identity record.</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The /oauth2/token endpoint (per ADR-062) issues JWTs with the format defined in this ADR. The /oauth2/jwks endpoint is new and publishes the public keys for verification. The /oauth2/revoke endpoint (per ADR-062) is extended to accept a jti and add it to the revocation list. All protected API endpoints accept the Authorization: Bearer &lt;jwt&gt; header and verify it via the Spring Security filter chain (per ADR-062). The legacy X-Auth-Token header (per ADR-062) is deprecated and removed at the end of the migration. The frontend caches the JWT in memory (not in localStorage, to mitigate XSS token theft) and refreshes it transparently via the refresh-token flow before it expires.</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JWT and session management are largely invisible to end users. The UI maintains session via HTTP-only cookies (for web) and bearer tokens (for API). When an access token expires, the UI transparently refreshes it (via the refresh token) without user interaction; if the refresh token is also expired, the UI redirects to login with a 'Your session has expired. Please log in again.' message. The 'Account' page includes an 'Active Sessions' panel showing the user's active sessions (device, IP, last active) with a 'Revoke' button per session — useful for logging out of a forgotten device. JWT expiry is tuned to balance security (short expiry) and UX (no frequent re-login).</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The RS256 signing is the critical security improvement: a compromised backend service cannot forge tokens because it lacks the signing key. The 15-minute access-token lifetime limits the stolen-token exposure window to 15 minutes (the refresh-token rotation per ADR-071 limits the stolen-refresh-token window to one rotation). The quarterly signing-key rotation limits the key-compromise blast radius to one quarter. The jti-based revocation list closes the stateless-validation revocation weakness: a stolen token can be revoked immediately by adding its jti to the list. The key_id header enables the dual-key rotation window without disrupting active sessions. The JWKS endpoint publishes only public keys, so a JWKS compromise does not enable token forgery. The net effect is a JWT policy that satisfies the OAuth 2.1 security profile and the regulated education market's expectations.</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JWT validation is stateless (signature verification only), which is the primary performance benefit: a single asymmetric signature verification takes under 1ms at p99, compared to 1-4ms for a server-side session lookup. The JWKS public key is cached in-process by each backend service (1-hour cache), so the JWKS endpoint is fetched only once per hour per service, which is negligible load. The revocation-list check (Redis lookup) adds under 1ms to the hot path and is enabled only for high-risk tokens (e.g., tokens with elevated scopes). The signing operation (at token issuance) takes 2-5ms (RSA signing is slower than verification), which is acceptable because token issuance is not on the hot path (it happens once every 15 minutes per user).</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The JWT policy scales with request volume, not with token count (tokens are stateless, so there is no server-side storage per token). The JWKS endpoint is cached aggressively by clients, so it handles a few requests per hour per service, which is negligible. The revocation list is bounded by the number of stolen tokens (projected under 1000 active revocations at steady state), so the Redis lookup is fast and the list is small. The signing-key rotation is a quarterly event that does not affect steady-state operation. The token-issuance rate (one per user per 15 minutes) is projected to peak at 5,000 issuances per second (50k logins per day, plus refreshes), which is within the authorization server's capacity (per ADR-062). No architectural ceiling is anticipated within the three-year planning horizon.</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The JWT policy is deployed as part of the authorization server (per ADR-062) and the Spring Security filter chain. The signing keys are managed by AWS KMS (per ADR-078) and rotated quarterly via an automated job. The on-call runbook covers four failure modes: KMS unavailable (signing fails, new logins fail, alert; existing tokens remain valid until expiry), JWKS endpoint unavailable (clients cannot fetch new public keys, but cached keys remain valid for 1 hour, alert), revocation-list Redis unavailable (revocation check is skipped for low-risk tokens, fail-closed for high-risk, alert), and signing-key rotation failure (rotation is retried, dual-key window is extended, alert). The rotation is rehearsed in staging quarterly to verify the automation. The JWT policy has a dedicated dashboard showing token-issuance rate, validation latency, revocation-list size, and key-rotation status.</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Signing key compromise (e.g., via a KMS misconfiguration) enables token forgery until the next rotation.</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KMS access is tightly scoped and audited. Quarterly rotation limits blast radius. Compromise detection via anomalous token-issuance patterns (per ADR-088). Emergency rotation procedure documented.</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JWKS endpoint becomes a single point of failure for token validation (clients cannot fetch public keys).</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Clients cache public keys for 1 hour, so a JWKS outage is tolerated for 1 hour. JWKS endpoint is deployed with three replicas and a CDN. Alert on JWKS error rate.</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15-minute access-token lifetime is too short for some workflows (e.g., long-running uploads), causing mid-workflow re-authentication.</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Refresh-token flow is transparent and handled by the frontend. Long-running workflows use the refresh token to obtain a new access token without user interaction.</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Revocation-list Redis lookup adds latency to the hot path that exceeds the budget.</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Revocation check is enabled only for high-risk tokens. Redis lookup is under 1ms. Revocation list is bounded by stolen-token count (projected under 1000).</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RS256 asymmetric signing limits token forgery to the authorization server.</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RS256 signatures are larger than HS256 (256 bytes vs 32 bytes) and slower to sign.</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15-minute access-token lifetime limits stolen-token exposure window.</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More frequent refreshes add load to the token endpoint and require frontend refresh logic.</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Quarterly signing-key rotation limits key-compromise blast radius.</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Rotation requires operational discipline and a dual-key validation window.</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Stateless validation is fast (under 1ms) and scalable.</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Revocation requires a revocation list (Redis lookup), partially negating the stateless benefit.</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HS256 was rejected because the symmetric property means any verifying service can forge tokens, which violates the principle of least privilege and the OAuth 2.1 security profile. ES256 was rejected on compatibility grounds: some older clients and libraries lack ECDSA support, which would require a fallback to RS256 for those clients, complicating the implementation; the marginal benefit (smaller signatures, faster verification) does not justify the compatibility risk at PreOne's scale. The opaque-token approach was rejected because the server-side session lookup on every request adds 1-4ms to the hot path, which consumes the entire authorization latency budget and violates the stateless-validation requirement. The full reasoning is captured in the Options Considered table.</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Migration is phased over one quarter, alongside the authentication-stack migration (per ADR-062). Phase 1 (weeks 1-3): deploy the JWKS endpoint and the RS256 signing key in KMS; the authorization server issues both RS256 and HS256 tokens during this phase (dual-issuance). Phase 2 (weeks 4-6): migrate backend services to verify RS256 tokens (in addition to HS256); both are accepted during this phase. Phase 3 (weeks 7-9): the authorization server issues only RS256 tokens; HS256 issuance is disabled. Phase 4 (weeks 10-12): backend services remove HS256 verification; only RS256 is accepted. Phase 5 (week 13): the legacy HS256 signing key is destroyed. Rollback is possible at any point in phases 1-3 by re-enabling HS256 issuance; the dual-issuance window ensures no user is locked out. The signing-key rotation is enabled in phase 4 and is rehearsed in staging before the first production rotation.</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The JWT policy is tested at four levels. Unit tests cover the signing, verification, key_id selection, jti generation, and revocation-list lookup; coverage target is 95%. Integration tests cover the JWKS endpoint (publishing, caching, key rotation), the dual-key validation window, and the revocation flow. End-to-end tests cover the full token-issuance -&gt; API-call -&gt; token-validation path, including a simulated signing-key rotation. Security tests cover the forgery resistance (a service with only the public key cannot forge tokens), the revocation (a stolen token is revoked immediately), and the key-rotation (in-flight tokens remain valid during rotation). Performance tests cover the validation latency at projected peak request volume. The acceptance criterion is zero token-forgery or token-validation failures during the post-cutover stabilization period.</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Six golden signals are monitored. (1) Token-issuance rate: target under 5,000 per second, alert above 10,000 (possible abuse or misconfiguration). (2) Token-validation latency p99: target under 1ms, alert above 2ms. (3) JWKS fetch rate: target under 1 per hour per service, alert above 10 (caching may be broken). (4) Revocation-list size: target under 1,000 entries, alert above 5,000 (possible attack or hygiene issue). (5) Signing-key rotation status: target on schedule (quarterly), alert on rotation failure or delay. (6) Token-forgery attempts: target zero, alert on any non-zero value (possible key compromise). A dedicated JWT dashboard surfaces these alongside the per-tenant token-issuance rate, the per-key validation distribution, and the revocation-list growth. Anomaly detection (per ADR-088) flags unusual token patterns (issuance spikes, validation failures, revocation-list bursts).</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The JWT policy is expected to evolve in three directions. First, the signing algorithm may migrate from RS256 to ES256 once all clients support ECDSA, which would reduce signature size and improve verification latency; the trigger is a compatibility audit showing universal ECDSA support. Second, the access-token lifetime may be reduced to 5 minutes if the refresh-token flow proves robust enough to handle the increased refresh rate without user-perceived latency; the trigger is a security review recommending shorter lifetimes. Third, the JWT may add a proof-of-possession (PoP) mechanism (e.g., DPoP or mTLS-bound tokens) to make stolen tokens unusable without the client's private key; this is a larger change and would require its own ADR.</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ADR-061 - Identity Model (provides principal_id for the JWT subject)</w:t>
      </w:r>
    </w:p>
    <w:p>
      <w:pPr>
        <w:pStyle w:val="ListParagraph"/>
        <w:numPr>
          <w:ilvl w:val="0"/>
          <w:numId w:val="1"/>
        </w:numPr>
        <w:spacing w:after="60" w:line="312"/>
        <w:ind w:left="720" w:hanging="360"/>
      </w:pPr>
      <w:r>
        <w:rPr>
          <w:rFonts w:ascii="Inter" w:eastAsia="Inter"/>
          <w:color w:val="1E293B"/>
          <w:sz w:val="22"/>
          <w:szCs w:val="22"/>
        </w:rPr>
        <w:t xml:space="preserve">ADR-062 - Authentication (the authorization server issues JWTs)</w:t>
      </w:r>
    </w:p>
    <w:p>
      <w:pPr>
        <w:pStyle w:val="ListParagraph"/>
        <w:numPr>
          <w:ilvl w:val="0"/>
          <w:numId w:val="1"/>
        </w:numPr>
        <w:spacing w:after="60" w:line="312"/>
        <w:ind w:left="720" w:hanging="360"/>
      </w:pPr>
      <w:r>
        <w:rPr>
          <w:rFonts w:ascii="Inter" w:eastAsia="Inter"/>
          <w:color w:val="1E293B"/>
          <w:sz w:val="22"/>
          <w:szCs w:val="22"/>
        </w:rPr>
        <w:t xml:space="preserve">ADR-063 - Authorization (consumes the JWT's scope claim)</w:t>
      </w:r>
    </w:p>
    <w:p>
      <w:pPr>
        <w:pStyle w:val="ListParagraph"/>
        <w:numPr>
          <w:ilvl w:val="0"/>
          <w:numId w:val="1"/>
        </w:numPr>
        <w:spacing w:after="60" w:line="312"/>
        <w:ind w:left="720" w:hanging="360"/>
      </w:pPr>
      <w:r>
        <w:rPr>
          <w:rFonts w:ascii="Inter" w:eastAsia="Inter"/>
          <w:color w:val="1E293B"/>
          <w:sz w:val="22"/>
          <w:szCs w:val="22"/>
        </w:rPr>
        <w:t xml:space="preserve">ADR-071 - Refresh Token Policy (rotation strategy for the 7-day refresh token)</w:t>
      </w:r>
    </w:p>
    <w:p>
      <w:pPr>
        <w:pStyle w:val="ListParagraph"/>
        <w:numPr>
          <w:ilvl w:val="0"/>
          <w:numId w:val="1"/>
        </w:numPr>
        <w:spacing w:after="60" w:line="312"/>
        <w:ind w:left="720" w:hanging="360"/>
      </w:pPr>
      <w:r>
        <w:rPr>
          <w:rFonts w:ascii="Inter" w:eastAsia="Inter"/>
          <w:color w:val="1E293B"/>
          <w:sz w:val="22"/>
          <w:szCs w:val="22"/>
        </w:rPr>
        <w:t xml:space="preserve">ADR-072 - MFA (step-up tokens for high-risk operations)</w:t>
      </w:r>
    </w:p>
    <w:p>
      <w:pPr>
        <w:pStyle w:val="ListParagraph"/>
        <w:numPr>
          <w:ilvl w:val="0"/>
          <w:numId w:val="1"/>
        </w:numPr>
        <w:spacing w:after="60" w:line="312"/>
        <w:ind w:left="720" w:hanging="360"/>
      </w:pPr>
      <w:r>
        <w:rPr>
          <w:rFonts w:ascii="Inter" w:eastAsia="Inter"/>
          <w:color w:val="1E293B"/>
          <w:sz w:val="22"/>
          <w:szCs w:val="22"/>
        </w:rPr>
        <w:t xml:space="preserve">ADR-074 - Session Management (session lifecycle tied to JWT lifetime)</w:t>
      </w:r>
    </w:p>
    <w:p>
      <w:pPr>
        <w:pStyle w:val="ListParagraph"/>
        <w:numPr>
          <w:ilvl w:val="0"/>
          <w:numId w:val="1"/>
        </w:numPr>
        <w:spacing w:after="60" w:line="312"/>
        <w:ind w:left="720" w:hanging="360"/>
      </w:pPr>
      <w:r>
        <w:rPr>
          <w:rFonts w:ascii="Inter" w:eastAsia="Inter"/>
          <w:color w:val="1E293B"/>
          <w:sz w:val="22"/>
          <w:szCs w:val="22"/>
        </w:rPr>
        <w:t xml:space="preserve">ADR-076 - API Security (mTLS-bound tokens for service-to-service)</w:t>
      </w:r>
    </w:p>
    <w:p>
      <w:pPr>
        <w:pStyle w:val="ListParagraph"/>
        <w:numPr>
          <w:ilvl w:val="0"/>
          <w:numId w:val="1"/>
        </w:numPr>
        <w:spacing w:after="60" w:line="312"/>
        <w:ind w:left="720" w:hanging="360"/>
      </w:pPr>
      <w:r>
        <w:rPr>
          <w:rFonts w:ascii="Inter" w:eastAsia="Inter"/>
          <w:color w:val="1E293B"/>
          <w:sz w:val="22"/>
          <w:szCs w:val="22"/>
        </w:rPr>
        <w:t xml:space="preserve">ADR-078 - Secrets Management (AWS KMS for signing-key storage)</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RFC 7519 - JSON Web Token (JWT). IETF. 2015.</w:t>
      </w:r>
    </w:p>
    <w:p>
      <w:pPr>
        <w:pStyle w:val="ListParagraph"/>
        <w:numPr>
          <w:ilvl w:val="0"/>
          <w:numId w:val="1"/>
        </w:numPr>
        <w:spacing w:after="60" w:line="312"/>
        <w:ind w:left="720" w:hanging="360"/>
      </w:pPr>
      <w:r>
        <w:rPr>
          <w:rFonts w:ascii="Inter" w:eastAsia="Inter"/>
          <w:color w:val="1E293B"/>
          <w:sz w:val="22"/>
          <w:szCs w:val="22"/>
        </w:rPr>
        <w:t xml:space="preserve">RFC 7517 - JSON Web Key (JWK). IETF. 2015.</w:t>
      </w:r>
    </w:p>
    <w:p>
      <w:pPr>
        <w:pStyle w:val="ListParagraph"/>
        <w:numPr>
          <w:ilvl w:val="0"/>
          <w:numId w:val="1"/>
        </w:numPr>
        <w:spacing w:after="60" w:line="312"/>
        <w:ind w:left="720" w:hanging="360"/>
      </w:pPr>
      <w:r>
        <w:rPr>
          <w:rFonts w:ascii="Inter" w:eastAsia="Inter"/>
          <w:color w:val="1E293B"/>
          <w:sz w:val="22"/>
          <w:szCs w:val="22"/>
        </w:rPr>
        <w:t xml:space="preserve">RFC 8725 - JSON Web Token Best Current Practices. IETF. 2020.</w:t>
      </w:r>
    </w:p>
    <w:p>
      <w:pPr>
        <w:pStyle w:val="ListParagraph"/>
        <w:numPr>
          <w:ilvl w:val="0"/>
          <w:numId w:val="1"/>
        </w:numPr>
        <w:spacing w:after="60" w:line="312"/>
        <w:ind w:left="720" w:hanging="360"/>
      </w:pPr>
      <w:r>
        <w:rPr>
          <w:rFonts w:ascii="Inter" w:eastAsia="Inter"/>
          <w:color w:val="1E293B"/>
          <w:sz w:val="22"/>
          <w:szCs w:val="22"/>
        </w:rPr>
        <w:t xml:space="preserve">OAuth 2.1, RFC Draft, Section on Token Security. IETF. 2024.</w:t>
      </w:r>
    </w:p>
    <w:p>
      <w:pPr>
        <w:pStyle w:val="ListParagraph"/>
        <w:numPr>
          <w:ilvl w:val="0"/>
          <w:numId w:val="1"/>
        </w:numPr>
        <w:spacing w:after="60" w:line="312"/>
        <w:ind w:left="720" w:hanging="360"/>
      </w:pPr>
      <w:r>
        <w:rPr>
          <w:rFonts w:ascii="Inter" w:eastAsia="Inter"/>
          <w:color w:val="1E293B"/>
          <w:sz w:val="22"/>
          <w:szCs w:val="22"/>
        </w:rPr>
        <w:t xml:space="preserve">PreOne Engineering Handbook, Section 4.10 - JWT Policy. Internal. 2025.</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2025-08-01</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Platform Security Architect</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options enumerated; consultation with security and engineering teams</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2025-09-17</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Platform Security Architect</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Architecture Review Board after cross-team review</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2025-10-15</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published to architecture repository</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2026-07-15</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cross-references to Vol 1-3 ADRs added; 34-section template applied</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Platform Security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Authentication Platform Lead</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Architecture Review Board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ADR published to architecture repository (Done)</w:t>
      </w:r>
    </w:p>
    <w:p>
      <w:pPr>
        <w:pStyle w:val="ListParagraph"/>
        <w:numPr>
          <w:ilvl w:val="0"/>
          <w:numId w:val="1"/>
        </w:numPr>
        <w:spacing w:after="60" w:line="312"/>
        <w:ind w:left="720" w:hanging="360"/>
      </w:pPr>
      <w:r>
        <w:rPr>
          <w:rFonts w:ascii="Inter" w:eastAsia="Inter"/>
          <w:color w:val="1E293B"/>
          <w:sz w:val="22"/>
          <w:szCs w:val="22"/>
        </w:rPr>
        <w:t xml:space="preserve">Cross-references to upstream/downstream artefacts added (Done)</w:t>
      </w:r>
    </w:p>
    <w:p>
      <w:pPr>
        <w:pStyle w:val="ListParagraph"/>
        <w:numPr>
          <w:ilvl w:val="0"/>
          <w:numId w:val="1"/>
        </w:numPr>
        <w:spacing w:after="60" w:line="312"/>
        <w:ind w:left="720" w:hanging="360"/>
      </w:pPr>
      <w:r>
        <w:rPr>
          <w:rFonts w:ascii="Inter" w:eastAsia="Inter"/>
          <w:color w:val="1E293B"/>
          <w:sz w:val="22"/>
          <w:szCs w:val="22"/>
        </w:rPr>
        <w:t xml:space="preserve">Security team briefed in monthly architecture sync (Done)</w:t>
      </w:r>
    </w:p>
    <w:p>
      <w:pPr>
        <w:pStyle w:val="ListParagraph"/>
        <w:numPr>
          <w:ilvl w:val="0"/>
          <w:numId w:val="1"/>
        </w:numPr>
        <w:spacing w:after="60" w:line="312"/>
        <w:ind w:left="720" w:hanging="360"/>
      </w:pPr>
      <w:r>
        <w:rPr>
          <w:rFonts w:ascii="Inter" w:eastAsia="Inter"/>
          <w:color w:val="1E293B"/>
          <w:sz w:val="22"/>
          <w:szCs w:val="22"/>
        </w:rPr>
        <w:t xml:space="preserve">Code review checklist updated to enforce this ADR (Done)</w:t>
      </w:r>
    </w:p>
    <w:p>
      <w:pPr>
        <w:pStyle w:val="ListParagraph"/>
        <w:numPr>
          <w:ilvl w:val="0"/>
          <w:numId w:val="1"/>
        </w:numPr>
        <w:spacing w:after="60" w:line="312"/>
        <w:ind w:left="720" w:hanging="360"/>
      </w:pPr>
      <w:r>
        <w:rPr>
          <w:rFonts w:ascii="Inter" w:eastAsia="Inter"/>
          <w:color w:val="1E293B"/>
          <w:sz w:val="22"/>
          <w:szCs w:val="22"/>
        </w:rPr>
        <w:t xml:space="preserve">On-call runbook updated with operational procedures (Done)</w:t>
      </w:r>
    </w:p>
    <w:p>
      <w:pPr>
        <w:pStyle w:val="ListParagraph"/>
        <w:numPr>
          <w:ilvl w:val="0"/>
          <w:numId w:val="1"/>
        </w:numPr>
        <w:spacing w:after="60" w:line="312"/>
        <w:ind w:left="720" w:hanging="360"/>
      </w:pPr>
      <w:r>
        <w:rPr>
          <w:rFonts w:ascii="Inter" w:eastAsia="Inter"/>
          <w:color w:val="1E293B"/>
          <w:sz w:val="22"/>
          <w:szCs w:val="22"/>
        </w:rPr>
        <w:t xml:space="preserve">JWT issuance with RS256 signature (Done)</w:t>
      </w:r>
    </w:p>
    <w:p>
      <w:pPr>
        <w:pStyle w:val="ListParagraph"/>
        <w:numPr>
          <w:ilvl w:val="0"/>
          <w:numId w:val="1"/>
        </w:numPr>
        <w:spacing w:after="60" w:line="312"/>
        <w:ind w:left="720" w:hanging="360"/>
      </w:pPr>
      <w:r>
        <w:rPr>
          <w:rFonts w:ascii="Inter" w:eastAsia="Inter"/>
          <w:color w:val="1E293B"/>
          <w:sz w:val="22"/>
          <w:szCs w:val="22"/>
        </w:rPr>
        <w:t xml:space="preserve">Refresh token rotation + reuse detection (Done)</w:t>
      </w:r>
    </w:p>
    <w:p>
      <w:pPr>
        <w:pStyle w:val="ListParagraph"/>
        <w:numPr>
          <w:ilvl w:val="0"/>
          <w:numId w:val="1"/>
        </w:numPr>
        <w:spacing w:after="60" w:line="312"/>
        <w:ind w:left="720" w:hanging="360"/>
      </w:pPr>
      <w:r>
        <w:rPr>
          <w:rFonts w:ascii="Inter" w:eastAsia="Inter"/>
          <w:color w:val="1E293B"/>
          <w:sz w:val="22"/>
          <w:szCs w:val="22"/>
        </w:rPr>
        <w:t xml:space="preserve">Session Store (Redis) deployed (Done)</w:t>
      </w:r>
    </w:p>
    <w:p>
      <w:pPr>
        <w:pStyle w:val="ListParagraph"/>
        <w:numPr>
          <w:ilvl w:val="0"/>
          <w:numId w:val="1"/>
        </w:numPr>
        <w:spacing w:after="60" w:line="312"/>
        <w:ind w:left="720" w:hanging="360"/>
      </w:pPr>
      <w:r>
        <w:rPr>
          <w:rFonts w:ascii="Inter" w:eastAsia="Inter"/>
          <w:color w:val="1E293B"/>
          <w:sz w:val="22"/>
          <w:szCs w:val="22"/>
        </w:rPr>
        <w:t xml:space="preserve">Token validation in API Gateway (Done)</w:t>
      </w:r>
    </w:p>
    <w:p>
      <w:pPr>
        <w:pStyle w:val="ListParagraph"/>
        <w:numPr>
          <w:ilvl w:val="0"/>
          <w:numId w:val="1"/>
        </w:numPr>
        <w:spacing w:after="60" w:line="312"/>
        <w:ind w:left="720" w:hanging="360"/>
      </w:pPr>
      <w:r>
        <w:rPr>
          <w:rFonts w:ascii="Inter" w:eastAsia="Inter"/>
          <w:color w:val="1E293B"/>
          <w:sz w:val="22"/>
          <w:szCs w:val="22"/>
        </w:rPr>
        <w:t xml:space="preserve">Active Sessions UI panel (Done)</w:t>
      </w:r>
    </w:p>
    <w:p>
      <w:pPr>
        <w:pStyle w:val="ListParagraph"/>
        <w:numPr>
          <w:ilvl w:val="0"/>
          <w:numId w:val="1"/>
        </w:numPr>
        <w:spacing w:after="60" w:line="312"/>
        <w:ind w:left="720" w:hanging="360"/>
      </w:pPr>
      <w:r>
        <w:rPr>
          <w:rFonts w:ascii="Inter" w:eastAsia="Inter"/>
          <w:color w:val="1E293B"/>
          <w:sz w:val="22"/>
          <w:szCs w:val="22"/>
        </w:rPr>
        <w:t xml:space="preserve">Quarterly JWT secret rotation runbook (Scheduled)</w:t>
      </w:r>
    </w:p>
    <w:p>
      <w:pPr>
        <w:spacing w:after="60" w:before="360" w:line="280"/>
      </w:pPr>
      <w:r>
        <w:rPr>
          <w:rFonts w:ascii="Inter" w:eastAsia="Inter"/>
          <w:b/>
          <w:bCs/>
          <w:color w:val="4F46E5"/>
          <w:spacing w:val="60"/>
          <w:sz w:val="22"/>
          <w:szCs w:val="22"/>
        </w:rPr>
        <w:t xml:space="preserve">ADR-071</w:t>
      </w:r>
    </w:p>
    <w:p>
      <w:pPr>
        <w:pStyle w:val="Heading1"/>
        <w:spacing w:after="200" w:before="60" w:line="312"/>
      </w:pPr>
      <w:r>
        <w:rPr>
          <w:rFonts w:ascii="Inter" w:eastAsia="Inter"/>
          <w:b/>
          <w:bCs/>
          <w:color w:val="0F172A"/>
          <w:sz w:val="36"/>
          <w:szCs w:val="36"/>
        </w:rPr>
        <w:t xml:space="preserve">Refresh Token Policy</w:t>
      </w:r>
    </w:p>
    <w:p>
      <w:pPr>
        <w:spacing w:after="120" w:line="280"/>
      </w:pPr>
      <w:r>
        <w:rPr>
          <w:rFonts w:ascii="Inter" w:eastAsia="Inter"/>
          <w:color w:val="64748B"/>
          <w:sz w:val="20"/>
          <w:szCs w:val="20"/>
        </w:rPr>
        <w:t xml:space="preserve">Volume 4 — Security Architecture  -  </w:t>
      </w:r>
      <w:r>
        <w:rPr>
          <w:rFonts w:ascii="Inter" w:eastAsia="Inter"/>
          <w:color w:val="64748B"/>
          <w:sz w:val="20"/>
          <w:szCs w:val="20"/>
        </w:rPr>
        <w:t xml:space="preserve">Identity &amp; Security</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Adopt a rotating refresh-token policy with reuse detection: each refresh-token use issues a new refresh token and invalidates the old one. If an invalidated refresh token is presented, the authorization server detects reuse and revokes the entire refresh-token family (all tokens derived from the same login), forcing the user to re-authenticate. Refresh tokens are 7 days lifetime, stored as bcrypt-hashed values in the database, and bound to the issuing client and tenant.</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Platform Security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review, or on security incident, or on cryptography standard update</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refreshes for series alignment and cross-references)</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The legacy refresh-token policy is a single long-lived refresh token (30 days) that is never rotated. A stolen refresh token is valid for 30 days, which is an unacceptable exposure window. Worse, the legacy policy has no reuse detection: an attacker who steals a refresh token can use it indefinitely without the legitimate user's knowledge, because the legitimate user's refreshes do not invalidate the stolen token.
The 2025 Q3 security review identified the legacy refresh-token policy as the single highest-risk item in the authentication stack. A refresh-token theft scenario (e.g., via a compromised browser extension or a malicious app on a shared device) would give the attacker 30 days of access, with no detection and no recovery short of a password reset. The ARB concluded that a rotating refresh-token policy with reuse detection is required for the 2026 expansion, which is the OAuth 2.1 security profile recommendation.
This ADR defines the refresh-token policy. The access-token format and lifetime are defined in ADR-070. The MFA enforcement (which may interact with refresh-token step-up) is defined in ADR-072. This ADR defines the rotation strategy, the reuse-detection mechanism, the family-revocation behavior, and the storage format.</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The 2026 international expansion requires that the platform detect refresh-token theft within one rotation window (i.e., the next time the legitimate user refreshes), which is the OAuth 2.1 security profile recommendation. The business also requires that a stolen refresh token be recoverable without a password reset (the user should not be locked out by an attacker's theft), which drives the family-revocation design. Finally, the business requires that the refresh-token policy not degrade the user experience (the refresh should be transparent to the user), which drives the 7-day lifetime and the automatic rotation.</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The legacy non-rotating 30-day refresh token has an unacceptable exposure window (30 days) and no reuse detection, making refresh-token theft undetectable and unrecoverable. PreOne needs a rotating refresh-token policy with reuse detection that detects theft within one rotation window, recovers without a password reset, and preserves the transparent-refresh user experience.</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Refresh tokens must rotate on every use: the old token is invalidated, a new token is issued.</w:t>
      </w:r>
    </w:p>
    <w:p>
      <w:pPr>
        <w:pStyle w:val="ListParagraph"/>
        <w:numPr>
          <w:ilvl w:val="0"/>
          <w:numId w:val="1"/>
        </w:numPr>
        <w:spacing w:after="60" w:line="312"/>
        <w:ind w:left="720" w:hanging="360"/>
      </w:pPr>
      <w:r>
        <w:rPr>
          <w:rFonts w:ascii="Inter" w:eastAsia="Inter"/>
          <w:color w:val="1E293B"/>
          <w:sz w:val="22"/>
          <w:szCs w:val="22"/>
        </w:rPr>
        <w:t xml:space="preserve">Reuse detection must revoke the entire refresh-token family on detection of an invalidated token's reuse.</w:t>
      </w:r>
    </w:p>
    <w:p>
      <w:pPr>
        <w:pStyle w:val="ListParagraph"/>
        <w:numPr>
          <w:ilvl w:val="0"/>
          <w:numId w:val="1"/>
        </w:numPr>
        <w:spacing w:after="60" w:line="312"/>
        <w:ind w:left="720" w:hanging="360"/>
      </w:pPr>
      <w:r>
        <w:rPr>
          <w:rFonts w:ascii="Inter" w:eastAsia="Inter"/>
          <w:color w:val="1E293B"/>
          <w:sz w:val="22"/>
          <w:szCs w:val="22"/>
        </w:rPr>
        <w:t xml:space="preserve">Refresh tokens must be 7 days lifetime (604800 seconds), aligned with ADR-070.</w:t>
      </w:r>
    </w:p>
    <w:p>
      <w:pPr>
        <w:pStyle w:val="ListParagraph"/>
        <w:numPr>
          <w:ilvl w:val="0"/>
          <w:numId w:val="1"/>
        </w:numPr>
        <w:spacing w:after="60" w:line="312"/>
        <w:ind w:left="720" w:hanging="360"/>
      </w:pPr>
      <w:r>
        <w:rPr>
          <w:rFonts w:ascii="Inter" w:eastAsia="Inter"/>
          <w:color w:val="1E293B"/>
          <w:sz w:val="22"/>
          <w:szCs w:val="22"/>
        </w:rPr>
        <w:t xml:space="preserve">Refresh tokens must be stored as bcrypt-hashed values, not plaintext, to protect against database compromise.</w:t>
      </w:r>
    </w:p>
    <w:p>
      <w:pPr>
        <w:pStyle w:val="ListParagraph"/>
        <w:numPr>
          <w:ilvl w:val="0"/>
          <w:numId w:val="1"/>
        </w:numPr>
        <w:spacing w:after="60" w:line="312"/>
        <w:ind w:left="720" w:hanging="360"/>
      </w:pPr>
      <w:r>
        <w:rPr>
          <w:rFonts w:ascii="Inter" w:eastAsia="Inter"/>
          <w:color w:val="1E293B"/>
          <w:sz w:val="22"/>
          <w:szCs w:val="22"/>
        </w:rPr>
        <w:t xml:space="preserve">Refresh tokens must be bound to the issuing client (client_id) and tenant (tenant_id) to prevent cross-client or cross-tenant use.</w:t>
      </w:r>
    </w:p>
    <w:p>
      <w:pPr>
        <w:pStyle w:val="ListParagraph"/>
        <w:numPr>
          <w:ilvl w:val="0"/>
          <w:numId w:val="1"/>
        </w:numPr>
        <w:spacing w:after="60" w:line="312"/>
        <w:ind w:left="720" w:hanging="360"/>
      </w:pPr>
      <w:r>
        <w:rPr>
          <w:rFonts w:ascii="Inter" w:eastAsia="Inter"/>
          <w:color w:val="1E293B"/>
          <w:sz w:val="22"/>
          <w:szCs w:val="22"/>
        </w:rPr>
        <w:t xml:space="preserve">Family revocation must force re-authentication (MFA per ADR-072 if enabled).</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The authorization server (per ADR-062) is the sole issuer and validator of refresh tokens.</w:t>
      </w:r>
    </w:p>
    <w:p>
      <w:pPr>
        <w:pStyle w:val="ListParagraph"/>
        <w:numPr>
          <w:ilvl w:val="0"/>
          <w:numId w:val="1"/>
        </w:numPr>
        <w:spacing w:after="60" w:line="312"/>
        <w:ind w:left="720" w:hanging="360"/>
      </w:pPr>
      <w:r>
        <w:rPr>
          <w:rFonts w:ascii="Inter" w:eastAsia="Inter"/>
          <w:color w:val="1E293B"/>
          <w:sz w:val="22"/>
          <w:szCs w:val="22"/>
        </w:rPr>
        <w:t xml:space="preserve">The oauth_refresh_token table defined in ADR-062 is available for refresh-token metadata.</w:t>
      </w:r>
    </w:p>
    <w:p>
      <w:pPr>
        <w:pStyle w:val="ListParagraph"/>
        <w:numPr>
          <w:ilvl w:val="0"/>
          <w:numId w:val="1"/>
        </w:numPr>
        <w:spacing w:after="60" w:line="312"/>
        <w:ind w:left="720" w:hanging="360"/>
      </w:pPr>
      <w:r>
        <w:rPr>
          <w:rFonts w:ascii="Inter" w:eastAsia="Inter"/>
          <w:color w:val="1E293B"/>
          <w:sz w:val="22"/>
          <w:szCs w:val="22"/>
        </w:rPr>
        <w:t xml:space="preserve">The 7-day lifetime is acceptable to users (the rotation is transparent, so the user does not perceive the lifetime).</w:t>
      </w:r>
    </w:p>
    <w:p>
      <w:pPr>
        <w:pStyle w:val="ListParagraph"/>
        <w:numPr>
          <w:ilvl w:val="0"/>
          <w:numId w:val="1"/>
        </w:numPr>
        <w:spacing w:after="60" w:line="312"/>
        <w:ind w:left="720" w:hanging="360"/>
      </w:pPr>
      <w:r>
        <w:rPr>
          <w:rFonts w:ascii="Inter" w:eastAsia="Inter"/>
          <w:color w:val="1E293B"/>
          <w:sz w:val="22"/>
          <w:szCs w:val="22"/>
        </w:rPr>
        <w:t xml:space="preserve">Bcrypt hashing of refresh tokens is acceptable for storage (the hash is checked on every refresh, which is not on the hot path).</w:t>
      </w:r>
    </w:p>
    <w:p>
      <w:pPr>
        <w:pStyle w:val="ListParagraph"/>
        <w:numPr>
          <w:ilvl w:val="0"/>
          <w:numId w:val="1"/>
        </w:numPr>
        <w:spacing w:after="60" w:line="312"/>
        <w:ind w:left="720" w:hanging="360"/>
      </w:pPr>
      <w:r>
        <w:rPr>
          <w:rFonts w:ascii="Inter" w:eastAsia="Inter"/>
          <w:color w:val="1E293B"/>
          <w:sz w:val="22"/>
          <w:szCs w:val="22"/>
        </w:rPr>
        <w:t xml:space="preserve">The reuse-detection false-positive rate (legitimate user refreshing from two devices simultaneously) is acceptably low.</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Rotating refresh tokens with reuse detection and family revocation, 7-day lifetime, bcrypt-hashed storage.</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Detects theft within one rotation window. Recovers without password reset (family revocation forces re-auth). Transparent to user (rotation is automatic). OAuth 2.1 compliant.</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Rotation adds a database write per refresh. Reuse detection may produce false positives (simultaneous refreshes). Family revocation may annoy users (forced re-auth).</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Adopted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Non-rotating refresh tokens with 7-day lifetime (shorter than legacy 30-day).</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Simplest implementation. No rotation logic. No reuse detection. No family revocation.</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No theft detection. Stolen token is valid for 7 days. Violates the OAuth 2.1 security profile. Rejected by ARB as insufficient for the regulated education market.</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Rotating refresh tokens without reuse detection (rotation only).</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Detects theft if the legitimate user refreshes first (the stolen token is invalidated). Simpler than reuse detection.</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Does not detect theft if the attacker refreshes first (the legitimate user's token is invalidated, but the attacker has a fresh token). Attacker can maintain access indefinitely by refreshing before the user.</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Opaque refresh tokens with server-side session lookup and immediate revocation.</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Strongest revocation story (token is invalid the moment the session is deleted). No rotation logic.</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Server-side lookup on every refresh adds latency. Scales poorly. Does not solve the theft-detection problem (the attacker can refresh as long as the session is valid).</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Adopt a rotating refresh-token policy with reuse detection. Each refresh-token use issues a new refresh token and invalidates the old one (rotation). The invalidated token's hash is retained in the database for the family's lifetime. If an invalidated token is presented again (reuse), the authorization server detects the reuse and revokes the entire refresh-token family (all tokens derived from the same login), forcing the user to re-authenticate. Refresh tokens are 7 days lifetime, stored as bcrypt-hashed values, and bound to the issuing client_id and tenant_id. Family revocation forces re-authentication with MFA (per ADR-072) if the user has MFA enabled.</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The rotating-with-reuse-detection policy was chosen over the non-rotating and rotation-only policies because it is the only policy that detects refresh-token theft regardless of who refreshes first. The rotation-only policy detects theft only if the legitimate user refreshes first (the stolen token is invalidated); if the attacker refreshes first, the attacker has a fresh token and the legitimate user's token is invalidated, which the legitimate user may not notice (their next refresh fails, but they may attribute it to a network error). The reuse-detection policy catches this case: when the legitimate user tries to refresh with their (now-invalidated) token, the authorization server detects the reuse and revokes the entire family, including the attacker's fresh token.
The family-revocation behavior is the most important security property. A refresh-token family is the chain of tokens derived from a single login: the initial refresh token (issued at login) and all tokens derived from it via rotation. When reuse is detected, the entire family is revoked, which means the attacker's fresh token (which is in the family) is also revoked. The user is forced to re-authenticate, which establishes a new family. The attacker's access is terminated at the next refresh attempt (their token is in the revoked family). This is the OAuth 2.1 security profile recommendation and is the standard pattern for refresh-token theft detection.
The 7-day lifetime is aligned with ADR-070 and is the balance between security (shorter is better) and user experience (longer means fewer re-authentications). The rotation is transparent to the user (the frontend handles it automatically), so the lifetime is not perceived by the user; the user perceives only the re-authentication that happens every 7 days (or when the family is revoked). The 7-day re-authentication cadence is acceptable for a school platform used daily by teachers.
The bcrypt-hashed storage is the most important data-protection property. Refresh tokens are stored as bcrypt hashes in the oauth_refresh_token table, not as plaintext. A database compromise (e.g., via a SQL injection) does not expose usable refresh tokens, because bcrypt is a one-way hash with a per-token salt. The trade-off is that bcrypt verification (on every refresh) takes 100-200ms, which is acceptable because refresh is not on the hot path (it happens once every 15 minutes per user, when the access token expires). The bcrypt cost factor is set to 12, which is the current recommendation for online services.
The binding to client_id and tenant_id is the most important isolation property. A refresh token issued to client_id=web-app and tenant_id=tenant-A cannot be used with client_id=mobile-app or tenant_id=tenant-B. This prevents a compromised client (e.g., a malicious mobile app) from using a refresh token issued to a different client, and prevents a tenant-confusion attack (a refresh token from tenant A being used to access tenant B). The binding is checked on every refresh and is recorded in the token's metadata.
The reuse-detection false-positive scenario (legitimate user refreshing from two devices simultaneously) is the most contentious part of this ADR. If the user has the platform open in two browser tabs and both tabs refresh at the same time, the second refresh will present the now-invalidated token (the first refresh invalidated it), which triggers reuse detection and family revocation. This is a false positive (the user is not an attacker) and is annoying (the user is forced to re-authenticate in both tabs). The mitigation is the frontend's refresh coordination: the frontend uses a single refresh-token coordinate (via a shared lock or a tab_broadcast API) so that only one tab refreshes at a time, and the other tabs wait for the new token. This is a well-known pattern for SPAs and is implemented in the PreOne frontend's auth library. The false-positive rate with this coordination is under 0.01% of refreshes, which is acceptable.
The decision to force re-authentication with MFA on family revocation (if the user has MFA enabled) is driven by the principle that a family revocation indicates a possible theft, and the user should re-prove their identity with a fresh factor. The MFA step-up (per ADR-072) is the standard pattern for high-risk re-authentication. If the user does not have MFA enabled, the re-authentication is password-only, which is the legacy behavior.
The decision to retain invalidated tokens' hashes in the database for the family's lifetime (rather than deleting them) is driven by the reuse-detection requirement. The authorization server must be able to detect that a presented token is invalidated, which requires comparing the presented token's hash to the invalidated tokens' hashes. The retained hashes are deleted when the family expires (7 days after the last rotation) or is revoked, which bounds the storage cost. The oauth_refresh_token table grows by one row per refresh, which is projected to be 50k rows per day (one refresh per user per 15 minutes, with 50k active users); the table is partitioned by month and old partitions are archived per ADR-053.</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PREONE REFRESH TOKEN POLICY                         |
+-----------------------------------------------------------+
|  Login                                                    |
|  - Authz Server issues access + refresh (family F1)       |
|  - refresh token T1 stored as bcrypt(T1) in DB            |
+-----------------------------------------------------------+
            |
            v
  +---------------------------+
  | Refresh (legitimate)      |
  | - Client presents T1      |
  | - Authz Server validates  |
  |   bcrypt(T1) matches DB   |
  | - Issue new T2, invalidate|
  |   T1 (retain hash)        |
  | - T2 is in family F1      |
  +---------------------------+
            |
            v
  +---------------------------+
  | Refresh (attacker reuse)  |
  | - Attacker presents T1    |
  |   (already invalidated)   |
  | - Authz Server detects    |
  |   T1 is invalidated       |
  | - REUSE DETECTED          |
  | - Revoke entire family F1 |
  |   (T1, T2, all derived)   |
  | - Force user re-auth      |
  |   with MFA (ADR-072)      |
  +---------------------------+
            |
            v
  +---------------------------+
  | oauth_refresh_token table |
  | - token_hash (bcrypt)     |
  | - family_id (UUIDv7)      |
  | - client_id, tenant_id    |
  | - issued_at, expires_at   |
  | - status (ACTIVE|INVALID) |
  |   |REVOKED_FAMILY)        |
  +---------------------------+</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Client -&gt; Authz Server: POST /oauth2/token (grant=refresh, T1)
Authz Server -&gt; DB: Lookup bcrypt(T1)
DB -&gt; Authz Server: Match found, family F1, status ACTIVE
Authz Server -&gt; Reuse Check: T1 not in invalidated list
Reuse Check -&gt; Authz Server: No reuse
Authz Server -&gt; Token Issue: Issue new T2
Authz Server -&gt; DB: Update T1 status=INVALID
Authz Server -&gt; DB: Insert T2 (bcrypt, family F1, ACTIVE)
Authz Server -&gt; Client: New access + refresh (T2)
Note over Authz Server: Attacker presents T1 (invalidated):
Attacker -&gt; Authz Server: POST /oauth2/token (grant=refresh, T1)
Authz Server -&gt; DB: Lookup bcrypt(T1)
DB -&gt; Authz Server: Match found, status INVALID
Authz Server -&gt; Reuse Detection: REUSE DETECTED
Authz Server -&gt; DB: Update all F1 tokens status=REVOKED_FAMILY
Authz Server -&gt; Audit: Record REUSE_DETECTED event
Authz Server -&gt; Attacker: 401 Invalid token
Authz Server -&gt; Client (next refresh): 401 Family revoked, re-auth required
Client -&gt; Authz Server: Re-authenticate (with MFA per ADR-072)</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ADR-071 — Refresh Token Policy  -  Component View         |
+-------------------------------------------------------------+
|                                                             |
|  +----------------+        +----------------------+         |
|  | Auth Service   | issue  | Token Service        |         |
|  |                |-------&gt;| (JWT / Refresh /     |         |
|  +----------------+        |  Session)            |         |
|                              +----------+-----------+         |
|                                         |                     |
|                                         | verify              |
|                                         v                     |
|  +----------------+        +----------------------+         |
|  | API Gateway    |  recv  | Token Validator      |         |
|  |                |-------&gt;| (signature + exp)    |         |
|  +----------------+        +----------+-----------+         |
|                                       |                     |
|                                       | cache (Redis)       |
|                                       v                     |
|  +----------------+        +----------------------+         |
|  | Session Store  |  CRUD  | Redis                |         |
|  |                |-------&gt;| (active sessions)    |         |
|  +----------------+        +----------------------+         |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Token Lifecycle Flow:
  Auth Service -&gt; JWT Issuer: create (header.payload.signature)
  JWT Issuer -&gt; Client: access token (15min) + refresh token (30d)
  Client -&gt; API: Bearer token in header
  API -&gt; Token Validator: verify signature + expiry
  (valid) API -&gt; App: process request
  (expired) API -&gt; Client: 401 (trigger refresh)
Session Flow:
  Auth Service -&gt; Session Store (Redis): create session
  Client -&gt; API: Bearer + session cookie
  API -&gt; Session Store: validate active
  (logout) API -&gt; Session Store: delete session
  API -&gt; Audit: log 'SESSION_TERMINATED'</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The oauth_refresh_token table defined in ADR-062 is extended with columns family_id (UUIDv7, identifying the family), status (enum: ACTIVE, INVALID, REVOKED_FAMILY), and rotated_from (FK to the previous token's id, for chain reconstruction). The token_hash column stores the bcrypt hash of the refresh token. The table is indexed on (token_hash) for the refresh lookup, (family_id, status) for the family-revocation update, and (expires_at) for the cleanup job. The table is partitioned by month, with old partitions archived per ADR-053. The projected growth is 50k rows per day (one refresh per user per 15 minutes, with 50k active users), which is 1.5M rows per month; the monthly partitions keep individual partitions under 2M rows, which is well within PostgreSQL's comfort zone. The bcrypt hash column is 60 bytes per row, so the table's storage is approximately 90MB per month, which is negligible.</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The /oauth2/token endpoint (per ADR-062) is extended to handle the refresh-token grant with rotation and reuse detection. The response includes a new refresh token (in addition to the new access token) on every refresh, which the frontend must store and use for the next refresh. The frontend's auth library is updated to handle the rotation transparently: it replaces the stored refresh token with the new one on every refresh, and it coordinates refreshes across tabs (via a shared lock or tab_broadcast API) to avoid the simultaneous-refresh false positive. The /oauth2/revoke endpoint (per ADR-070) is extended to accept a family_id and revoke the entire family, which is used by the reuse-detection mechanism and by the user-facing logout-all-devices feature.</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JWT and session management are largely invisible to end users. The UI maintains session via HTTP-only cookies (for web) and bearer tokens (for API). When an access token expires, the UI transparently refreshes it (via the refresh token) without user interaction; if the refresh token is also expired, the UI redirects to login with a 'Your session has expired. Please log in again.' message. The 'Account' page includes an 'Active Sessions' panel showing the user's active sessions (device, IP, last active) with a 'Revoke' button per session — useful for logging out of a forgotten device. JWT expiry is tuned to balance security (short expiry) and UX (no frequent re-login).</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The rotating-with-reuse-detection policy is the critical security improvement over the legacy non-rotating policy. A stolen refresh token is detected within one rotation window (the next time the legitimate user refreshes), and the attacker's access is terminated at that point. The family-revocation behavior ensures that the attacker's fresh token (if they refreshed first) is also revoked, which is the only way to recover from an attacker-first theft. The bcrypt-hashed storage protects against database compromise: a SQL injection that exfiltrates the oauth_refresh_token table does not expose usable refresh tokens. The client_id and tenant_id binding prevents cross-client and cross-tenant refresh-token use, which closes a class of attacks that the legacy policy allowed. The forced MFA re-authentication on family revocation (per ADR-072) ensures that the user re-proves their identity after a possible theft, which is the defense-in-depth measure. The net effect is a refresh-token policy that detects and recovers from theft, which is the OAuth 2.1 security profile recommendation.</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The refresh-token policy adds a bcrypt verification (100-200ms) and a database write (rotation) to every refresh, which is acceptable because refresh is not on the hot path (it happens once every 15 minutes per user). The reuse-detection check is a database lookup (under 5ms) and is performed on every refresh. The family-revocation update is a batch update (under 50ms for a typical family of 10-20 tokens) and is performed only on reuse detection (rare). The overall impact on the token endpoint's p99 latency is an increase from 50ms (legacy, no rotation) to 250ms (with rotation and reuse detection), which is acceptable for a non-hot-path operation. The impact on the hot path (API request validation) is zero, because the refresh-token policy does not affect access-token validation.</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The refresh-token policy scales with the refresh rate, projected to peak at 5,000 refreshes per second (50k active users refreshing every 15 minutes, with peak concurrency during class transitions). The bcrypt verification (100-200ms each) is the bottleneck, requiring approximately 1,000 CPU-seconds per second of refreshes at peak, which is handled by the authorization server's 10-replica deployment (per ADR-062) with headroom. The database write (rotation) is a single-row update, which is well within PostgreSQL's capacity. The oauth_refresh_token table's growth (1.5M rows per month) is managed by monthly partitioning and archival (per ADR-053). No architectural ceiling is anticipated within the three-year planning horizon.</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The refresh-token policy is deployed as part of the authorization server (per ADR-062). The on-call runbook covers four failure modes: database unavailable (refresh fails, users forced to re-authenticate, alert; existing access tokens remain valid until expiry), bcrypt verification slow (refresh latency elevates, alert; consider reducing bcrypt cost factor if persistent), reuse-detection false positive (user is forced to re-authenticate, alert; investigate the frontend's refresh coordination), and family-revocation storm (many families revoked in a short window, alert; possible attack or frontend bug). The frontend's refresh-coordination library is the primary mitigation for false positives; it is tested in the quarterly game-day with a simulated simultaneous-refresh scenario. The refresh-token policy has a dedicated dashboard showing refresh rate, rotation rate, reuse-detection rate, and family-revocation rate.</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Reuse-detection false positive (simultaneous refresh from two tabs) forces legitimate user to re-authenticate.</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Frontend refresh-coordination library prevents simultaneous refreshes. False-positive rate under 0.01% with coordination. User education on tab management.</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Attacker refreshes first and maintains access indefinitely by refreshing before the user.</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Reuse detection catches this case: the user's next refresh presents an invalidated token, triggering family revocation (which revokes the attacker's fresh token).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Bcrypt verification (100-200ms) elevates token-endpoint latency beyond acceptable bounds.</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Token endpoint is not on the hot path. 10-replica deployment handles the load. Bcrypt cost factor can be reduced if persistent (trade-off with hash strength).</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Family-revocation storm (many families revoked in a short window) indicates an attack or a frontend bug.</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Monitoring alerts on family-revocation rate. Rate-limiting on re-authentication to prevent DoS. Frontend bug investigation procedure documented.</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Rotating refresh tokens detect theft within one rotation window.</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Rotation adds a database write per refresh (acceptable, non-hot-path).</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Reuse detection revokes the entire family, recovering from attacker-first theft.</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Family revocation forces re-authentication, which may annoy users (mitigated by MFA step-up).</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Bcrypt-hashed storage protects against database compromise.</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Bcrypt verification adds 100-200ms to each refresh (acceptable, non-hot-path).</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Client and tenant binding prevents cross-client and cross-tenant refresh use.</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Cross-device refresh requires the frontend to coordinate refreshes, adding frontend complexity.</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The non-rotating policy was rejected because it has no theft detection and a 7-day exposure window for stolen tokens, which violates the OAuth 2.1 security profile. The rotation-only policy (without reuse detection) was rejected because it does not detect attacker-first theft: the attacker refreshes first, gets a fresh token, and the legitimate user's token is invalidated without triggering an alarm; the attacker maintains access indefinitely by refreshing before the user. The opaque-token policy was rejected because the server-side lookup on every refresh adds latency and does not solve the theft-detection problem (the attacker can refresh as long as the session is valid). The full reasoning is captured in the Options Considered table.</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Migration is phased over one quarter, alongside the authentication-stack migration (per ADR-062). Phase 1 (weeks 1-3): deploy the rotating-with-reuse-detection policy in shadow mode (rotation happens, but reuse detection does not revoke; it only logs). Phase 2 (weeks 4-6): enable reuse detection for a pilot group of 10 tenants; validate the false-positive rate and the family-revocation behavior. Phase 3 (weeks 7-9): enable reuse detection for all tenants; the legacy non-rotating refresh tokens are migrated to the new policy on next refresh (the legacy token becomes the first token in a new family). Phase 4 (weeks 10-12): the legacy non-rotating policy is removed; all refresh tokens follow the new policy. Phase 5 (week 13): the shadow-mode logging is removed. Rollback is possible at any point by disabling reuse detection (rotation continues, but reuse does not trigger family revocation); the legacy non-rotating policy cannot be restored because the database schema has changed.</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The refresh-token policy is tested at four levels. Unit tests cover the rotation logic, the reuse detection, the family revocation, and the bcrypt hashing; coverage target is 95%. Integration tests cover the refresh flow (rotation, reuse detection, family revocation), the client and tenant binding, and the frontend's refresh-coordination library. End-to-end tests cover the full login -&gt; refresh -&gt; reuse-detection -&gt; family-revocation -&gt; re-authentication path. Security tests cover the theft scenarios (user-first, attacker-first, simultaneous), the bcrypt-hash protection (database compromise does not expose usable tokens), and the binding enforcement (cross-client and cross-tenant refresh attempts are rejected). Performance tests cover the refresh rate at projected peak (5,000 per second). The acceptance criterion is zero false-positive family revocations during the shadow-mode period and zero theft-undetected incidents in the post-cutover penetration test.</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Six golden signals are monitored. (1) Refresh rate: target under 5,000 per second, alert above 10,000. (2) Rotation rate: target equal to refresh rate (every refresh rotates), alert on mismatch (rotation bug). (3) Reuse-detection rate: target under 0.01% of refreshes (false positives), alert above 0.1% (frontend coordination issue or attack). (4) Family-revocation rate: target under 0.001% of refreshes, alert above 0.01% (possible attack or bug). (5) Refresh latency p99: target under 500ms (including bcrypt), alert above 1,000ms. (6) bcrypt verification latency p99: target under 200ms, alert above 500ms (may need cost-factor reduction). A dedicated refresh-token dashboard surfaces these alongside the per-tenant refresh rate, the family-size distribution, and the reuse-detection false-positive breakdown. Anomaly detection (per ADR-088) flags unusual refresh patterns (refresh spikes, reuse-detection bursts, family-revocation storms).</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The refresh-token policy is expected to evolve in three directions. First, the bcrypt hashing may migrate to argon2id (per ADR-075) for stronger protection against GPU-based attacks; the trigger is the password-policy migration to argon2id. Second, the refresh-token lifetime may be reduced to 1 day for high-risk principals (e.g., administrators) as a risk-based policy; this is monitored but not planned for v1. Third, the refresh-token may add a proof-of-possession mechanism (e.g., DPoP) to make stolen refresh tokens unusable without the client's private key; this is a larger change and would require its own ADR.</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ADR-061 - Identity Model (provides principal_id for the refresh token)</w:t>
      </w:r>
    </w:p>
    <w:p>
      <w:pPr>
        <w:pStyle w:val="ListParagraph"/>
        <w:numPr>
          <w:ilvl w:val="0"/>
          <w:numId w:val="1"/>
        </w:numPr>
        <w:spacing w:after="60" w:line="312"/>
        <w:ind w:left="720" w:hanging="360"/>
      </w:pPr>
      <w:r>
        <w:rPr>
          <w:rFonts w:ascii="Inter" w:eastAsia="Inter"/>
          <w:color w:val="1E293B"/>
          <w:sz w:val="22"/>
          <w:szCs w:val="22"/>
        </w:rPr>
        <w:t xml:space="preserve">ADR-062 - Authentication (the authorization server issues refresh tokens)</w:t>
      </w:r>
    </w:p>
    <w:p>
      <w:pPr>
        <w:pStyle w:val="ListParagraph"/>
        <w:numPr>
          <w:ilvl w:val="0"/>
          <w:numId w:val="1"/>
        </w:numPr>
        <w:spacing w:after="60" w:line="312"/>
        <w:ind w:left="720" w:hanging="360"/>
      </w:pPr>
      <w:r>
        <w:rPr>
          <w:rFonts w:ascii="Inter" w:eastAsia="Inter"/>
          <w:color w:val="1E293B"/>
          <w:sz w:val="22"/>
          <w:szCs w:val="22"/>
        </w:rPr>
        <w:t xml:space="preserve">ADR-070 - JWT Policy (access-token format and lifetime, aligned with refresh-token lifetime)</w:t>
      </w:r>
    </w:p>
    <w:p>
      <w:pPr>
        <w:pStyle w:val="ListParagraph"/>
        <w:numPr>
          <w:ilvl w:val="0"/>
          <w:numId w:val="1"/>
        </w:numPr>
        <w:spacing w:after="60" w:line="312"/>
        <w:ind w:left="720" w:hanging="360"/>
      </w:pPr>
      <w:r>
        <w:rPr>
          <w:rFonts w:ascii="Inter" w:eastAsia="Inter"/>
          <w:color w:val="1E293B"/>
          <w:sz w:val="22"/>
          <w:szCs w:val="22"/>
        </w:rPr>
        <w:t xml:space="preserve">ADR-072 - MFA (step-up authentication on family revocation)</w:t>
      </w:r>
    </w:p>
    <w:p>
      <w:pPr>
        <w:pStyle w:val="ListParagraph"/>
        <w:numPr>
          <w:ilvl w:val="0"/>
          <w:numId w:val="1"/>
        </w:numPr>
        <w:spacing w:after="60" w:line="312"/>
        <w:ind w:left="720" w:hanging="360"/>
      </w:pPr>
      <w:r>
        <w:rPr>
          <w:rFonts w:ascii="Inter" w:eastAsia="Inter"/>
          <w:color w:val="1E293B"/>
          <w:sz w:val="22"/>
          <w:szCs w:val="22"/>
        </w:rPr>
        <w:t xml:space="preserve">ADR-073 - Device Binding (device-bound refresh tokens for high-risk clients)</w:t>
      </w:r>
    </w:p>
    <w:p>
      <w:pPr>
        <w:pStyle w:val="ListParagraph"/>
        <w:numPr>
          <w:ilvl w:val="0"/>
          <w:numId w:val="1"/>
        </w:numPr>
        <w:spacing w:after="60" w:line="312"/>
        <w:ind w:left="720" w:hanging="360"/>
      </w:pPr>
      <w:r>
        <w:rPr>
          <w:rFonts w:ascii="Inter" w:eastAsia="Inter"/>
          <w:color w:val="1E293B"/>
          <w:sz w:val="22"/>
          <w:szCs w:val="22"/>
        </w:rPr>
        <w:t xml:space="preserve">ADR-074 - Session Management (session lifecycle tied to refresh-token family)</w:t>
      </w:r>
    </w:p>
    <w:p>
      <w:pPr>
        <w:pStyle w:val="ListParagraph"/>
        <w:numPr>
          <w:ilvl w:val="0"/>
          <w:numId w:val="1"/>
        </w:numPr>
        <w:spacing w:after="60" w:line="312"/>
        <w:ind w:left="720" w:hanging="360"/>
      </w:pPr>
      <w:r>
        <w:rPr>
          <w:rFonts w:ascii="Inter" w:eastAsia="Inter"/>
          <w:color w:val="1E293B"/>
          <w:sz w:val="22"/>
          <w:szCs w:val="22"/>
        </w:rPr>
        <w:t xml:space="preserve">ADR-078 - Secrets Management (bcrypt cost factor and hashing configuration)</w:t>
      </w:r>
    </w:p>
    <w:p>
      <w:pPr>
        <w:pStyle w:val="ListParagraph"/>
        <w:numPr>
          <w:ilvl w:val="0"/>
          <w:numId w:val="1"/>
        </w:numPr>
        <w:spacing w:after="60" w:line="312"/>
        <w:ind w:left="720" w:hanging="360"/>
      </w:pPr>
      <w:r>
        <w:rPr>
          <w:rFonts w:ascii="Inter" w:eastAsia="Inter"/>
          <w:color w:val="1E293B"/>
          <w:sz w:val="22"/>
          <w:szCs w:val="22"/>
        </w:rPr>
        <w:t xml:space="preserve">ADR-086 - Audit Trail (records refresh, rotation, reuse, and family-revocation events)</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RFC 6749 - The OAuth 2.0 Authorization Framework, Section 10.4 (Refresh Token Theft). IETF. 2012.</w:t>
      </w:r>
    </w:p>
    <w:p>
      <w:pPr>
        <w:pStyle w:val="ListParagraph"/>
        <w:numPr>
          <w:ilvl w:val="0"/>
          <w:numId w:val="1"/>
        </w:numPr>
        <w:spacing w:after="60" w:line="312"/>
        <w:ind w:left="720" w:hanging="360"/>
      </w:pPr>
      <w:r>
        <w:rPr>
          <w:rFonts w:ascii="Inter" w:eastAsia="Inter"/>
          <w:color w:val="1E293B"/>
          <w:sz w:val="22"/>
          <w:szCs w:val="22"/>
        </w:rPr>
        <w:t xml:space="preserve">OAuth 2.1, RFC Draft, Section on Refresh Token Rotation. IETF. 2024.</w:t>
      </w:r>
    </w:p>
    <w:p>
      <w:pPr>
        <w:pStyle w:val="ListParagraph"/>
        <w:numPr>
          <w:ilvl w:val="0"/>
          <w:numId w:val="1"/>
        </w:numPr>
        <w:spacing w:after="60" w:line="312"/>
        <w:ind w:left="720" w:hanging="360"/>
      </w:pPr>
      <w:r>
        <w:rPr>
          <w:rFonts w:ascii="Inter" w:eastAsia="Inter"/>
          <w:color w:val="1E293B"/>
          <w:sz w:val="22"/>
          <w:szCs w:val="22"/>
        </w:rPr>
        <w:t xml:space="preserve">RFC 6819 - OAuth 2.0 Threat Model and Security Considerations. IETF. 2013.</w:t>
      </w:r>
    </w:p>
    <w:p>
      <w:pPr>
        <w:pStyle w:val="ListParagraph"/>
        <w:numPr>
          <w:ilvl w:val="0"/>
          <w:numId w:val="1"/>
        </w:numPr>
        <w:spacing w:after="60" w:line="312"/>
        <w:ind w:left="720" w:hanging="360"/>
      </w:pPr>
      <w:r>
        <w:rPr>
          <w:rFonts w:ascii="Inter" w:eastAsia="Inter"/>
          <w:color w:val="1E293B"/>
          <w:sz w:val="22"/>
          <w:szCs w:val="22"/>
        </w:rPr>
        <w:t xml:space="preserve">OWASP OAuth 2.0 Cheat Sheet, Refresh Token section. OWASP Foundation. 2024.</w:t>
      </w:r>
    </w:p>
    <w:p>
      <w:pPr>
        <w:pStyle w:val="ListParagraph"/>
        <w:numPr>
          <w:ilvl w:val="0"/>
          <w:numId w:val="1"/>
        </w:numPr>
        <w:spacing w:after="60" w:line="312"/>
        <w:ind w:left="720" w:hanging="360"/>
      </w:pPr>
      <w:r>
        <w:rPr>
          <w:rFonts w:ascii="Inter" w:eastAsia="Inter"/>
          <w:color w:val="1E293B"/>
          <w:sz w:val="22"/>
          <w:szCs w:val="22"/>
        </w:rPr>
        <w:t xml:space="preserve">PreOne Engineering Handbook, Section 4.11 - Refresh Token Policy. Internal. 2025.</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2025-08-01</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Platform Security Architect</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options enumerated; consultation with security and engineering teams</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2025-09-17</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Platform Security Architect</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Architecture Review Board after cross-team review</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2025-10-15</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published to architecture repository</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2026-07-15</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cross-references to Vol 1-3 ADRs added; 34-section template applied</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Platform Security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Authentication Platform Lead</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Architecture Review Board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ADR published to architecture repository (Done)</w:t>
      </w:r>
    </w:p>
    <w:p>
      <w:pPr>
        <w:pStyle w:val="ListParagraph"/>
        <w:numPr>
          <w:ilvl w:val="0"/>
          <w:numId w:val="1"/>
        </w:numPr>
        <w:spacing w:after="60" w:line="312"/>
        <w:ind w:left="720" w:hanging="360"/>
      </w:pPr>
      <w:r>
        <w:rPr>
          <w:rFonts w:ascii="Inter" w:eastAsia="Inter"/>
          <w:color w:val="1E293B"/>
          <w:sz w:val="22"/>
          <w:szCs w:val="22"/>
        </w:rPr>
        <w:t xml:space="preserve">Cross-references to upstream/downstream artefacts added (Done)</w:t>
      </w:r>
    </w:p>
    <w:p>
      <w:pPr>
        <w:pStyle w:val="ListParagraph"/>
        <w:numPr>
          <w:ilvl w:val="0"/>
          <w:numId w:val="1"/>
        </w:numPr>
        <w:spacing w:after="60" w:line="312"/>
        <w:ind w:left="720" w:hanging="360"/>
      </w:pPr>
      <w:r>
        <w:rPr>
          <w:rFonts w:ascii="Inter" w:eastAsia="Inter"/>
          <w:color w:val="1E293B"/>
          <w:sz w:val="22"/>
          <w:szCs w:val="22"/>
        </w:rPr>
        <w:t xml:space="preserve">Security team briefed in monthly architecture sync (Done)</w:t>
      </w:r>
    </w:p>
    <w:p>
      <w:pPr>
        <w:pStyle w:val="ListParagraph"/>
        <w:numPr>
          <w:ilvl w:val="0"/>
          <w:numId w:val="1"/>
        </w:numPr>
        <w:spacing w:after="60" w:line="312"/>
        <w:ind w:left="720" w:hanging="360"/>
      </w:pPr>
      <w:r>
        <w:rPr>
          <w:rFonts w:ascii="Inter" w:eastAsia="Inter"/>
          <w:color w:val="1E293B"/>
          <w:sz w:val="22"/>
          <w:szCs w:val="22"/>
        </w:rPr>
        <w:t xml:space="preserve">Code review checklist updated to enforce this ADR (Done)</w:t>
      </w:r>
    </w:p>
    <w:p>
      <w:pPr>
        <w:pStyle w:val="ListParagraph"/>
        <w:numPr>
          <w:ilvl w:val="0"/>
          <w:numId w:val="1"/>
        </w:numPr>
        <w:spacing w:after="60" w:line="312"/>
        <w:ind w:left="720" w:hanging="360"/>
      </w:pPr>
      <w:r>
        <w:rPr>
          <w:rFonts w:ascii="Inter" w:eastAsia="Inter"/>
          <w:color w:val="1E293B"/>
          <w:sz w:val="22"/>
          <w:szCs w:val="22"/>
        </w:rPr>
        <w:t xml:space="preserve">On-call runbook updated with operational procedures (Done)</w:t>
      </w:r>
    </w:p>
    <w:p>
      <w:pPr>
        <w:pStyle w:val="ListParagraph"/>
        <w:numPr>
          <w:ilvl w:val="0"/>
          <w:numId w:val="1"/>
        </w:numPr>
        <w:spacing w:after="60" w:line="312"/>
        <w:ind w:left="720" w:hanging="360"/>
      </w:pPr>
      <w:r>
        <w:rPr>
          <w:rFonts w:ascii="Inter" w:eastAsia="Inter"/>
          <w:color w:val="1E293B"/>
          <w:sz w:val="22"/>
          <w:szCs w:val="22"/>
        </w:rPr>
        <w:t xml:space="preserve">JWT issuance with RS256 signature (Done)</w:t>
      </w:r>
    </w:p>
    <w:p>
      <w:pPr>
        <w:pStyle w:val="ListParagraph"/>
        <w:numPr>
          <w:ilvl w:val="0"/>
          <w:numId w:val="1"/>
        </w:numPr>
        <w:spacing w:after="60" w:line="312"/>
        <w:ind w:left="720" w:hanging="360"/>
      </w:pPr>
      <w:r>
        <w:rPr>
          <w:rFonts w:ascii="Inter" w:eastAsia="Inter"/>
          <w:color w:val="1E293B"/>
          <w:sz w:val="22"/>
          <w:szCs w:val="22"/>
        </w:rPr>
        <w:t xml:space="preserve">Refresh token rotation + reuse detection (Done)</w:t>
      </w:r>
    </w:p>
    <w:p>
      <w:pPr>
        <w:pStyle w:val="ListParagraph"/>
        <w:numPr>
          <w:ilvl w:val="0"/>
          <w:numId w:val="1"/>
        </w:numPr>
        <w:spacing w:after="60" w:line="312"/>
        <w:ind w:left="720" w:hanging="360"/>
      </w:pPr>
      <w:r>
        <w:rPr>
          <w:rFonts w:ascii="Inter" w:eastAsia="Inter"/>
          <w:color w:val="1E293B"/>
          <w:sz w:val="22"/>
          <w:szCs w:val="22"/>
        </w:rPr>
        <w:t xml:space="preserve">Session Store (Redis) deployed (Done)</w:t>
      </w:r>
    </w:p>
    <w:p>
      <w:pPr>
        <w:pStyle w:val="ListParagraph"/>
        <w:numPr>
          <w:ilvl w:val="0"/>
          <w:numId w:val="1"/>
        </w:numPr>
        <w:spacing w:after="60" w:line="312"/>
        <w:ind w:left="720" w:hanging="360"/>
      </w:pPr>
      <w:r>
        <w:rPr>
          <w:rFonts w:ascii="Inter" w:eastAsia="Inter"/>
          <w:color w:val="1E293B"/>
          <w:sz w:val="22"/>
          <w:szCs w:val="22"/>
        </w:rPr>
        <w:t xml:space="preserve">Token validation in API Gateway (Done)</w:t>
      </w:r>
    </w:p>
    <w:p>
      <w:pPr>
        <w:pStyle w:val="ListParagraph"/>
        <w:numPr>
          <w:ilvl w:val="0"/>
          <w:numId w:val="1"/>
        </w:numPr>
        <w:spacing w:after="60" w:line="312"/>
        <w:ind w:left="720" w:hanging="360"/>
      </w:pPr>
      <w:r>
        <w:rPr>
          <w:rFonts w:ascii="Inter" w:eastAsia="Inter"/>
          <w:color w:val="1E293B"/>
          <w:sz w:val="22"/>
          <w:szCs w:val="22"/>
        </w:rPr>
        <w:t xml:space="preserve">Active Sessions UI panel (Done)</w:t>
      </w:r>
    </w:p>
    <w:p>
      <w:pPr>
        <w:pStyle w:val="ListParagraph"/>
        <w:numPr>
          <w:ilvl w:val="0"/>
          <w:numId w:val="1"/>
        </w:numPr>
        <w:spacing w:after="60" w:line="312"/>
        <w:ind w:left="720" w:hanging="360"/>
      </w:pPr>
      <w:r>
        <w:rPr>
          <w:rFonts w:ascii="Inter" w:eastAsia="Inter"/>
          <w:color w:val="1E293B"/>
          <w:sz w:val="22"/>
          <w:szCs w:val="22"/>
        </w:rPr>
        <w:t xml:space="preserve">Quarterly JWT secret rotation runbook (Scheduled)</w:t>
      </w:r>
    </w:p>
    <w:p>
      <w:pPr>
        <w:spacing w:after="60" w:before="360" w:line="280"/>
      </w:pPr>
      <w:r>
        <w:rPr>
          <w:rFonts w:ascii="Inter" w:eastAsia="Inter"/>
          <w:b/>
          <w:bCs/>
          <w:color w:val="4F46E5"/>
          <w:spacing w:val="60"/>
          <w:sz w:val="22"/>
          <w:szCs w:val="22"/>
        </w:rPr>
        <w:t xml:space="preserve">ADR-072</w:t>
      </w:r>
    </w:p>
    <w:p>
      <w:pPr>
        <w:pStyle w:val="Heading1"/>
        <w:spacing w:after="200" w:before="60" w:line="312"/>
      </w:pPr>
      <w:r>
        <w:rPr>
          <w:rFonts w:ascii="Inter" w:eastAsia="Inter"/>
          <w:b/>
          <w:bCs/>
          <w:color w:val="0F172A"/>
          <w:sz w:val="36"/>
          <w:szCs w:val="36"/>
        </w:rPr>
        <w:t xml:space="preserve">MFA</w:t>
      </w:r>
    </w:p>
    <w:p>
      <w:pPr>
        <w:spacing w:after="120" w:line="280"/>
      </w:pPr>
      <w:r>
        <w:rPr>
          <w:rFonts w:ascii="Inter" w:eastAsia="Inter"/>
          <w:color w:val="64748B"/>
          <w:sz w:val="20"/>
          <w:szCs w:val="20"/>
        </w:rPr>
        <w:t xml:space="preserve">Volume 4 — Security Architecture  -  </w:t>
      </w:r>
      <w:r>
        <w:rPr>
          <w:rFonts w:ascii="Inter" w:eastAsia="Inter"/>
          <w:color w:val="64748B"/>
          <w:sz w:val="20"/>
          <w:szCs w:val="20"/>
        </w:rPr>
        <w:t xml:space="preserve">Identity &amp; Security</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Adopt a multi-factor authentication (MFA) system that supports TOTP (RFC 6238) as the default second factor and WebAuthn (CTAP2) as the phishing-resistant option for high-risk principals. MFA is enforced risk-based: required for administrators and any principal with access to PII, optional for other principals, and triggered as step-up for high-risk operations (e.g., changing bank details, exporting student records). MFA factors are stored per-principal and can be enrolled, used, and revoked via the MFA API.</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Platform Security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review, or on security incident, or on cryptography standard update</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refreshes for series alignment and cross-references)</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The legacy platform has no MFA support. Teachers and administrators have requested MFA since 2024, and the 2025 Q3 security review identified the absence of MFA as a significant gap for the regulated education market. GDPR Article 32, COPPA verifiable parental consent, and DPDP Section 8 all recommend MFA for any principal with access to PII, and the 2026 international expansion requires MFA for administrators as a contractual obligation in several target markets.
The ARB considered four MFA strategies. The first is no MFA, which is rejected as insufficient for the regulated market. The second is SMS-based OTP, which is rejected as insecure (SIM swapping attacks, SS7 vulnerabilities, and delivery latency make SMS unsuitable for security). The third is TOTP (RFC 6238) as the sole second factor, which is rejected because TOTP is vulnerable to phishing (a fake login page can capture the TOTP and replay it). The fourth is TOTP as the default with WebAuthn as the phishing-resistant option, which is selected because it balances usability (TOTP is universally supported) with security (WebAuthn is phishing-resistant).
This ADR defines the MFA system. The authentication stack (which invokes MFA) is defined in ADR-062. The step-up token (issued after MFA) is defined in ADR-070. This ADR defines the factor types, the enrollment flow, the verification flow, the risk-based enforcement, and the revocation flow.</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The 2026 international expansion requires MFA for administrators as a contractual obligation in EU and Indian target markets. The business also requires that MFA be optional (not mandatory) for teachers and students, to avoid onboarding friction in markets where MFA is not yet expected. Finally, the business requires that high-risk operations (e.g., changing bank details, exporting student records) trigger step-up MFA regardless of the principal's default MFA setting, which drives the risk-based enforcement design.</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The legacy platform has no MFA support, which is a significant gap for the regulated education market. PreOne needs an MFA system that supports TOTP as the default second factor and WebAuthn as the phishing-resistant option, with risk-based enforcement (required for administrators and PII-access principals, optional for others, step-up for high-risk operations).</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MFA must support TOTP (RFC 6238) as the default second factor, with authenticator apps (Google Authenticator, Authy, 1Password).</w:t>
      </w:r>
    </w:p>
    <w:p>
      <w:pPr>
        <w:pStyle w:val="ListParagraph"/>
        <w:numPr>
          <w:ilvl w:val="0"/>
          <w:numId w:val="1"/>
        </w:numPr>
        <w:spacing w:after="60" w:line="312"/>
        <w:ind w:left="720" w:hanging="360"/>
      </w:pPr>
      <w:r>
        <w:rPr>
          <w:rFonts w:ascii="Inter" w:eastAsia="Inter"/>
          <w:color w:val="1E293B"/>
          <w:sz w:val="22"/>
          <w:szCs w:val="22"/>
        </w:rPr>
        <w:t xml:space="preserve">MFA must support WebAuthn (CTAP2) as the phishing-resistant option, with platform authenticators (Touch ID, Windows Hello) and roaming authenticators (YubiKey).</w:t>
      </w:r>
    </w:p>
    <w:p>
      <w:pPr>
        <w:pStyle w:val="ListParagraph"/>
        <w:numPr>
          <w:ilvl w:val="0"/>
          <w:numId w:val="1"/>
        </w:numPr>
        <w:spacing w:after="60" w:line="312"/>
        <w:ind w:left="720" w:hanging="360"/>
      </w:pPr>
      <w:r>
        <w:rPr>
          <w:rFonts w:ascii="Inter" w:eastAsia="Inter"/>
          <w:color w:val="1E293B"/>
          <w:sz w:val="22"/>
          <w:szCs w:val="22"/>
        </w:rPr>
        <w:t xml:space="preserve">MFA must be risk-based: required for administrators and PII-access principals, optional for others, step-up for high-risk operations.</w:t>
      </w:r>
    </w:p>
    <w:p>
      <w:pPr>
        <w:pStyle w:val="ListParagraph"/>
        <w:numPr>
          <w:ilvl w:val="0"/>
          <w:numId w:val="1"/>
        </w:numPr>
        <w:spacing w:after="60" w:line="312"/>
        <w:ind w:left="720" w:hanging="360"/>
      </w:pPr>
      <w:r>
        <w:rPr>
          <w:rFonts w:ascii="Inter" w:eastAsia="Inter"/>
          <w:color w:val="1E293B"/>
          <w:sz w:val="22"/>
          <w:szCs w:val="22"/>
        </w:rPr>
        <w:t xml:space="preserve">MFA factors must be stored per-principal and can be enrolled, used, and revoked via the MFA API.</w:t>
      </w:r>
    </w:p>
    <w:p>
      <w:pPr>
        <w:pStyle w:val="ListParagraph"/>
        <w:numPr>
          <w:ilvl w:val="0"/>
          <w:numId w:val="1"/>
        </w:numPr>
        <w:spacing w:after="60" w:line="312"/>
        <w:ind w:left="720" w:hanging="360"/>
      </w:pPr>
      <w:r>
        <w:rPr>
          <w:rFonts w:ascii="Inter" w:eastAsia="Inter"/>
          <w:color w:val="1E293B"/>
          <w:sz w:val="22"/>
          <w:szCs w:val="22"/>
        </w:rPr>
        <w:t xml:space="preserve">MFA verification must complete in under 5 seconds at p99 (TOTP is local; WebAuthn is interactive).</w:t>
      </w:r>
    </w:p>
    <w:p>
      <w:pPr>
        <w:pStyle w:val="ListParagraph"/>
        <w:numPr>
          <w:ilvl w:val="0"/>
          <w:numId w:val="1"/>
        </w:numPr>
        <w:spacing w:after="60" w:line="312"/>
        <w:ind w:left="720" w:hanging="360"/>
      </w:pPr>
      <w:r>
        <w:rPr>
          <w:rFonts w:ascii="Inter" w:eastAsia="Inter"/>
          <w:color w:val="1E293B"/>
          <w:sz w:val="22"/>
          <w:szCs w:val="22"/>
        </w:rPr>
        <w:t xml:space="preserve">MFA must support backup codes (one-time use) for account recovery when the primary factor is lost.</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The authentication stack (per ADR-062) provides the plug-in point for MFA via a pluggable AuthenticationProvider.</w:t>
      </w:r>
    </w:p>
    <w:p>
      <w:pPr>
        <w:pStyle w:val="ListParagraph"/>
        <w:numPr>
          <w:ilvl w:val="0"/>
          <w:numId w:val="1"/>
        </w:numPr>
        <w:spacing w:after="60" w:line="312"/>
        <w:ind w:left="720" w:hanging="360"/>
      </w:pPr>
      <w:r>
        <w:rPr>
          <w:rFonts w:ascii="Inter" w:eastAsia="Inter"/>
          <w:color w:val="1E293B"/>
          <w:sz w:val="22"/>
          <w:szCs w:val="22"/>
        </w:rPr>
        <w:t xml:space="preserve">Principals have access to a TOTP-capable authenticator app (universally available on smartphones).</w:t>
      </w:r>
    </w:p>
    <w:p>
      <w:pPr>
        <w:pStyle w:val="ListParagraph"/>
        <w:numPr>
          <w:ilvl w:val="0"/>
          <w:numId w:val="1"/>
        </w:numPr>
        <w:spacing w:after="60" w:line="312"/>
        <w:ind w:left="720" w:hanging="360"/>
      </w:pPr>
      <w:r>
        <w:rPr>
          <w:rFonts w:ascii="Inter" w:eastAsia="Inter"/>
          <w:color w:val="1E293B"/>
          <w:sz w:val="22"/>
          <w:szCs w:val="22"/>
        </w:rPr>
        <w:t xml:space="preserve">WebAuthn is supported on the device fleet PreOne targets (modern browsers, platform authenticators).</w:t>
      </w:r>
    </w:p>
    <w:p>
      <w:pPr>
        <w:pStyle w:val="ListParagraph"/>
        <w:numPr>
          <w:ilvl w:val="0"/>
          <w:numId w:val="1"/>
        </w:numPr>
        <w:spacing w:after="60" w:line="312"/>
        <w:ind w:left="720" w:hanging="360"/>
      </w:pPr>
      <w:r>
        <w:rPr>
          <w:rFonts w:ascii="Inter" w:eastAsia="Inter"/>
          <w:color w:val="1E293B"/>
          <w:sz w:val="22"/>
          <w:szCs w:val="22"/>
        </w:rPr>
        <w:t xml:space="preserve">The risk-based enforcement policy is configurable per tenant (tenant administrators can require MFA for more principals than the platform default).</w:t>
      </w:r>
    </w:p>
    <w:p>
      <w:pPr>
        <w:pStyle w:val="ListParagraph"/>
        <w:numPr>
          <w:ilvl w:val="0"/>
          <w:numId w:val="1"/>
        </w:numPr>
        <w:spacing w:after="60" w:line="312"/>
        <w:ind w:left="720" w:hanging="360"/>
      </w:pPr>
      <w:r>
        <w:rPr>
          <w:rFonts w:ascii="Inter" w:eastAsia="Inter"/>
          <w:color w:val="1E293B"/>
          <w:sz w:val="22"/>
          <w:szCs w:val="22"/>
        </w:rPr>
        <w:t xml:space="preserve">MFA enrollment is performed by the principal during their first login after MFA is enabled for their account.</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TOTP default + WebAuthn phishing-resistant option, risk-based enforcement, backup codes for recovery.</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Balances usability (TOTP is universal) with security (WebAuthn is phishing-resistant). Risk-based enforcement matches the regulatory requirement. Backup codes handle recovery.</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Two factor types add complexity. WebAuthn enrollment requires user education. Risk-based policy requires configuration.</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Adopted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SMS-based OTP as the sole second factor.</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Universally available (any phone). No authenticator app required. Simplest enrollment.</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Insecure (SIM swapping, SS7 vulnerabilities, delivery latency). Rejected by ARB as insufficient for security. Not phishing-resistant.</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TOTP as the sole second factor (no WebAuthn).</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Simplest implementation. Single factor type. Universal authenticator-app support.</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TOTP is vulnerable to phishing (a fake login page can capture and replay the TOTP). Insufficient for high-risk principals who need phishing resistance.</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WebAuthn as the sole second factor (mandatory for all principals).</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Maximum security. Phishing-resistant. No TOTP vulnerability.</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WebAuthn enrollment is friction-heavy (requires hardware authenticator or platform authenticator). Not all devices support WebAuthn. Mandatory WebAuthn would block onboarding in markets where it is not yet expected.</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Adopt an MFA system with TOTP (RFC 6238) as the default second factor and WebAuthn (CTAP2) as the phishing-resistant option. MFA is risk-based: required for administrators and any principal with access to PII (per ADR-079), optional for other principals, and triggered as step-up for high-risk operations (changing bank details, exporting student records, managing user accounts). MFA factors are stored per-principal in the mfa_factors table and can be enrolled, used, and revoked via the MFA API. Backup codes (one-time use) are generated at enrollment for account recovery. The MFA verification flow is invoked by the authentication stack (per ADR-062) via a pluggable AuthenticationProvider, after primary authentication succeeds.</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The TOTP-default-plus-WebAuthn-option strategy was chosen over the SMS, TOTP-only, and WebAuthn-only alternatives because it is the only strategy that balances usability, security, and flexibility. SMS is insecure (SIM swapping and SS7 attacks are well-documented, and SMS delivery is not reliable enough for a security factor). TOTP-only is vulnerable to phishing (a fake login page can capture the TOTP and replay it within the 30-second window, which is the primary attack vector against education platforms). WebAuthn-only is secure but friction-heavy (mandatory WebAuthn would block onboarding in markets where it is not yet expected, and not all devices support it).
The TOTP-default-plus-WebAuthn-option strategy gives every principal a usable second factor (TOTP, which works with any authenticator app) and gives high-risk principals the option to upgrade to a phishing-resistant factor (WebAuthn, which works with platform authenticators like Touch ID and Windows Hello, and with roaming authenticators like YubiKey). The risk-based enforcement ensures that the principals who need the strongest protection (administrators, PII-access principals) get it, while the principals who do not (students, low-access teachers) are not burdened with mandatory MFA.
The risk-based enforcement is the most important design decision. The platform default is: MFA required for administrators and PII-access principals, optional for others, step-up for high-risk operations. Tenant administrators can configure a stricter policy (e.g., require MFA for all teachers in their tenant) but cannot configure a weaker policy (e.g., disable MFA for administrators). The step-up trigger is a per-operation risk classification: operations are tagged as STANDARD, ELEVATED, or HIGH_RISK, and HIGH_RISK operations require step-up MFA regardless of the principal's default MFA setting. The risk classification is defined per bounded context and is reviewed by the ARB.
The WebAuthn option is the second most important design decision. WebAuthn (CTAP2) is the W3C standard for phishing-resistant authentication, and it is the only widely-deployed factor that is immune to phishing. A WebAuthn credential is bound to the origin (preone.com), so a fake login page at pre0ne.com (note the zero) cannot use the credential. The WebAuthn enrollment flow is more complex than TOTP (it requires the user to interact with the platform or roaming authenticator), so it is offered as an option for high-risk principals rather than mandatory for all. The WebAuthn verification flow is also more complex (it requires a challenge-response protocol), but it is transparent to the user (Touch ID or Windows Hello prompt).
The backup codes are the third most important design decision. When a principal enrolls in MFA, the system generates 10 one-time-use backup codes that the principal stores securely (typically in a password manager or printed). If the principal loses their primary factor (e.g., their phone with the authenticator app), they can use a backup code to log in and enroll a new primary factor. Backup codes are stored as bcrypt hashes (per ADR-078) and are invalidated on use. The backup-code mechanism is the standard recovery pattern for MFA and is required to prevent account lockout (which would be a significant support burden and a security risk if users disable MFA to avoid it).
The decision to store MFA factors per-principal (rather than per-device or per-session) is driven by the principle that MFA is a property of the principal, not of the device or session. A principal may have multiple factors (e.g., TOTP on their phone, WebAuthn on their laptop, backup codes in their password manager), and the MFA API allows the principal to enroll, use, and revoke each factor independently. The factors are stored in the mfa_factors table with columns principal_id, factor_type (TOTP, WEBAUTHN, BACKUP_CODE), factor_data (JSONB, type-specific), enrolled_at, last_used_at, status (ACTIVE, REVOKED). The factor_data for TOTP is the shared secret (encrypted per ADR-079); for WebAuthn it is the credential ID and public key; for BACKUP_CODE it is the bcrypt hash.
The decision to make MFA verification a pluggable AuthenticationProvider (per ADR-062) is driven by the principle that MFA is a cross-cutting concern that should be invoked after primary authentication succeeds, regardless of the primary mechanism (federated OIDC, local credentials, mTLS). The AuthenticationProvider interface is the Spring Security extension point for MFA, and the MfaAuthenticationProvider implementation invokes the MFA verification flow (TOTP or WebAuthn) and, on success, issues a step-up token (per ADR-070) that carries an amr (authentication methods reference) claim indicating MFA was performed.
The step-up token is the mechanism that records MFA verification for subsequent requests. The step-up token is a JWT (per ADR-070) with a short lifetime (5 minutes) and an amr claim of mfa. High-risk operations require the step-up token: if the request's JWT does not have the amr=mfa claim, the operation is rejected with a 403 MFA Required response, which the frontend handles by triggering the MFA flow and retrying the operation with the step-up token. The 5-minute lifetime is the balance between security (shorter is better) and usability (longer means fewer MFA prompts), and is the industry standard for step-up tokens.</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PREONE MFA SYSTEM                                |
+-----------------------------------------------------------+
|  Primary Authentication (ADR-062)                         |
|  - Federated OIDC, local credentials, mTLS                |
|  - On success, invoke MfaAuthenticationProvider           |
+-----------------------------------------------------------+
            |
            v
  +---------------------------+
  | MfaAuthenticationProvider |
  | (Spring Security plug-in) |
  +---------------------------+
            |
            +------+--------+--------+
            |      |        |        |
            v      v        v        v
  +----------+ +----------+ +----------+ +----------+
  | TOTP     | | WebAuthn | | Backup   | | Risk     |
  | (RFC6238)| | (CTAP2)  | | Codes    | | Engine   |
  +----------+ +----------+ +----------+ +----------+
       |            |            |            |
       v            v            v            v
  +---------------------------------------------------+
  | mfa_factors table                                 |
  | - principal_id, factor_type, factor_data (JSONB)  |
  | - enrolled_at, last_used_at, status               |
  +---------------------------------------------------+
            |
            v
  +---------------------------+
  | Step-up Token             |
  | (JWT, 5min, amr=mfa)      |
  | (per ADR-070)             |
  +---------------------------+
            |
            v
  +---------------------------+
  | High-Risk Operation       |
  | (banking change, export)  |
  | - requires amr=mfa        |
  +---------------------------+</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User -&gt; Authz Server: Primary login (OIDC)
Authz Server -&gt; MfaAuthProvider: Trigger MFA
MfaAuthProvider -&gt; Risk Engine: Is MFA required?
Risk Engine -&gt; MfaAuthProvider: Required (admin)
MfaAuthProvider -&gt; User: Prompt for TOTP
User -&gt; MfaAuthProvider: TOTP code
MfaAuthProvider -&gt; TOTP Verify: Validate code (RFC 6238)
TOTP Verify -&gt; MfaAuthProvider: Valid
MfaAuthProvider -&gt; Step-up Token: Issue JWT (amr=mfa, 5min)
Step-up Token -&gt; User: Return token
User -&gt; Backend: API call with step-up token
Backend -&gt; Amr Check: amr=mfa present?
Amr Check -&gt; Backend: Yes
Backend -&gt; User: Response
Note over User: High-risk operation later:
User -&gt; Backend: Change bank details
Backend -&gt; Risk Engine: Is this HIGH_RISK?
Risk Engine -&gt; Backend: Yes, requires amr=mfa
Backend -&gt; User: 403 MFA Required (or accept existing step-up)
User -&gt; Authz Server: Step-up MFA (WebAuthn)
Authz Server -&gt; WebAuthn: Challenge-response
WebAuthn -&gt; Authz Server: Verified
Authz Server -&gt; User: New step-up token (amr=mfa)
User -&gt; Backend: Retry with step-up token
Backend -&gt; User: Success</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ADR-072 — MFA  -  Component View         |
+-------------------------------------------------------------+
|                                                             |
|  +----------------+        +----------------------+         |
|  | Login API      | factor | MFA Service          |         |
|  |                |-------&gt;|                      |         |
|  +----------------+        +----------+-----------+         |
|                                       |                     |
|                                       | verify              |
|                                       v                     |
|  +----------------+        +----------------------+         |
|  | TOTP / SMS /   | gen +  | MFA Factor Store     |         |
|  | Push / Hardware| verify | (Postgres)           |         |
|  +----------------+        +----------+-----------+         |
|                                       |                     |
|                                       | match?              |
|                                       v                     |
|  +----------------+        +----------------------+         |
|  | Auth Service   |  issue | JWT (factor verified)|         |
|  |                |-------&gt;|                      |         |
|  +----------------+        +----------------------+         |
|                                                             |
|  Device Binding (ADR-073) ties factor to device fingerprint |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MFA Enrollment Flow:
  User -&gt; MFA Service: enroll (TOTP / SMS / push)
  MFA Service -&gt; Postgres: store factor (encrypted)
  MFA Service -&gt; User: verify (enter code / approve push)
  MFA Service -&gt; Audit: log 'MFA_ENROLLED'
MFA Verification Flow:
  User -&gt; Login API: password (factor 1)
  Auth Service -&gt; MFA Service: trigger factor 2
  MFA Service -&gt; User: deliver code / push
  User -&gt; MFA Service: enter code / approve
  MFA Service -&gt; Auth Service: factor verified
  Auth Service -&gt; JWT Issuer: issue token (factor-verified claim)
Device Binding Flow:
  MFA Service -&gt; Device Fingerprint: hash (UA + IP + device ID)
  Device Fingerprint -&gt; Postgres: store (per user)
  (login) Device Fingerprint -&gt; MFA Service: match?
  (no match) MFA Service -&gt; User: require device verification</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MFA adds one table. mfa_factors holds the principal's MFA factors with columns factor_id (UUIDv7, PK), principal_id (FK), factor_type (enum: TOTP, WEBAUTHN, BACKUP_CODE), factor_data (JSONB, type-specific and encrypted per ADR-079), enrolled_at, last_used_at, status (enum: ACTIVE, REVOKED), enrolled_by (principal_id of the actor who enrolled the factor, for audit). The table is indexed on (principal_id, status) for the verification lookup. The factor_data for TOTP is the shared secret (AES-256-GCM encrypted per ADR-077); for WebAuthn it is the credential ID and public key (not sensitive, but encrypted for uniformity); for BACKUP_CODE it is the bcrypt hash. The table is partitioned by tenant_id (via principal_id join) for tenant-scoped queries. The projected growth is one row per principal per factor (1-3 factors per principal), which is 4-12 million rows at the projected peak, well within PostgreSQL's comfort zone.</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Six endpoints are introduced under /mfa: GET (list factors for the current principal), POST /enroll (enroll a new factor), POST /verify (verify a factor during login or step-up), POST /revoke (revoke a factor), POST /backup-codes/generate (generate new backup codes), and POST /backup-codes/verify (verify a backup code). The enroll endpoint is interactive (TOTP requires the user to enter a code from their authenticator app to confirm enrollment; WebAuthn requires a challenge-response). The verify endpoint is invoked by the MfaAuthenticationProvider during the login flow. The frontend exposes an MFA management UI (enroll, revoke, generate backup codes) in the user settings page. The step-up flow is triggered automatically by the frontend when a 403 MFA Required response is received.</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MFA surfaces in the UI as the 'Multi-Factor Authentication' settings page. Users can enroll multiple MFA factors (TOTP app, SMS, hardware key, push notification) and mark one as primary. During login, after password verification, the UI prompts for the primary MFA factor with a fallback ('Try another way') to use a secondary factor. The MFA enrollment flow includes step-by-step instructions (e.g., 'Scan this QR code with Google Authenticator'). The 'Remember this device for 30 days' checkbox (tied to Device Binding) reduces MFA friction for trusted devices. Admins can enforce MFA for specific roles via the RBAC UI.</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The MFA system directly enables the regulatory requirement for MFA on PII-access principals (GDPR Article 32, COPPA, DPDP Section 8). The TOTP factor provides a usable second factor for all principals, closing the password-only attack vector (a stolen password is not sufficient to access the account). The WebAuthn factor provides phishing-resistant authentication for high-risk principals, closing the phishing attack vector (a fake login page cannot capture a WebAuthn credential). The risk-based enforcement ensures that the principals who need the strongest protection get it, while not burdening low-risk principals. The step-up token mechanism records MFA verification for high-risk operations, which is the audit evidence the compliance team needs. The backup codes prevent account lockout (which would otherwise be a security risk if users disable MFA to avoid it). The net effect is an MFA system that satisfies the regulated education market's expectations and the OAuth 2.1 security profile.</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MFA verification adds 1-5 seconds to the login flow (TOTP is local and instant; WebAuthn is interactive and depends on user responsiveness), which is acceptable because login is a low-frequency operation. The MFA factor lookup (mfa_factors table) takes under 5ms at p99, which is within the authentication flow's budget. The step-up token verification (JWT signature check) takes under 1ms, which is within the hot-path budget. The risk-engine lookup (per-operation risk classification) is an in-memory lookup (the classification is cached) and takes under 0.1ms. The overall impact on the hot path (API request validation) is the step-up token's amr check, which is a JWT claim check and takes negligible time.</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The MFA system scales with the number of principals (factor storage) and the login rate (verification). The mfa_factors table at 4-12 million rows is well within PostgreSQL's comfort zone, partitioned by tenant_id. The MFA verification rate (one per login, with MFA-enabled principals) is projected to peak at 5,000 verifications per second (50k logins per day, with MFA enabled for 50% of principals), which is handled by the MfaAuthenticationProvider's deployment as part of the authorization server (per ADR-062). The risk-engine lookup is in-memory and adds no scalability concern. The step-up token issuance is a JWT signing operation (per ADR-070), which is handled by the authorization server's existing capacity. No architectural ceiling is anticipated within the three-year planning horizon.</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The MFA system is deployed as part of the authorization server (per ADR-062) and the Spring Security filter chain. The on-call runbook covers four failure modes: MFA factor lookup slow (alert; consider caching), TOTP verification failure spike (alert; possible time-sync issue or attack), WebAuthn enrollment failure spike (alert; possible browser compatibility issue), and backup-code exhaustion (alert; user may be locked out, support intervention required). The MFA management UI is the primary user-facing surface; it is documented in the user handbook and tested in the quarterly game-day. The risk classification (per-operation) is reviewed by the ARB quarterly to ensure it reflects the current threat landscape. The MFA system has a dedicated dashboard showing enrollment rate, verification rate, step-up rate, and backup-code usage.</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Principals lose their primary factor and their backup codes, locking them out of their account.</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Backup codes are generated at enrollment and displayed once. Support intervention procedure documented (identity verification required). Account-recovery runbook tested quarterly.</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TOTP shared secret is compromised (e.g., via a database breach), enabling MFA bypass.</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Shared secret is AES-256-GCM encrypted per ADR-077. Database breach does not expose plaintext secrets. Re-enrollment procedure documented.</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WebAuthn enrollment is friction-heavy, leading principals to abandon MFA enrollment.</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WebAuthn is optional (TOTP is the default). WebAuthn enrollment UX is optimized. User education on the phishing-resistance benefit.</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Risk-based enforcement policy is misconfigured, over- or under-triggering MFA.</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Policy is reviewed quarterly by the ARB. Per-tenant policy is audited. Monitoring alerts on MFA trigger rate anomalies.</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TOTP default is universally usable and balances security with usability.</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TOTP is vulnerable to phishing; WebAuthn is the mitigation for high-risk principals.</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WebAuthn option provides phishing-resistant authentication for high-risk principals.</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WebAuthn enrollment is friction-heavy and not all devices support it.</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Risk-based enforcement matches the regulatory requirement without burdening low-risk principals.</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Risk classification requires configuration and quarterly review.</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Backup codes prevent account lockout when the primary factor is lost.</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Backup codes must be stored securely by the principal, which is a user-education challenge.</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SMS-based OTP was rejected as insecure (SIM swapping, SS7 vulnerabilities, delivery latency make SMS unsuitable for a security factor). TOTP-only was rejected because TOTP is vulnerable to phishing (a fake login page can capture and replay the TOTP within the 30-second window), which is the primary attack vector against education platforms. WebAuthn-only was rejected because mandatory WebAuthn would block onboarding in markets where it is not yet expected, and not all devices support it. The TOTP-default-plus-WebAuthn-option strategy is the only one that balances usability, security, and flexibility. The full reasoning is captured in the Options Considered table.</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Migration is phased over one quarter, alongside the authentication-stack migration (per ADR-062). Phase 1 (weeks 1-3): deploy the MFA system (mfa_factors table, MfaAuthenticationProvider, MFA API) in shadow mode (MFA verification is logged but not enforced). Phase 2 (weeks 4-6): enable MFA for administrators (required) and a pilot group of PII-access principals; collect feedback on the enrollment UX. Phase 3 (weeks 7-9): enable MFA for all PII-access principals (required); enable optional MFA for other principals. Phase 4 (weeks 10-12): enable step-up MFA for high-risk operations (banking change, export, user management). Phase 5 (week 13): the shadow-mode logging is removed. Rollback is possible at any point by disabling MFA enforcement (the system reverts to password-only authentication); the MFA factors remain enrolled for principals who have them, but verification is not required.</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The MFA system is tested at four levels. Unit tests cover the TOTP verification (RFC 6238 compliance), the WebAuthn challenge-response, the backup-code generation and verification, and the risk-engine classification; coverage target is 95%. Integration tests cover the enrollment flow (TOTP, WebAuthn, backup codes), the verification flow (login, step-up), and the revocation flow. End-to-end tests cover the full login -&gt; MFA -&gt; step-up -&gt; high-risk-operation path. Security tests cover the TOTP replay attack (must be rejected), the WebAuthn phishing attack (must be rejected), the backup-code reuse (must be rejected), and the risk-engine bypass (must be rejected). Performance tests cover the verification rate at projected peak (5,000 per second). The acceptance criterion is zero MFA bypass incidents in the post-cutover penetration test.</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Six golden signals are monitored. (1) Enrollment rate: target above 80% for required principals, alert below 60% (possible UX issue). (2) Verification success rate: target above 95%, alert below 90% (possible time-sync issue or attack). (3) Step-up rate: target under 5% of requests (high-risk operations are rare), alert above 10% (possible risk-engine misconfiguration). (4) Backup-code usage rate: target under 0.1% of logins, alert above 0.5% (possible factor-loss epidemic). (5) Verification latency p99: target under 5 seconds (TOTP) and under 10 seconds (WebAuthn, interactive). (6) Risk-engine lookup latency p99: target under 1ms, alert above 5ms. A dedicated MFA dashboard surfaces these alongside the per-factor-type distribution, the per-tenant enrollment rate, and the step-up operation breakdown. Anomaly detection (per ADR-088) flags unusual MFA patterns (verification failure spikes, step-up bursts, backup-code exhaustion).</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The MFA system is expected to evolve in three directions. First, the WebAuthn option may become the default (and TOTP the fallback) as device support improves and the phishing threat intensifies; the trigger is a device-fleet audit showing universal WebAuthn support. Second, the MFA system may add a risk-based adaptive authentication layer that prompts for MFA based on contextual signals (impossible travel, new device, unusual time) rather than per-operation classification; this is monitored but not planned for v1. Third, the MFA system may integrate with the FIDO2 passkey ecosystem (which builds on WebAuthn) to enable passwordless authentication; this is a larger change and would require its own ADR.</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ADR-061 - Identity Model (provides principal_id for MFA factors)</w:t>
      </w:r>
    </w:p>
    <w:p>
      <w:pPr>
        <w:pStyle w:val="ListParagraph"/>
        <w:numPr>
          <w:ilvl w:val="0"/>
          <w:numId w:val="1"/>
        </w:numPr>
        <w:spacing w:after="60" w:line="312"/>
        <w:ind w:left="720" w:hanging="360"/>
      </w:pPr>
      <w:r>
        <w:rPr>
          <w:rFonts w:ascii="Inter" w:eastAsia="Inter"/>
          <w:color w:val="1E293B"/>
          <w:sz w:val="22"/>
          <w:szCs w:val="22"/>
        </w:rPr>
        <w:t xml:space="preserve">ADR-062 - Authentication (invokes MFA via MfaAuthenticationProvider)</w:t>
      </w:r>
    </w:p>
    <w:p>
      <w:pPr>
        <w:pStyle w:val="ListParagraph"/>
        <w:numPr>
          <w:ilvl w:val="0"/>
          <w:numId w:val="1"/>
        </w:numPr>
        <w:spacing w:after="60" w:line="312"/>
        <w:ind w:left="720" w:hanging="360"/>
      </w:pPr>
      <w:r>
        <w:rPr>
          <w:rFonts w:ascii="Inter" w:eastAsia="Inter"/>
          <w:color w:val="1E293B"/>
          <w:sz w:val="22"/>
          <w:szCs w:val="22"/>
        </w:rPr>
        <w:t xml:space="preserve">ADR-070 - JWT Policy (step-up token with amr=mfa claim)</w:t>
      </w:r>
    </w:p>
    <w:p>
      <w:pPr>
        <w:pStyle w:val="ListParagraph"/>
        <w:numPr>
          <w:ilvl w:val="0"/>
          <w:numId w:val="1"/>
        </w:numPr>
        <w:spacing w:after="60" w:line="312"/>
        <w:ind w:left="720" w:hanging="360"/>
      </w:pPr>
      <w:r>
        <w:rPr>
          <w:rFonts w:ascii="Inter" w:eastAsia="Inter"/>
          <w:color w:val="1E293B"/>
          <w:sz w:val="22"/>
          <w:szCs w:val="22"/>
        </w:rPr>
        <w:t xml:space="preserve">ADR-071 - Refresh Token Policy (family revocation forces MFA re-authentication)</w:t>
      </w:r>
    </w:p>
    <w:p>
      <w:pPr>
        <w:pStyle w:val="ListParagraph"/>
        <w:numPr>
          <w:ilvl w:val="0"/>
          <w:numId w:val="1"/>
        </w:numPr>
        <w:spacing w:after="60" w:line="312"/>
        <w:ind w:left="720" w:hanging="360"/>
      </w:pPr>
      <w:r>
        <w:rPr>
          <w:rFonts w:ascii="Inter" w:eastAsia="Inter"/>
          <w:color w:val="1E293B"/>
          <w:sz w:val="22"/>
          <w:szCs w:val="22"/>
        </w:rPr>
        <w:t xml:space="preserve">ADR-073 - Device Binding (device trust affects MFA risk scoring)</w:t>
      </w:r>
    </w:p>
    <w:p>
      <w:pPr>
        <w:pStyle w:val="ListParagraph"/>
        <w:numPr>
          <w:ilvl w:val="0"/>
          <w:numId w:val="1"/>
        </w:numPr>
        <w:spacing w:after="60" w:line="312"/>
        <w:ind w:left="720" w:hanging="360"/>
      </w:pPr>
      <w:r>
        <w:rPr>
          <w:rFonts w:ascii="Inter" w:eastAsia="Inter"/>
          <w:color w:val="1E293B"/>
          <w:sz w:val="22"/>
          <w:szCs w:val="22"/>
        </w:rPr>
        <w:t xml:space="preserve">ADR-074 - Session Management (MFA verification persists for the session)</w:t>
      </w:r>
    </w:p>
    <w:p>
      <w:pPr>
        <w:pStyle w:val="ListParagraph"/>
        <w:numPr>
          <w:ilvl w:val="0"/>
          <w:numId w:val="1"/>
        </w:numPr>
        <w:spacing w:after="60" w:line="312"/>
        <w:ind w:left="720" w:hanging="360"/>
      </w:pPr>
      <w:r>
        <w:rPr>
          <w:rFonts w:ascii="Inter" w:eastAsia="Inter"/>
          <w:color w:val="1E293B"/>
          <w:sz w:val="22"/>
          <w:szCs w:val="22"/>
        </w:rPr>
        <w:t xml:space="preserve">ADR-077 - Encryption (AES-256-GCM for TOTP shared secrets)</w:t>
      </w:r>
    </w:p>
    <w:p>
      <w:pPr>
        <w:pStyle w:val="ListParagraph"/>
        <w:numPr>
          <w:ilvl w:val="0"/>
          <w:numId w:val="1"/>
        </w:numPr>
        <w:spacing w:after="60" w:line="312"/>
        <w:ind w:left="720" w:hanging="360"/>
      </w:pPr>
      <w:r>
        <w:rPr>
          <w:rFonts w:ascii="Inter" w:eastAsia="Inter"/>
          <w:color w:val="1E293B"/>
          <w:sz w:val="22"/>
          <w:szCs w:val="22"/>
        </w:rPr>
        <w:t xml:space="preserve">ADR-079 - PII Protection (PII-access principals require MFA)</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RFC 6238 - TOTP: Time-Based One-Time Password Algorithm. IETF. 2011.</w:t>
      </w:r>
    </w:p>
    <w:p>
      <w:pPr>
        <w:pStyle w:val="ListParagraph"/>
        <w:numPr>
          <w:ilvl w:val="0"/>
          <w:numId w:val="1"/>
        </w:numPr>
        <w:spacing w:after="60" w:line="312"/>
        <w:ind w:left="720" w:hanging="360"/>
      </w:pPr>
      <w:r>
        <w:rPr>
          <w:rFonts w:ascii="Inter" w:eastAsia="Inter"/>
          <w:color w:val="1E293B"/>
          <w:sz w:val="22"/>
          <w:szCs w:val="22"/>
        </w:rPr>
        <w:t xml:space="preserve">W3C Web Authentication: An API for accessing Public Key Credentials, Level 2. W3C. 2021.</w:t>
      </w:r>
    </w:p>
    <w:p>
      <w:pPr>
        <w:pStyle w:val="ListParagraph"/>
        <w:numPr>
          <w:ilvl w:val="0"/>
          <w:numId w:val="1"/>
        </w:numPr>
        <w:spacing w:after="60" w:line="312"/>
        <w:ind w:left="720" w:hanging="360"/>
      </w:pPr>
      <w:r>
        <w:rPr>
          <w:rFonts w:ascii="Inter" w:eastAsia="Inter"/>
          <w:color w:val="1E293B"/>
          <w:sz w:val="22"/>
          <w:szCs w:val="22"/>
        </w:rPr>
        <w:t xml:space="preserve">FIDO Alliance - CTAP 2.1 Specification. FIDO Alliance. 2023.</w:t>
      </w:r>
    </w:p>
    <w:p>
      <w:pPr>
        <w:pStyle w:val="ListParagraph"/>
        <w:numPr>
          <w:ilvl w:val="0"/>
          <w:numId w:val="1"/>
        </w:numPr>
        <w:spacing w:after="60" w:line="312"/>
        <w:ind w:left="720" w:hanging="360"/>
      </w:pPr>
      <w:r>
        <w:rPr>
          <w:rFonts w:ascii="Inter" w:eastAsia="Inter"/>
          <w:color w:val="1E293B"/>
          <w:sz w:val="22"/>
          <w:szCs w:val="22"/>
        </w:rPr>
        <w:t xml:space="preserve">NIST SP 800-63B - Digital Identity Guidelines: Authentication and Lifecycle Management. NIST. 2017.</w:t>
      </w:r>
    </w:p>
    <w:p>
      <w:pPr>
        <w:pStyle w:val="ListParagraph"/>
        <w:numPr>
          <w:ilvl w:val="0"/>
          <w:numId w:val="1"/>
        </w:numPr>
        <w:spacing w:after="60" w:line="312"/>
        <w:ind w:left="720" w:hanging="360"/>
      </w:pPr>
      <w:r>
        <w:rPr>
          <w:rFonts w:ascii="Inter" w:eastAsia="Inter"/>
          <w:color w:val="1E293B"/>
          <w:sz w:val="22"/>
          <w:szCs w:val="22"/>
        </w:rPr>
        <w:t xml:space="preserve">PreOne Engineering Handbook, Section 4.12 - MFA. Internal. 2025.</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2025-08-01</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Platform Security Architect</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options enumerated; consultation with security and engineering teams</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2025-09-17</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Platform Security Architect</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Architecture Review Board after cross-team review</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2025-10-15</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published to architecture repository</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2026-07-15</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cross-references to Vol 1-3 ADRs added; 34-section template applied</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Platform Security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Authentication Platform Lead</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Architecture Review Board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ADR published to architecture repository (Done)</w:t>
      </w:r>
    </w:p>
    <w:p>
      <w:pPr>
        <w:pStyle w:val="ListParagraph"/>
        <w:numPr>
          <w:ilvl w:val="0"/>
          <w:numId w:val="1"/>
        </w:numPr>
        <w:spacing w:after="60" w:line="312"/>
        <w:ind w:left="720" w:hanging="360"/>
      </w:pPr>
      <w:r>
        <w:rPr>
          <w:rFonts w:ascii="Inter" w:eastAsia="Inter"/>
          <w:color w:val="1E293B"/>
          <w:sz w:val="22"/>
          <w:szCs w:val="22"/>
        </w:rPr>
        <w:t xml:space="preserve">Cross-references to upstream/downstream artefacts added (Done)</w:t>
      </w:r>
    </w:p>
    <w:p>
      <w:pPr>
        <w:pStyle w:val="ListParagraph"/>
        <w:numPr>
          <w:ilvl w:val="0"/>
          <w:numId w:val="1"/>
        </w:numPr>
        <w:spacing w:after="60" w:line="312"/>
        <w:ind w:left="720" w:hanging="360"/>
      </w:pPr>
      <w:r>
        <w:rPr>
          <w:rFonts w:ascii="Inter" w:eastAsia="Inter"/>
          <w:color w:val="1E293B"/>
          <w:sz w:val="22"/>
          <w:szCs w:val="22"/>
        </w:rPr>
        <w:t xml:space="preserve">Security team briefed in monthly architecture sync (Done)</w:t>
      </w:r>
    </w:p>
    <w:p>
      <w:pPr>
        <w:pStyle w:val="ListParagraph"/>
        <w:numPr>
          <w:ilvl w:val="0"/>
          <w:numId w:val="1"/>
        </w:numPr>
        <w:spacing w:after="60" w:line="312"/>
        <w:ind w:left="720" w:hanging="360"/>
      </w:pPr>
      <w:r>
        <w:rPr>
          <w:rFonts w:ascii="Inter" w:eastAsia="Inter"/>
          <w:color w:val="1E293B"/>
          <w:sz w:val="22"/>
          <w:szCs w:val="22"/>
        </w:rPr>
        <w:t xml:space="preserve">Code review checklist updated to enforce this ADR (Done)</w:t>
      </w:r>
    </w:p>
    <w:p>
      <w:pPr>
        <w:pStyle w:val="ListParagraph"/>
        <w:numPr>
          <w:ilvl w:val="0"/>
          <w:numId w:val="1"/>
        </w:numPr>
        <w:spacing w:after="60" w:line="312"/>
        <w:ind w:left="720" w:hanging="360"/>
      </w:pPr>
      <w:r>
        <w:rPr>
          <w:rFonts w:ascii="Inter" w:eastAsia="Inter"/>
          <w:color w:val="1E293B"/>
          <w:sz w:val="22"/>
          <w:szCs w:val="22"/>
        </w:rPr>
        <w:t xml:space="preserve">On-call runbook updated with operational procedures (Done)</w:t>
      </w:r>
    </w:p>
    <w:p>
      <w:pPr>
        <w:pStyle w:val="ListParagraph"/>
        <w:numPr>
          <w:ilvl w:val="0"/>
          <w:numId w:val="1"/>
        </w:numPr>
        <w:spacing w:after="60" w:line="312"/>
        <w:ind w:left="720" w:hanging="360"/>
      </w:pPr>
      <w:r>
        <w:rPr>
          <w:rFonts w:ascii="Inter" w:eastAsia="Inter"/>
          <w:color w:val="1E293B"/>
          <w:sz w:val="22"/>
          <w:szCs w:val="22"/>
        </w:rPr>
        <w:t xml:space="preserve">TOTP, SMS, push notification factors deployed (Done)</w:t>
      </w:r>
    </w:p>
    <w:p>
      <w:pPr>
        <w:pStyle w:val="ListParagraph"/>
        <w:numPr>
          <w:ilvl w:val="0"/>
          <w:numId w:val="1"/>
        </w:numPr>
        <w:spacing w:after="60" w:line="312"/>
        <w:ind w:left="720" w:hanging="360"/>
      </w:pPr>
      <w:r>
        <w:rPr>
          <w:rFonts w:ascii="Inter" w:eastAsia="Inter"/>
          <w:color w:val="1E293B"/>
          <w:sz w:val="22"/>
          <w:szCs w:val="22"/>
        </w:rPr>
        <w:t xml:space="preserve">MFA enrollment UI (Done)</w:t>
      </w:r>
    </w:p>
    <w:p>
      <w:pPr>
        <w:pStyle w:val="ListParagraph"/>
        <w:numPr>
          <w:ilvl w:val="0"/>
          <w:numId w:val="1"/>
        </w:numPr>
        <w:spacing w:after="60" w:line="312"/>
        <w:ind w:left="720" w:hanging="360"/>
      </w:pPr>
      <w:r>
        <w:rPr>
          <w:rFonts w:ascii="Inter" w:eastAsia="Inter"/>
          <w:color w:val="1E293B"/>
          <w:sz w:val="22"/>
          <w:szCs w:val="22"/>
        </w:rPr>
        <w:t xml:space="preserve">MFA challenge during login (Done)</w:t>
      </w:r>
    </w:p>
    <w:p>
      <w:pPr>
        <w:pStyle w:val="ListParagraph"/>
        <w:numPr>
          <w:ilvl w:val="0"/>
          <w:numId w:val="1"/>
        </w:numPr>
        <w:spacing w:after="60" w:line="312"/>
        <w:ind w:left="720" w:hanging="360"/>
      </w:pPr>
      <w:r>
        <w:rPr>
          <w:rFonts w:ascii="Inter" w:eastAsia="Inter"/>
          <w:color w:val="1E293B"/>
          <w:sz w:val="22"/>
          <w:szCs w:val="22"/>
        </w:rPr>
        <w:t xml:space="preserve">Admin-enforced MFA for high-privilege roles (Done)</w:t>
      </w:r>
    </w:p>
    <w:p>
      <w:pPr>
        <w:pStyle w:val="ListParagraph"/>
        <w:numPr>
          <w:ilvl w:val="0"/>
          <w:numId w:val="1"/>
        </w:numPr>
        <w:spacing w:after="60" w:line="312"/>
        <w:ind w:left="720" w:hanging="360"/>
      </w:pPr>
      <w:r>
        <w:rPr>
          <w:rFonts w:ascii="Inter" w:eastAsia="Inter"/>
          <w:color w:val="1E293B"/>
          <w:sz w:val="22"/>
          <w:szCs w:val="22"/>
        </w:rPr>
        <w:t xml:space="preserve">WebAuthn passkey support (Done — Q2 2026)</w:t>
      </w:r>
    </w:p>
    <w:p>
      <w:pPr>
        <w:pStyle w:val="ListParagraph"/>
        <w:numPr>
          <w:ilvl w:val="0"/>
          <w:numId w:val="1"/>
        </w:numPr>
        <w:spacing w:after="60" w:line="312"/>
        <w:ind w:left="720" w:hanging="360"/>
      </w:pPr>
      <w:r>
        <w:rPr>
          <w:rFonts w:ascii="Inter" w:eastAsia="Inter"/>
          <w:color w:val="1E293B"/>
          <w:sz w:val="22"/>
          <w:szCs w:val="22"/>
        </w:rPr>
        <w:t xml:space="preserve">MFA bypass runbook for lost devices (Done)</w:t>
      </w:r>
    </w:p>
    <w:p>
      <w:pPr>
        <w:spacing w:after="60" w:before="360" w:line="280"/>
      </w:pPr>
      <w:r>
        <w:rPr>
          <w:rFonts w:ascii="Inter" w:eastAsia="Inter"/>
          <w:b/>
          <w:bCs/>
          <w:color w:val="4F46E5"/>
          <w:spacing w:val="60"/>
          <w:sz w:val="22"/>
          <w:szCs w:val="22"/>
        </w:rPr>
        <w:t xml:space="preserve">ADR-073</w:t>
      </w:r>
    </w:p>
    <w:p>
      <w:pPr>
        <w:pStyle w:val="Heading1"/>
        <w:spacing w:after="200" w:before="60" w:line="312"/>
      </w:pPr>
      <w:r>
        <w:rPr>
          <w:rFonts w:ascii="Inter" w:eastAsia="Inter"/>
          <w:b/>
          <w:bCs/>
          <w:color w:val="0F172A"/>
          <w:sz w:val="36"/>
          <w:szCs w:val="36"/>
        </w:rPr>
        <w:t xml:space="preserve">Device Binding</w:t>
      </w:r>
    </w:p>
    <w:p>
      <w:pPr>
        <w:spacing w:after="120" w:line="280"/>
      </w:pPr>
      <w:r>
        <w:rPr>
          <w:rFonts w:ascii="Inter" w:eastAsia="Inter"/>
          <w:color w:val="64748B"/>
          <w:sz w:val="20"/>
          <w:szCs w:val="20"/>
        </w:rPr>
        <w:t xml:space="preserve">Volume 4 — Security Architecture  -  </w:t>
      </w:r>
      <w:r>
        <w:rPr>
          <w:rFonts w:ascii="Inter" w:eastAsia="Inter"/>
          <w:color w:val="64748B"/>
          <w:sz w:val="20"/>
          <w:szCs w:val="20"/>
        </w:rPr>
        <w:t xml:space="preserve">Identity &amp; Security</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Adopt a device-binding scheme that fingerprints client devices through hardware, browser, and attestation signals, derives a trust score from 0 to 100, and triggers step-up authentication when an unseen or low-trust device attempts sensitive operations. Device records are tenant-scoped, revocable per principal, and visible through a self-service UI.</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Platform Security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review, or on security incident, or on customer procurement requirement</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refreshes for series alignment and cross-references)</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PreOne is accessed from a heterogeneous fleet of client devices: school-issued tablets under MDM, BYOD laptops in 1:1 programs, shared kiosk terminals in computer labs, and increasingly classroom IoT peripherals such as attendance scanners. The 2025 Q3 security review found that the legacy platform treated every HTTP request as originating from an anonymous browser, which left the platform exposed to credential-stuffing from botnets, account sharing between students, and session hijacking via cookie theft.
The ARB considered three responses. The first is to ignore device identity entirely and rely on MFA, which is rejected because MFA alone cannot distinguish a legitimate user on a new device from an attacker with stolen credentials. The second is to enforce strict device allow-lists (only pre-registered devices may authenticate), which is rejected because it breaks BYOD and the kiosk use case. The third is to bind devices to principals with a trust score that drives step-up authentication, which is selected because it preserves usability for known devices while raising the bar for unknown ones.
This ADR defines device binding. It depends on ADR-061 (Identity Model) for the principal record, ADR-062 (Authentication) for the login flow, and ADR-072 (MFA) for step-up enforcement.</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The 2026 international expansion requires demonstrable device-risk controls for several target markets; EU GDPR Article 32 explicitly cites device binding as a reasonable technical measure, and several Indian DPDP-cognisant customers have made device binding a contractual prerequisite. The business also requires that device binding be invisible to the user on trusted devices (zero-friction) and visible only when the trust score drops below threshold, to avoid onboarding friction. Finally, the business requires that device binding not block BYOD or kiosk scenarios, which together account for roughly 40% of teacher traffic and 60% of student traffic in the largest customer tenants.</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The legacy platform has no device-binding capability, which leaves it exposed to credential stuffing, account sharing, and session hijacking via cookie theft. PreOne needs a device-binding scheme that fingerprints client devices, derives a trust score, and triggers step-up authentication for unseen or low-trust devices, without breaking BYOD or kiosk access patterns.</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Device fingerprints must be derived from signals that are stable across browser updates but not so stable that they become a tracking identifier subject to GDPR Article 5 consent.</w:t>
      </w:r>
    </w:p>
    <w:p>
      <w:pPr>
        <w:pStyle w:val="ListParagraph"/>
        <w:numPr>
          <w:ilvl w:val="0"/>
          <w:numId w:val="1"/>
        </w:numPr>
        <w:spacing w:after="60" w:line="312"/>
        <w:ind w:left="720" w:hanging="360"/>
      </w:pPr>
      <w:r>
        <w:rPr>
          <w:rFonts w:ascii="Inter" w:eastAsia="Inter"/>
          <w:color w:val="1E293B"/>
          <w:sz w:val="22"/>
          <w:szCs w:val="22"/>
        </w:rPr>
        <w:t xml:space="preserve">The system must work without client-side installation for browser-only access (kiosks, BYOD); a native SDK is optional for the mobile app.</w:t>
      </w:r>
    </w:p>
    <w:p>
      <w:pPr>
        <w:pStyle w:val="ListParagraph"/>
        <w:numPr>
          <w:ilvl w:val="0"/>
          <w:numId w:val="1"/>
        </w:numPr>
        <w:spacing w:after="60" w:line="312"/>
        <w:ind w:left="720" w:hanging="360"/>
      </w:pPr>
      <w:r>
        <w:rPr>
          <w:rFonts w:ascii="Inter" w:eastAsia="Inter"/>
          <w:color w:val="1E293B"/>
          <w:sz w:val="22"/>
          <w:szCs w:val="22"/>
        </w:rPr>
        <w:t xml:space="preserve">Trust-score computation must complete within 50ms p99 to avoid adding login latency.</w:t>
      </w:r>
    </w:p>
    <w:p>
      <w:pPr>
        <w:pStyle w:val="ListParagraph"/>
        <w:numPr>
          <w:ilvl w:val="0"/>
          <w:numId w:val="1"/>
        </w:numPr>
        <w:spacing w:after="60" w:line="312"/>
        <w:ind w:left="720" w:hanging="360"/>
      </w:pPr>
      <w:r>
        <w:rPr>
          <w:rFonts w:ascii="Inter" w:eastAsia="Inter"/>
          <w:color w:val="1E293B"/>
          <w:sz w:val="22"/>
          <w:szCs w:val="22"/>
        </w:rPr>
        <w:t xml:space="preserve">Device records must be revocable by the principal (self-service) and by tenant administrators (administrative).</w:t>
      </w:r>
    </w:p>
    <w:p>
      <w:pPr>
        <w:pStyle w:val="ListParagraph"/>
        <w:numPr>
          <w:ilvl w:val="0"/>
          <w:numId w:val="1"/>
        </w:numPr>
        <w:spacing w:after="60" w:line="312"/>
        <w:ind w:left="720" w:hanging="360"/>
      </w:pPr>
      <w:r>
        <w:rPr>
          <w:rFonts w:ascii="Inter" w:eastAsia="Inter"/>
          <w:color w:val="1E293B"/>
          <w:sz w:val="22"/>
          <w:szCs w:val="22"/>
        </w:rPr>
        <w:t xml:space="preserve">The system must degrade gracefully when attestation signals are unavailable (older browsers, private mode) by treating the device as untrusted rather than rejecting it.</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WebAuthn CTAP2 (per ADR-072) is available as the strongest device-attestation signal for browsers that support it.</w:t>
      </w:r>
    </w:p>
    <w:p>
      <w:pPr>
        <w:pStyle w:val="ListParagraph"/>
        <w:numPr>
          <w:ilvl w:val="0"/>
          <w:numId w:val="1"/>
        </w:numPr>
        <w:spacing w:after="60" w:line="312"/>
        <w:ind w:left="720" w:hanging="360"/>
      </w:pPr>
      <w:r>
        <w:rPr>
          <w:rFonts w:ascii="Inter" w:eastAsia="Inter"/>
          <w:color w:val="1E293B"/>
          <w:sz w:val="22"/>
          <w:szCs w:val="22"/>
        </w:rPr>
        <w:t xml:space="preserve">The FingerprintJS open-source library (or equivalent) provides an acceptable browser fingerprint with MIT licensing compatible with PreOne policy.</w:t>
      </w:r>
    </w:p>
    <w:p>
      <w:pPr>
        <w:pStyle w:val="ListParagraph"/>
        <w:numPr>
          <w:ilvl w:val="0"/>
          <w:numId w:val="1"/>
        </w:numPr>
        <w:spacing w:after="60" w:line="312"/>
        <w:ind w:left="720" w:hanging="360"/>
      </w:pPr>
      <w:r>
        <w:rPr>
          <w:rFonts w:ascii="Inter" w:eastAsia="Inter"/>
          <w:color w:val="1E293B"/>
          <w:sz w:val="22"/>
          <w:szCs w:val="22"/>
        </w:rPr>
        <w:t xml:space="preserve">Mobile platforms (iOS, Android) expose Play Integrity and DeviceCheck attestation APIs that remain stable for the planning horizon.</w:t>
      </w:r>
    </w:p>
    <w:p>
      <w:pPr>
        <w:pStyle w:val="ListParagraph"/>
        <w:numPr>
          <w:ilvl w:val="0"/>
          <w:numId w:val="1"/>
        </w:numPr>
        <w:spacing w:after="60" w:line="312"/>
        <w:ind w:left="720" w:hanging="360"/>
      </w:pPr>
      <w:r>
        <w:rPr>
          <w:rFonts w:ascii="Inter" w:eastAsia="Inter"/>
          <w:color w:val="1E293B"/>
          <w:sz w:val="22"/>
          <w:szCs w:val="22"/>
        </w:rPr>
        <w:t xml:space="preserve">Tenants will accept a default trust-score threshold of 70 (out of 100) for step-up, with per-tenant override.</w:t>
      </w:r>
    </w:p>
    <w:p>
      <w:pPr>
        <w:pStyle w:val="ListParagraph"/>
        <w:numPr>
          <w:ilvl w:val="0"/>
          <w:numId w:val="1"/>
        </w:numPr>
        <w:spacing w:after="60" w:line="312"/>
        <w:ind w:left="720" w:hanging="360"/>
      </w:pPr>
      <w:r>
        <w:rPr>
          <w:rFonts w:ascii="Inter" w:eastAsia="Inter"/>
          <w:color w:val="1E293B"/>
          <w:sz w:val="22"/>
          <w:szCs w:val="22"/>
        </w:rPr>
        <w:t xml:space="preserve">Principals will tolerate occasional step-up prompts when their device fingerprint changes (browser update, new browser) provided the rate is below 5% of logins.</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Trust-scored device binding with step-up authentication (fingerprint + trust score + MFA on low trust).</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Balances security and usability. Works for BYOD and kiosks. Preserves zero-friction on trusted devices. Aligns with GDPR Article 32 device-binding guidance.</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Fingerprint collection is a privacy-sensitive operation requiring a DPIA. Trust-score threshold tuning is per-tenant configuration overhead. Anomaly-service dependency adds operational burden.</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Adopted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Strict device allow-lists (only pre-registered devices may authenticate).</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Strongest security. Simple mental model. No fingerprint collection (privacy-clean).</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Breaks BYOD (a principal cannot pre-register a personal laptop they have not yet used). Breaks kiosks (any student may use any terminal). Rejects legitimate new devices, creating support burden.</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No device binding (MFA-only, per ADR-072).</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Simplest. No fingerprint collection. No privacy concern. No additional infrastructure.</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MFA alone cannot distinguish a legitimate user on a new device from an attacker with stolen credentials and a stolen MFA seed. The 2024 Kaseya-style supply-chain attack demonstrated that MFA seeds can be exfiltrated.</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Hardware-bound certificates (device PKI issued by an MDM).</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Strongest device identity. Cryptographic non-repudiation. No fingerprint collection.</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Requires MDM enrollment, excluding BYOD. Imposes operational burden that the largest customers have explicitly rejected. Incompatible with kiosks.</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We will adopt a trust-scored device-binding scheme. On every authentication, the client submits a device fingerprint composed of hardware signals (screen resolution, GPU, CPU cores), browser signals (user-agent, language, timezone, installed fonts), and platform-attestation signals (WebAuthn credential ID, Play Integrity verdict, DeviceCheck token) where available. The server stores a device record per principal per fingerprint hash, computes a trust score from 0 to 100 based on recency, frequency, attestation strength, and anomaly signals, and returns the score to the authentication layer. When the trust score falls below the tenant-configured threshold (default 70), the authentication layer triggers step-up MFA per ADR-072. Device records are tenant-scoped, revocable, and visible to the principal through a self-service device-management UI.</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The trust-scored approach is selected because it is the only option that simultaneously satisfies the security, usability, and compatibility requirements. Strict device allow-lists would provide the strongest security but break BYOD (the principal cannot pre-register a personal laptop they have not yet used) and kiosks (where any student may use any terminal). No device binding (MFA-only) is rejected because MFA alone cannot distinguish a legitimate user on a new device from an attacker with stolen credentials and a stolen MFA seed; the 2024 Kaseya-style supply-chain attack demonstrated that MFA seeds can be exfiltrated. Hardware-bound certificates (device PKI) are rejected because they require an MDM enrollment step that excludes BYOD and imposes an operational burden that the largest customers have explicitly rejected.
The trust score is computed from four weighted signals. Recency (40%): how recently the device was last seen, with exponential decay over 90 days. Frequency (20%): how many successful authentications the device has accrued for this principal. Attestation strength (30%): WebAuthn-bound devices score 100, Play Integrity / DeviceCheck 80, browser-fingerprint-only 50, no signal 0. Anomaly (10%): negative adjustments for impossible travel, fingerprint churn, or known-attacker IP ranges. The thresholds (70 for step-up, 50 for additional challenge, 30 for hard block) were calibrated against three months of production login data and validated by the red team.
The fingerprint hash is computed with SHA-256 over a canonicalised JSON of the signals; only the hash and a coarse classification (attested browser, mobile, kiosk, unknown) are stored, never the raw signals, to minimise the PII surface and avoid the fingerprint becoming a tracking identifier under GDPR Article 5. The raw signals are recomputed at each login and discarded after scoring.</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DEVICE BINDING SUBSYSTEM                   |
+-------------------------------------------------------------+
| Client (Browser / Mobile / Kiosk)                           |
|   - Hardware signals  - Browser signals                     |
|   - WebAuthn cred ID  - Play Integrity / DeviceCheck        |
+-------------------------------------------------------------+
        |  fingerprint payload (POST /auth/device)            |
        v                                                     |
| Fingerprint Hasher (SHA-256 over canonical JSON)            |
|        |                                                    |
|        v                                                    |
| Device Record Store (PostgreSQL, tenant-scoped)             |
|   - principal_id  - fingerprint_hash  - first_seen          |
|   - last_seen     - auth_count        - attestation_type    |
+-------------------------------------------------------------+
        |                                                    |
|        v                                                    |
| Trust Score Engine                                          |
|   recency(0.4) + frequency(0.2) + attestation(0.3)          |
|   + anomaly(0.1)                                            |
+-------------------------------------------------------------+
        | trust_score (0-100)                                 |
        v                                                     |
| Auth Layer (ADR-062) ----&gt; MFA step-up (ADR-072) if &lt; 70   |
+-------------------------------------------------------------+</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Client -&gt; Auth API: POST /auth/device {fingerprint}
Auth API -&gt; Hasher: canonicalise + SHA-256
Hasher -&gt; Device Store: lookup(principal_id, hash)
Device Store -&gt; Trust Engine: recency, frequency, attestation
Trust Engine -&gt; Anomaly Service: impossible-travel check
Anomaly Service -&gt; Trust Engine: anomaly penalty
Trust Engine -&gt; Auth API: trust_score = 72
Auth API -&gt; Auth Layer: score &gt;= threshold, proceed
Note over Auth Layer: If score &lt; 70, invoke ADR-072 step-up
Auth Layer -&gt; Client: login success (or MFA challenge)
Auth API -&gt; Device Store: update last_seen, auth_count++</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ADR-073 — Device Binding  -  Component View         |
+-------------------------------------------------------------+
|                                                             |
|  +----------------+        +----------------------+         |
|  | Login API      | factor | MFA Service          |         |
|  |                |-------&gt;|                      |         |
|  +----------------+        +----------+-----------+         |
|                                       |                     |
|                                       | verify              |
|                                       v                     |
|  +----------------+        +----------------------+         |
|  | TOTP / SMS /   | gen +  | MFA Factor Store     |         |
|  | Push / Hardware| verify | (Postgres)           |         |
|  +----------------+        +----------+-----------+         |
|                                       |                     |
|                                       | match?              |
|                                       v                     |
|  +----------------+        +----------------------+         |
|  | Auth Service   |  issue | JWT (factor verified)|         |
|  |                |-------&gt;|                      |         |
|  +----------------+        +----------------------+         |
|                                                             |
|  Device Binding (ADR-073) ties factor to device fingerprint |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MFA Enrollment Flow:
  User -&gt; MFA Service: enroll (TOTP / SMS / push)
  MFA Service -&gt; Postgres: store factor (encrypted)
  MFA Service -&gt; User: verify (enter code / approve push)
  MFA Service -&gt; Audit: log 'MFA_ENROLLED'
MFA Verification Flow:
  User -&gt; Login API: password (factor 1)
  Auth Service -&gt; MFA Service: trigger factor 2
  MFA Service -&gt; User: deliver code / push
  User -&gt; MFA Service: enter code / approve
  MFA Service -&gt; Auth Service: factor verified
  Auth Service -&gt; JWT Issuer: issue token (factor-verified claim)
Device Binding Flow:
  MFA Service -&gt; Device Fingerprint: hash (UA + IP + device ID)
  Device Fingerprint -&gt; Postgres: store (per user)
  (login) Device Fingerprint -&gt; MFA Service: match?
  (no match) MFA Service -&gt; User: require device verification</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A new table device_binding is introduced with columns principal_id (UUIDv7, FK to principals), fingerprint_hash (CHAR(64), indexed), attestation_type (ENUM: webauthn, play_integrity, devicecheck, browser, none), first_seen (TIMESTAMPTZ), last_seen (TIMESTAMPTZ), auth_count (INTEGER), revoked_at (TIMESTAMPTZ, nullable), tenant_id (UUIDv7). The primary key is (principal_id, fingerprint_hash). A partial index on revoked_at IS NULL supports the active-device query. Retention follows ADR-053 (Data Retention): device records are purged 180 days after the principal's last authentication or on principal deletion. The table is partitioned by tenant_id at the 50-tenant boundary per ADR-044 (Database Sharding). Expected row count at steady state: ~2.5M (5 devices average per principal, 500K principals).</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A new endpoint POST /auth/device is added to the authentication API; it accepts the fingerprint payload and returns the trust score (for diagnostics) or invokes the next authentication step. A GET /me/devices endpoint allows principals to list and revoke their bound devices; this is exposed in the account-settings UI. A DELETE /me/devices/{fingerprint_hash} revokes a specific device and invalidates its sessions (per ADR-074, Session Management). Administrative endpoints GET /admin/tenants/{id}/devices and DELETE allow tenant operators to revoke devices in bulk during incident response. All endpoints are rate-limited per ADR-080 and audit-logged per ADR-086. The fingerprint payload is treated as sensitive: it is transmitted only over TLS 1.3 (per ADR-077) and is never logged.</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Device Binding surfaces in the UI as the 'Trusted Devices' panel on the Account page. Each trusted device shows a name (auto-generated from user agent), IP address, last active timestamp, and a 'Revoke trust' button. When a user logs in from an untrusted device, the UI prompts for an additional verification step (email link or admin approval) before granting access. The 'New device login' notification email includes a 'If this was not you, click here' link that revokes the device and forces logout. The UI was updated in 2025 to support WebAuthn passkeys as a device-binding mechanism, simplifying the flow for users with modern browsers.</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Device binding raises the cost of credential-stuffing attacks by an estimated 80%: an attacker with a stolen credential list must now also match a device fingerprint that the principal has previously used, or face step-up MFA. It also enables detection of session-hijacking attacks: a hijacked cookie presented from a new device fingerprint triggers step-up. The fingerprint hash itself is a potential tracking identifier under GDPR Article 5; this is mitigated by storing only the hash and a coarse classification, never the raw signals, and by partitioning the device store per tenant so cross-tenant correlation is impossible. The trust-score engine is a single point of failure for the step-up decision; it is deployed in HA with a read-only fallback that returns a permissive score (50) on outage, ensuring login availability is not broken by the device subsystem.</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Fingerprint hashing (SHA-256 over ~1KB canonical JSON) is sub-millisecond. Device-store lookup is a single indexed read; at 2.5M rows partitioned by tenant, expected p99 latency is 3ms. Anomaly-service lookup (impossible-travel check) is the slowest component at ~10ms p99 because it requires a GeoIP lookup and a comparison against the principal's recent locations; this is cached in Redis for 60 seconds per principal_id. Total trust-score computation adds 15ms p99 to the login flow, well within the 50ms budget. The self-service device-list endpoint is expected to be low-traffic; no special caching is required. The administrative bulk-revoke endpoint is rate-limited to 10 concurrent operations per tenant to avoid saturating the session-invalidation pipeline (per ADR-074).</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The device store grows linearly with the principal count at ~5 rows per principal, giving ~2.5M rows at 500K principals and ~25M rows at the 5M-principal projection. Partitioning by tenant_id (per ADR-044) keeps individual partitions under 100K rows for all but the largest tenants, where sub-partitioning by fingerprint_hash prefix is available. The trust-score engine is stateless and scales horizontally behind a load balancer; the GeoIP lookup is the only shared dependency and is cached in Redis. The anomaly-service dependency is the most likely scaling bottleneck: at 5,000 logins per second (projected peak), it must perform 5,000 GeoIP lookups per second, which is within Redis single-node capacity but will require Redis Cluster by the 10K-login/second horizon. No architectural change is anticipated before that horizon.</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The device-binding subsystem requires three operational artefacts. (1) A runbook for trust-score threshold tuning: the security team reviews the step-up rate weekly and adjusts thresholds per tenant if the rate exceeds 5% of logins (UX friction) or falls below 0.1% (possible attack). (2) A runbook for fingerprint-hash revocation during incident response: bulk revoke is exposed via the administrative API and tested quarterly. (3) A runbook for device-store partitioning: the DBA team monitors partition sizes and triggers sub-partitioning when any partition exceeds 100K rows. The GeoIP database is updated monthly via the MaxMind GeoIP2 enterprise feed; staleness beyond 60 days triggers a low-severity alert. The anomaly-service cache hit ratio is monitored; a drop below 90% indicates a sizing problem.</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Fingerprint signals drift over browser updates, causing legitimate users to be stepped-up frequently.</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Tolerance band in fingerprint comparison; allow 1-signal drift without score penalty. Weekly step-up-rate monitoring with threshold tuning.</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Fingerprint becomes a tracking identifier subject to GDPR consent.</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Store only the SHA-256 hash and coarse classification; partition per tenant; data-protection impact assessment (DPIA) on file.</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Trust-score engine outage breaks login.</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HA deployment with permissive fallback (score 50) on outage; circuit breaker; alerting on fallback activation.</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Anomaly service returns false positives (impossible travel) for users on VPNs.</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VPN egress IP ranges are allow-listed; step-up MFA (not block) is the response; per-tenant allow-list maintained by support.</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Strong protection against credential stuffing and session hijacking.</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Added login latency (~15ms p99) and occasional step-up friction.</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Self-service device management improves user trust.</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Additional surface area in the account-settings UI requiring localisation and support.</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Anomaly detection provides early warning of attacks.</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False positives on VPN users require allow-list maintenance.</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Per-tenant threshold tuning allows market-specific calibration.</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Configuration drift across tenants complicates support and audit.</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Strict device allow-lists were rejected because they break BYOD (a principal cannot pre-register a personal laptop they have not yet used) and kiosks (where any student may use any terminal), which together represent the majority of teacher and student traffic. No device binding (MFA-only) was rejected because MFA alone cannot distinguish a legitimate user on a new device from an attacker with stolen credentials and a stolen MFA seed; the 2024 Kaseya-style supply-chain attack demonstrated that MFA seeds can be exfiltrated. Hardware-bound certificates (device PKI) were rejected because they require an MDM enrollment step that excludes BYOD and imposes an operational burden that the largest customers have explicitly rejected. IP-based binding was rejected because residential IPs rotate frequently (causing false positives) and school NAT egress IPs are shared by hundreds of students (providing no signal). The trust-scored approach is the only one that simultaneously satisfies the security, usability, and compatibility requirements; the full reasoning is captured in the Options Considered table.</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Migration is phased over one quarter alongside the authentication-stack migration (per ADR-062). Phase 1 (weeks 1-3): deploy the device-binding subsystem (device_binding table, FingerprintHasher, TrustScoreEngine, AnomalyService) in shadow mode (fingerprints are collected and scored but the score is logged, not enforced). Phase 2 (weeks 4-6): enable step-up enforcement for administrators only; collect feedback on the step-up rate and tune thresholds. Phase 3 (weeks 7-9): enable step-up enforcement for all principals at the default threshold (70); enable the self-service device-management UI. Phase 4 (weeks 10-12): enable the administrative bulk-revoke API and the operational runbooks. Phase 5 (week 13): the shadow-mode logging is removed. Rollback is possible at any point by disabling step-up enforcement (the subsystem reverts to shadow mode); the device records remain in place for principals who have them, but step-up is not triggered. The legacy platform's IP-rate-limit (a crude device proxy) is decommissioned in Phase 4.</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The device-binding subsystem is tested at four levels. Unit tests cover the FingerprintHasher (canonicalisation correctness), the TrustScoreEngine (signal weighting, threshold crossing), and the AnomalyService (impossible-travel detection, VPN allow-list). Coverage target is 95%. Integration tests cover the device-store CRUD, the trust-score computation end-to-end, and the step-up invocation. End-to-end tests cover the full login -&gt; device-binding -&gt; step-up -&gt; success path. Security tests cover fingerprint-hash collision resistance, the permissive-fallback on outage, and the bulk-revoke rate limit. Performance tests cover the trust-score computation at projected peak (5,000 logins per second). Red-team tests cover the fingerprint-spoofing attack (must trigger step-up), the fingerprint-replay attack (must be rejected by recency scoring), and the anomaly-service bypass. The acceptance criterion is zero device-binding bypass incidents in the post-cutover penetration test.</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Six golden signals are monitored. (1) Step-up rate: target under 5% of logins, alert above 10% (possible UX issue or attack). (2) Trust-score distribution: median should be 85+, alert if median drops below 75 (possible fingerprint-drift epidemic). (3) Anomaly-service cache hit ratio: target above 90%, alert below 80% (sizing problem). (4) Device-store lookup latency p99: target under 5ms, alert above 10ms. (5) Trust-score computation latency p99: target under 50ms, alert above 100ms. (6) Fingerprint-hash collision rate: target 0, alert on any collision (possible attack or hash bug). A dedicated device-binding dashboard surfaces these alongside the per-tenant step-up rate, the attestation-type distribution, and the top anomaly reasons. Anomaly detection (per ADR-088) flags unusual patterns such as a tenant-wide step-up burst (possible attack) or a single principal's device count exceeding 20 (possible account sharing).</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The device-binding subsystem is expected to evolve in three directions. First, the trust-score engine may incorporate behavioural signals (typing cadence, mouse movement) for continuous authentication; this is monitored but not planned for v1 because of the privacy implications. Second, the system may integrate with the FIDO2 passkey ecosystem (which builds on WebAuthn) to enable passwordless authentication; the device-binding record would then become the primary principal identifier, which is a larger change and would require its own ADR. Third, the system may add device-posture signals (OS version, browser version, patch level) to the trust score, raising the bar for outdated devices; this is planned for v2 and is tracked as a follow-up. The trigger for revisiting this ADR is a regulatory change (e.g., EU eIDAS 2.0 requiring hardware-bound authentication) or a material change in the device fleet composition.</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ADR-061 - Identity Model (provides principal_id for device records)</w:t>
      </w:r>
    </w:p>
    <w:p>
      <w:pPr>
        <w:pStyle w:val="ListParagraph"/>
        <w:numPr>
          <w:ilvl w:val="0"/>
          <w:numId w:val="1"/>
        </w:numPr>
        <w:spacing w:after="60" w:line="312"/>
        <w:ind w:left="720" w:hanging="360"/>
      </w:pPr>
      <w:r>
        <w:rPr>
          <w:rFonts w:ascii="Inter" w:eastAsia="Inter"/>
          <w:color w:val="1E293B"/>
          <w:sz w:val="22"/>
          <w:szCs w:val="22"/>
        </w:rPr>
        <w:t xml:space="preserve">ADR-062 - Authentication (invokes device binding in login flow)</w:t>
      </w:r>
    </w:p>
    <w:p>
      <w:pPr>
        <w:pStyle w:val="ListParagraph"/>
        <w:numPr>
          <w:ilvl w:val="0"/>
          <w:numId w:val="1"/>
        </w:numPr>
        <w:spacing w:after="60" w:line="312"/>
        <w:ind w:left="720" w:hanging="360"/>
      </w:pPr>
      <w:r>
        <w:rPr>
          <w:rFonts w:ascii="Inter" w:eastAsia="Inter"/>
          <w:color w:val="1E293B"/>
          <w:sz w:val="22"/>
          <w:szCs w:val="22"/>
        </w:rPr>
        <w:t xml:space="preserve">ADR-072 - MFA (invoked as step-up when trust score &lt; threshold)</w:t>
      </w:r>
    </w:p>
    <w:p>
      <w:pPr>
        <w:pStyle w:val="ListParagraph"/>
        <w:numPr>
          <w:ilvl w:val="0"/>
          <w:numId w:val="1"/>
        </w:numPr>
        <w:spacing w:after="60" w:line="312"/>
        <w:ind w:left="720" w:hanging="360"/>
      </w:pPr>
      <w:r>
        <w:rPr>
          <w:rFonts w:ascii="Inter" w:eastAsia="Inter"/>
          <w:color w:val="1E293B"/>
          <w:sz w:val="22"/>
          <w:szCs w:val="22"/>
        </w:rPr>
        <w:t xml:space="preserve">ADR-074 - Session Management (device revocation invalidates sessions)</w:t>
      </w:r>
    </w:p>
    <w:p>
      <w:pPr>
        <w:pStyle w:val="ListParagraph"/>
        <w:numPr>
          <w:ilvl w:val="0"/>
          <w:numId w:val="1"/>
        </w:numPr>
        <w:spacing w:after="60" w:line="312"/>
        <w:ind w:left="720" w:hanging="360"/>
      </w:pPr>
      <w:r>
        <w:rPr>
          <w:rFonts w:ascii="Inter" w:eastAsia="Inter"/>
          <w:color w:val="1E293B"/>
          <w:sz w:val="22"/>
          <w:szCs w:val="22"/>
        </w:rPr>
        <w:t xml:space="preserve">ADR-077 - Encryption (fingerprint payload protected by TLS 1.3)</w:t>
      </w:r>
    </w:p>
    <w:p>
      <w:pPr>
        <w:pStyle w:val="ListParagraph"/>
        <w:numPr>
          <w:ilvl w:val="0"/>
          <w:numId w:val="1"/>
        </w:numPr>
        <w:spacing w:after="60" w:line="312"/>
        <w:ind w:left="720" w:hanging="360"/>
      </w:pPr>
      <w:r>
        <w:rPr>
          <w:rFonts w:ascii="Inter" w:eastAsia="Inter"/>
          <w:color w:val="1E293B"/>
          <w:sz w:val="22"/>
          <w:szCs w:val="22"/>
        </w:rPr>
        <w:t xml:space="preserve">ADR-079 - PII Protection (fingerprint hash is borderline PII; DPIA on file)</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RFC 7636 - Proof Key for Code Exchange by OAuth Public Clients. IETF. 2015.</w:t>
      </w:r>
    </w:p>
    <w:p>
      <w:pPr>
        <w:pStyle w:val="ListParagraph"/>
        <w:numPr>
          <w:ilvl w:val="0"/>
          <w:numId w:val="1"/>
        </w:numPr>
        <w:spacing w:after="60" w:line="312"/>
        <w:ind w:left="720" w:hanging="360"/>
      </w:pPr>
      <w:r>
        <w:rPr>
          <w:rFonts w:ascii="Inter" w:eastAsia="Inter"/>
          <w:color w:val="1E293B"/>
          <w:sz w:val="22"/>
          <w:szCs w:val="22"/>
        </w:rPr>
        <w:t xml:space="preserve">FIDO Alliance - CTAP 2.1 Specification. FIDO Alliance. 2023.</w:t>
      </w:r>
    </w:p>
    <w:p>
      <w:pPr>
        <w:pStyle w:val="ListParagraph"/>
        <w:numPr>
          <w:ilvl w:val="0"/>
          <w:numId w:val="1"/>
        </w:numPr>
        <w:spacing w:after="60" w:line="312"/>
        <w:ind w:left="720" w:hanging="360"/>
      </w:pPr>
      <w:r>
        <w:rPr>
          <w:rFonts w:ascii="Inter" w:eastAsia="Inter"/>
          <w:color w:val="1E293B"/>
          <w:sz w:val="22"/>
          <w:szCs w:val="22"/>
        </w:rPr>
        <w:t xml:space="preserve">Google - Play Integrity API Developer Guide. Google. 2024.</w:t>
      </w:r>
    </w:p>
    <w:p>
      <w:pPr>
        <w:pStyle w:val="ListParagraph"/>
        <w:numPr>
          <w:ilvl w:val="0"/>
          <w:numId w:val="1"/>
        </w:numPr>
        <w:spacing w:after="60" w:line="312"/>
        <w:ind w:left="720" w:hanging="360"/>
      </w:pPr>
      <w:r>
        <w:rPr>
          <w:rFonts w:ascii="Inter" w:eastAsia="Inter"/>
          <w:color w:val="1E293B"/>
          <w:sz w:val="22"/>
          <w:szCs w:val="22"/>
        </w:rPr>
        <w:t xml:space="preserve">Apple - DeviceCheck Framework Reference. Apple. 2024.</w:t>
      </w:r>
    </w:p>
    <w:p>
      <w:pPr>
        <w:pStyle w:val="ListParagraph"/>
        <w:numPr>
          <w:ilvl w:val="0"/>
          <w:numId w:val="1"/>
        </w:numPr>
        <w:spacing w:after="60" w:line="312"/>
        <w:ind w:left="720" w:hanging="360"/>
      </w:pPr>
      <w:r>
        <w:rPr>
          <w:rFonts w:ascii="Inter" w:eastAsia="Inter"/>
          <w:color w:val="1E293B"/>
          <w:sz w:val="22"/>
          <w:szCs w:val="22"/>
        </w:rPr>
        <w:t xml:space="preserve">PreOne Engineering Handbook, Section 4.13 - Device Binding. Internal. 2025.</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2025-08-01</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Platform Security Architect</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options enumerated; consultation with security and engineering teams</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2025-09-17</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Platform Security Architect</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Architecture Review Board after cross-team review</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2025-10-15</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published to architecture repository</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2026-07-15</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cross-references to Vol 1-3 ADRs added; 34-section template applied</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Platform Security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Authentication Platform Lead</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Architecture Review Board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ADR published to architecture repository (Done)</w:t>
      </w:r>
    </w:p>
    <w:p>
      <w:pPr>
        <w:pStyle w:val="ListParagraph"/>
        <w:numPr>
          <w:ilvl w:val="0"/>
          <w:numId w:val="1"/>
        </w:numPr>
        <w:spacing w:after="60" w:line="312"/>
        <w:ind w:left="720" w:hanging="360"/>
      </w:pPr>
      <w:r>
        <w:rPr>
          <w:rFonts w:ascii="Inter" w:eastAsia="Inter"/>
          <w:color w:val="1E293B"/>
          <w:sz w:val="22"/>
          <w:szCs w:val="22"/>
        </w:rPr>
        <w:t xml:space="preserve">Cross-references to upstream/downstream artefacts added (Done)</w:t>
      </w:r>
    </w:p>
    <w:p>
      <w:pPr>
        <w:pStyle w:val="ListParagraph"/>
        <w:numPr>
          <w:ilvl w:val="0"/>
          <w:numId w:val="1"/>
        </w:numPr>
        <w:spacing w:after="60" w:line="312"/>
        <w:ind w:left="720" w:hanging="360"/>
      </w:pPr>
      <w:r>
        <w:rPr>
          <w:rFonts w:ascii="Inter" w:eastAsia="Inter"/>
          <w:color w:val="1E293B"/>
          <w:sz w:val="22"/>
          <w:szCs w:val="22"/>
        </w:rPr>
        <w:t xml:space="preserve">Security team briefed in monthly architecture sync (Done)</w:t>
      </w:r>
    </w:p>
    <w:p>
      <w:pPr>
        <w:pStyle w:val="ListParagraph"/>
        <w:numPr>
          <w:ilvl w:val="0"/>
          <w:numId w:val="1"/>
        </w:numPr>
        <w:spacing w:after="60" w:line="312"/>
        <w:ind w:left="720" w:hanging="360"/>
      </w:pPr>
      <w:r>
        <w:rPr>
          <w:rFonts w:ascii="Inter" w:eastAsia="Inter"/>
          <w:color w:val="1E293B"/>
          <w:sz w:val="22"/>
          <w:szCs w:val="22"/>
        </w:rPr>
        <w:t xml:space="preserve">Code review checklist updated to enforce this ADR (Done)</w:t>
      </w:r>
    </w:p>
    <w:p>
      <w:pPr>
        <w:pStyle w:val="ListParagraph"/>
        <w:numPr>
          <w:ilvl w:val="0"/>
          <w:numId w:val="1"/>
        </w:numPr>
        <w:spacing w:after="60" w:line="312"/>
        <w:ind w:left="720" w:hanging="360"/>
      </w:pPr>
      <w:r>
        <w:rPr>
          <w:rFonts w:ascii="Inter" w:eastAsia="Inter"/>
          <w:color w:val="1E293B"/>
          <w:sz w:val="22"/>
          <w:szCs w:val="22"/>
        </w:rPr>
        <w:t xml:space="preserve">On-call runbook updated with operational procedures (Done)</w:t>
      </w:r>
    </w:p>
    <w:p>
      <w:pPr>
        <w:pStyle w:val="ListParagraph"/>
        <w:numPr>
          <w:ilvl w:val="0"/>
          <w:numId w:val="1"/>
        </w:numPr>
        <w:spacing w:after="60" w:line="312"/>
        <w:ind w:left="720" w:hanging="360"/>
      </w:pPr>
      <w:r>
        <w:rPr>
          <w:rFonts w:ascii="Inter" w:eastAsia="Inter"/>
          <w:color w:val="1E293B"/>
          <w:sz w:val="22"/>
          <w:szCs w:val="22"/>
        </w:rPr>
        <w:t xml:space="preserve">Device fingerprint hashing implemented (Done)</w:t>
      </w:r>
    </w:p>
    <w:p>
      <w:pPr>
        <w:pStyle w:val="ListParagraph"/>
        <w:numPr>
          <w:ilvl w:val="0"/>
          <w:numId w:val="1"/>
        </w:numPr>
        <w:spacing w:after="60" w:line="312"/>
        <w:ind w:left="720" w:hanging="360"/>
      </w:pPr>
      <w:r>
        <w:rPr>
          <w:rFonts w:ascii="Inter" w:eastAsia="Inter"/>
          <w:color w:val="1E293B"/>
          <w:sz w:val="22"/>
          <w:szCs w:val="22"/>
        </w:rPr>
        <w:t xml:space="preserve">Trusted Devices UI panel (Done)</w:t>
      </w:r>
    </w:p>
    <w:p>
      <w:pPr>
        <w:pStyle w:val="ListParagraph"/>
        <w:numPr>
          <w:ilvl w:val="0"/>
          <w:numId w:val="1"/>
        </w:numPr>
        <w:spacing w:after="60" w:line="312"/>
        <w:ind w:left="720" w:hanging="360"/>
      </w:pPr>
      <w:r>
        <w:rPr>
          <w:rFonts w:ascii="Inter" w:eastAsia="Inter"/>
          <w:color w:val="1E293B"/>
          <w:sz w:val="22"/>
          <w:szCs w:val="22"/>
        </w:rPr>
        <w:t xml:space="preserve">New-device verification flow (Done)</w:t>
      </w:r>
    </w:p>
    <w:p>
      <w:pPr>
        <w:pStyle w:val="ListParagraph"/>
        <w:numPr>
          <w:ilvl w:val="0"/>
          <w:numId w:val="1"/>
        </w:numPr>
        <w:spacing w:after="60" w:line="312"/>
        <w:ind w:left="720" w:hanging="360"/>
      </w:pPr>
      <w:r>
        <w:rPr>
          <w:rFonts w:ascii="Inter" w:eastAsia="Inter"/>
          <w:color w:val="1E293B"/>
          <w:sz w:val="22"/>
          <w:szCs w:val="22"/>
        </w:rPr>
        <w:t xml:space="preserve">WebAuthn passkey integration (Done)</w:t>
      </w:r>
    </w:p>
    <w:p>
      <w:pPr>
        <w:pStyle w:val="ListParagraph"/>
        <w:numPr>
          <w:ilvl w:val="0"/>
          <w:numId w:val="1"/>
        </w:numPr>
        <w:spacing w:after="60" w:line="312"/>
        <w:ind w:left="720" w:hanging="360"/>
      </w:pPr>
      <w:r>
        <w:rPr>
          <w:rFonts w:ascii="Inter" w:eastAsia="Inter"/>
          <w:color w:val="1E293B"/>
          <w:sz w:val="22"/>
          <w:szCs w:val="22"/>
        </w:rPr>
        <w:t xml:space="preserve">Device revocation flow (Done)</w:t>
      </w:r>
    </w:p>
    <w:p>
      <w:pPr>
        <w:pStyle w:val="ListParagraph"/>
        <w:numPr>
          <w:ilvl w:val="0"/>
          <w:numId w:val="1"/>
        </w:numPr>
        <w:spacing w:after="60" w:line="312"/>
        <w:ind w:left="720" w:hanging="360"/>
      </w:pPr>
      <w:r>
        <w:rPr>
          <w:rFonts w:ascii="Inter" w:eastAsia="Inter"/>
          <w:color w:val="1E293B"/>
          <w:sz w:val="22"/>
          <w:szCs w:val="22"/>
        </w:rPr>
        <w:t xml:space="preserve">Quarterly device-trust review (Scheduled)</w:t>
      </w:r>
    </w:p>
    <w:p>
      <w:pPr>
        <w:spacing w:after="60" w:before="360" w:line="280"/>
      </w:pPr>
      <w:r>
        <w:rPr>
          <w:rFonts w:ascii="Inter" w:eastAsia="Inter"/>
          <w:b/>
          <w:bCs/>
          <w:color w:val="4F46E5"/>
          <w:spacing w:val="60"/>
          <w:sz w:val="22"/>
          <w:szCs w:val="22"/>
        </w:rPr>
        <w:t xml:space="preserve">ADR-074</w:t>
      </w:r>
    </w:p>
    <w:p>
      <w:pPr>
        <w:pStyle w:val="Heading1"/>
        <w:spacing w:after="200" w:before="60" w:line="312"/>
      </w:pPr>
      <w:r>
        <w:rPr>
          <w:rFonts w:ascii="Inter" w:eastAsia="Inter"/>
          <w:b/>
          <w:bCs/>
          <w:color w:val="0F172A"/>
          <w:sz w:val="36"/>
          <w:szCs w:val="36"/>
        </w:rPr>
        <w:t xml:space="preserve">Session Management</w:t>
      </w:r>
    </w:p>
    <w:p>
      <w:pPr>
        <w:spacing w:after="120" w:line="280"/>
      </w:pPr>
      <w:r>
        <w:rPr>
          <w:rFonts w:ascii="Inter" w:eastAsia="Inter"/>
          <w:color w:val="64748B"/>
          <w:sz w:val="20"/>
          <w:szCs w:val="20"/>
        </w:rPr>
        <w:t xml:space="preserve">Volume 4 — Security Architecture  -  </w:t>
      </w:r>
      <w:r>
        <w:rPr>
          <w:rFonts w:ascii="Inter" w:eastAsia="Inter"/>
          <w:color w:val="64748B"/>
          <w:sz w:val="20"/>
          <w:szCs w:val="20"/>
        </w:rPr>
        <w:t xml:space="preserve">Identity &amp; Security</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Adopt a sliding-session model with a 12-hour idle timeout, a 7-day absolute timeout, and a per-principal concurrent-session limit of 5. Sessions are stored in Redis as signed JWTs with a server-side revocation list, and are invalidated on password change, MFA revocation, or device revocation.</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Platform Security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review, or on security incident, or on customer procurement requirement</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refreshes for series alignment and cross-references)</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The legacy platform uses stateless JWTs with a 30-day absolute expiry and no idle timeout, which the 2025 Q3 security review identified as the single largest session-security gap. Long-lived stateless tokens cannot be revoked without server-side state, which means a stolen token remains valid for up to 30 days. The ARB considered four session models. The first is pure stateless JWTs with short expiry (15 minutes) and refresh tokens, which is rejected because the refresh-token flow itself becomes the de facto session and inherits the same revocation problem. The second is server-side sessions stored in a database, which is rejected because the lookup cost on every request is prohibitive at PreOne's scale. The third is sliding sessions in Redis with short idle timeout, which is selected because it provides revocation, idle timeout, and concurrent-session limits at acceptable performance. The fourth is a hybrid (stateless JWT for the first 15 minutes, then server-side check), which is rejected as unnecessarily complex.
This ADR defines session management. It depends on ADR-062 (Authentication) for session creation, ADR-070 (JWT Policy) for the token format, and ADR-071 (Refresh Token Policy) for the refresh flow.</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The 2026 international expansion requires session timeouts aligned with each regulatory regime: GDPR recommends idle timeouts for PII-accessing sessions; COPPA requires parental re-authentication for minors after 30 minutes of inactivity; DPDP requires audit logs of session termination. A single configurable session model with per-tenant policy satisfies all three. The business also requires concurrent-session limits to prevent credential sharing, which is a common abuse pattern in education (students share logins to access paid content). Finally, the business requires that session revocation be near-instantaneous (under 5 seconds) to support incident response, which rules out stateless-only models.</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The legacy platform uses 30-day stateless JWTs that cannot be revoked, which leaves stolen tokens valid for up to 30 days and prevents concurrent-session control. PreOne needs a session model that supports idle timeout, absolute timeout, concurrent-session limits, and near-instantaneous revocation, at acceptable performance for 5,000 requests per second.</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Sessions must be revocable within 5 seconds p99 across the platform.</w:t>
      </w:r>
    </w:p>
    <w:p>
      <w:pPr>
        <w:pStyle w:val="ListParagraph"/>
        <w:numPr>
          <w:ilvl w:val="0"/>
          <w:numId w:val="1"/>
        </w:numPr>
        <w:spacing w:after="60" w:line="312"/>
        <w:ind w:left="720" w:hanging="360"/>
      </w:pPr>
      <w:r>
        <w:rPr>
          <w:rFonts w:ascii="Inter" w:eastAsia="Inter"/>
          <w:color w:val="1E293B"/>
          <w:sz w:val="22"/>
          <w:szCs w:val="22"/>
        </w:rPr>
        <w:t xml:space="preserve">The session-store lookup must add less than 2ms p99 to every authenticated request.</w:t>
      </w:r>
    </w:p>
    <w:p>
      <w:pPr>
        <w:pStyle w:val="ListParagraph"/>
        <w:numPr>
          <w:ilvl w:val="0"/>
          <w:numId w:val="1"/>
        </w:numPr>
        <w:spacing w:after="60" w:line="312"/>
        <w:ind w:left="720" w:hanging="360"/>
      </w:pPr>
      <w:r>
        <w:rPr>
          <w:rFonts w:ascii="Inter" w:eastAsia="Inter"/>
          <w:color w:val="1E293B"/>
          <w:sz w:val="22"/>
          <w:szCs w:val="22"/>
        </w:rPr>
        <w:t xml:space="preserve">Per-principal concurrent sessions must be limited to a tenant-configurable value (default 5).</w:t>
      </w:r>
    </w:p>
    <w:p>
      <w:pPr>
        <w:pStyle w:val="ListParagraph"/>
        <w:numPr>
          <w:ilvl w:val="0"/>
          <w:numId w:val="1"/>
        </w:numPr>
        <w:spacing w:after="60" w:line="312"/>
        <w:ind w:left="720" w:hanging="360"/>
      </w:pPr>
      <w:r>
        <w:rPr>
          <w:rFonts w:ascii="Inter" w:eastAsia="Inter"/>
          <w:color w:val="1E293B"/>
          <w:sz w:val="22"/>
          <w:szCs w:val="22"/>
        </w:rPr>
        <w:t xml:space="preserve">Idle and absolute timeouts must be configurable per tenant and per principal role (e.g., shorter for administrators).</w:t>
      </w:r>
    </w:p>
    <w:p>
      <w:pPr>
        <w:pStyle w:val="ListParagraph"/>
        <w:numPr>
          <w:ilvl w:val="0"/>
          <w:numId w:val="1"/>
        </w:numPr>
        <w:spacing w:after="60" w:line="312"/>
        <w:ind w:left="720" w:hanging="360"/>
      </w:pPr>
      <w:r>
        <w:rPr>
          <w:rFonts w:ascii="Inter" w:eastAsia="Inter"/>
          <w:color w:val="1E293B"/>
          <w:sz w:val="22"/>
          <w:szCs w:val="22"/>
        </w:rPr>
        <w:t xml:space="preserve">The session model must remain compatible with the JWT format defined in ADR-070 to avoid a flag-day token migration.</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Redis (per ADR-046, Caching) is available with sufficient capacity for ~2M concurrent sessions at peak.</w:t>
      </w:r>
    </w:p>
    <w:p>
      <w:pPr>
        <w:pStyle w:val="ListParagraph"/>
        <w:numPr>
          <w:ilvl w:val="0"/>
          <w:numId w:val="1"/>
        </w:numPr>
        <w:spacing w:after="60" w:line="312"/>
        <w:ind w:left="720" w:hanging="360"/>
      </w:pPr>
      <w:r>
        <w:rPr>
          <w:rFonts w:ascii="Inter" w:eastAsia="Inter"/>
          <w:color w:val="1E293B"/>
          <w:sz w:val="22"/>
          <w:szCs w:val="22"/>
        </w:rPr>
        <w:t xml:space="preserve">The JWT signature verification (RS256 per ADR-070) is fast enough (&lt;1ms) to be performed on every request.</w:t>
      </w:r>
    </w:p>
    <w:p>
      <w:pPr>
        <w:pStyle w:val="ListParagraph"/>
        <w:numPr>
          <w:ilvl w:val="0"/>
          <w:numId w:val="1"/>
        </w:numPr>
        <w:spacing w:after="60" w:line="312"/>
        <w:ind w:left="720" w:hanging="360"/>
      </w:pPr>
      <w:r>
        <w:rPr>
          <w:rFonts w:ascii="Inter" w:eastAsia="Inter"/>
          <w:color w:val="1E293B"/>
          <w:sz w:val="22"/>
          <w:szCs w:val="22"/>
        </w:rPr>
        <w:t xml:space="preserve">Principals will tolerate being signed out after 12 hours of inactivity, provided the re-login flow is fast (&lt;3 seconds).</w:t>
      </w:r>
    </w:p>
    <w:p>
      <w:pPr>
        <w:pStyle w:val="ListParagraph"/>
        <w:numPr>
          <w:ilvl w:val="0"/>
          <w:numId w:val="1"/>
        </w:numPr>
        <w:spacing w:after="60" w:line="312"/>
        <w:ind w:left="720" w:hanging="360"/>
      </w:pPr>
      <w:r>
        <w:rPr>
          <w:rFonts w:ascii="Inter" w:eastAsia="Inter"/>
          <w:color w:val="1E293B"/>
          <w:sz w:val="22"/>
          <w:szCs w:val="22"/>
        </w:rPr>
        <w:t xml:space="preserve">COPPA minors' sessions will be configured with a 30-minute idle timeout at the tenant level.</w:t>
      </w:r>
    </w:p>
    <w:p>
      <w:pPr>
        <w:pStyle w:val="ListParagraph"/>
        <w:numPr>
          <w:ilvl w:val="0"/>
          <w:numId w:val="1"/>
        </w:numPr>
        <w:spacing w:after="60" w:line="312"/>
        <w:ind w:left="720" w:hanging="360"/>
      </w:pPr>
      <w:r>
        <w:rPr>
          <w:rFonts w:ascii="Inter" w:eastAsia="Inter"/>
          <w:color w:val="1E293B"/>
          <w:sz w:val="22"/>
          <w:szCs w:val="22"/>
        </w:rPr>
        <w:t xml:space="preserve">The revocation list will be checked on every request via a Redis SET membership test, which is O(1).</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Sliding sessions in Redis with idle timeout, absolute timeout, concurrent limit, and revocation list.</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Provides revocation, idle timeout, and concurrent limits. Sub-2ms lookup. Compatible with JWT format. Per-tenant policy configurable.</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Redis dependency on every authenticated request. Redis outage breaks authentication (mitigated by fallback). Operational burden of Redis Cluster management.</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Adopted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Pure stateless JWTs with short expiry (15 minutes) and refresh tokens.</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No server-side state. Horizontally scalable without shared store. Simple to operate.</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Refresh-token flow becomes the de facto session and inherits the revocation problem. Stolen refresh token is as valuable as a stolen session. Cannot enforce concurrent limits.</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Server-side sessions in PostgreSQL.</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Strong consistency. ACID guarantees. Familiar operational model.</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Lookup cost (5-10ms even with caching) is prohibitive at 5,000 RPS. Write amplification on last_seen saturates the database.</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Hybrid: stateless JWT for 15 minutes, then server-side check.</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Reduces server-side load in the first 15 minutes of a session. Preserves revocation after 15 minutes.</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Two code paths double the testing surface. Server-side check still required after 15 minutes. Performance win only on the first 15 minutes - exactly when sessions are most numerous.</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We will adopt a sliding-session model. On successful authentication, the server issues a JWT (per ADR-070) with a 15-minute expiry and stores a session record in Redis keyed by the JWT's session_id (a UUIDv7 claim). The session record contains the principal_id, tenant_id, device fingerprint hash (per ADR-073), issued_at, last_seen, and expires_at. On every authenticated request, the server verifies the JWT signature, looks up the session in Redis, updates last_seen (sliding), and rejects if the session is revoked or expired. Idle timeout is 12 hours (configurable per tenant); absolute timeout is 7 days. Per-principal concurrent sessions are limited to 5; new sessions beyond the limit revoke the oldest.</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The sliding-session model is selected because it is the only option that simultaneously satisfies the revocation, idle-timeout, concurrent-limit, and performance requirements. Pure stateless JWTs with refresh tokens were rejected because the refresh-token flow becomes the de facto session and inherits the same revocation problem; a stolen refresh token is as valuable as a stolen session. Server-side sessions in PostgreSQL were rejected because the lookup cost (even with caching) adds 5-10ms to every request, which is unacceptable at 5,000 requests per second. The hybrid model was rejected because it adds complexity (two code paths) without meaningful benefit: the server-side check is still required after 15 minutes, so the performance win is only on the first 15 minutes of a session.
The 12-hour idle timeout is calibrated against user-behaviour data: 95% of teacher sessions end within 4 hours, and 99% within 8 hours; 12 hours covers the longest legitimate workday while preventing the indefinite sessions that the security review flagged. The 7-day absolute timeout forces periodic re-authentication, which is a defence-in-depth measure against stolen tokens: even an undetected token theft expires within 7 days. The 5-session concurrent limit is calibrated against legitimate usage (a principal typically uses 1-3 devices) while preventing the credential-sharing abuse pattern (which often involves 10+ concurrent sessions).
Session revocation is implemented via a Redis SET of revoked session_ids with TTL equal to the session's remaining lifetime. On every request, the server performs an O(1) SISMEMBER check against the revocation list. Revocation is triggered by: explicit logout, password change (per ADR-075), MFA factor revocation (per ADR-072), device revocation (per ADR-073), administrative action, and security-incident response (per ADR-089). The revocation list is replicated across Redis nodes; revocation propagation is under 5 seconds p99.</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SESSION MANAGEMENT SUBSYSTEM                 |
+-------------------------------------------------------------+
| Auth API (ADR-062)                                          |
|   on success: issue JWT (15min) + create session in Redis   |
+-------------------------------------------------------------+
        |  JWT (session_id claim)                             |
        v                                                     |
| Redis Session Store                                         |
|   key: session:{session_id}                                 |
|   val: {principal_id, tenant_id, device_hash,               |
|         issued_at, last_seen, expires_at}                   |
|   TTL: idle_timeout (12h, sliding)                          |
+-------------------------------------------------------------+
        |  +-- Revocation Set (Redis SET)                     |
        |  |   key: revoked_sessions                          |
        |  |   val: {session_id1, session_id2, ...}           |
        |  |   TTL: per-member                                |
        v  v                                                  |
| Auth Middleware (every request)                              |
|   1. verify JWT signature (RS256)                           |
|   2. SISMEMBER revoked_sessions session_id  -&gt; reject if 1  |
|   3. GET session:{session_id}            -&gt; reject if nil   |
|   4. update last_seen (sliding)                             |
|   5. enforce concurrent-session limit                       |
+-------------------------------------------------------------+</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Client -&gt; Auth API: POST /auth/login (credentials + MFA)
Auth API -&gt; JWT Issuer: generate JWT (15min, session_id claim)
JWT Issuer -&gt; Redis: SET session:{id} {payload} EX 43200
Redis -&gt; JWT Issuer: OK
JWT Issuer -&gt; Client: 200 OK {access_token, refresh_token}
Client -&gt; API: GET /resource (Authorization: Bearer JWT)
API -&gt; Auth Middleware: verify JWT + Redis lookup
Auth Middleware -&gt; Redis: SISMEMBER revoked_sessions id
Auth Middleware -&gt; Redis: GET session:{id} + update last_seen
Auth Middleware -&gt; API: principal context
API -&gt; Client: 200 OK {resource}</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ADR-074 — Session Management  -  Component View         |
+-------------------------------------------------------------+
|                                                             |
|  +----------------+        +----------------------+         |
|  | Auth Service   | issue  | Token Service        |         |
|  |                |-------&gt;| (JWT / Refresh /     |         |
|  +----------------+        |  Session)            |         |
|                              +----------+-----------+         |
|                                         |                     |
|                                         | verify              |
|                                         v                     |
|  +----------------+        +----------------------+         |
|  | API Gateway    |  recv  | Token Validator      |         |
|  |                |-------&gt;| (signature + exp)    |         |
|  +----------------+        +----------+-----------+         |
|                                       |                     |
|                                       | cache (Redis)       |
|                                       v                     |
|  +----------------+        +----------------------+         |
|  | Session Store  |  CRUD  | Redis                |         |
|  |                |-------&gt;| (active sessions)    |         |
|  +----------------+        +----------------------+         |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Token Lifecycle Flow:
  Auth Service -&gt; JWT Issuer: create (header.payload.signature)
  JWT Issuer -&gt; Client: access token (15min) + refresh token (30d)
  Client -&gt; API: Bearer token in header
  API -&gt; Token Validator: verify signature + expiry
  (valid) API -&gt; App: process request
  (expired) API -&gt; Client: 401 (trigger refresh)
Session Flow:
  Auth Service -&gt; Session Store (Redis): create session
  Client -&gt; API: Bearer + session cookie
  API -&gt; Session Store: validate active
  (logout) API -&gt; Session Store: delete session
  API -&gt; Audit: log 'SESSION_TERMINATED'</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No new persistent tables are introduced. Session state lives entirely in Redis, which is the canonical store for ephemeral session data per ADR-046. The principals table gains a column last_session_at (TIMESTAMPTZ) updated on session creation for concurrency-limit accounting; this is a hot column and is updated via a deferred write (queued in Redis, flushed to PostgreSQL every 30 seconds) to avoid write amplification. Audit logs of session creation and revocation are written to the audit_trail table per ADR-086. Expected Redis memory at steady state: ~2M sessions × 500 bytes = 1GB, well within a 3-node Redis Cluster capacity. Redis persistence (AOF every-second) provides acceptable durability for session data.</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The authentication API (per ADR-062) is extended with three session-management endpoints. POST /auth/logout revokes the current session and clears the refresh-token family (per ADR-071). POST /auth/sessions/list returns the principal's active sessions (session_id, device_hash, last_seen, ip_address) for the self-service UI. DELETE /auth/sessions/{session_id} revokes a specific session. Administrative endpoints GET /admin/tenants/{id}/sessions and DELETE allow tenant operators to list and revoke sessions in bulk. All endpoints are audit-logged per ADR-086. The session_id is exposed in the JWT as a claim but is not a sensitive identifier on its own: it is bound to the principal and is meaningless without the JWT signature.</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JWT and session management are largely invisible to end users. The UI maintains session via HTTP-only cookies (for web) and bearer tokens (for API). When an access token expires, the UI transparently refreshes it (via the refresh token) without user interaction; if the refresh token is also expired, the UI redirects to login with a 'Your session has expired. Please log in again.' message. The 'Account' page includes an 'Active Sessions' panel showing the user's active sessions (device, IP, last active) with a 'Revoke' button per session — useful for logging out of a forgotten device. JWT expiry is tuned to balance security (short expiry) and UX (no frequent re-login).</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Sliding sessions reduce the stolen-token attack window from 30 days (legacy) to 12 hours (idle timeout) or 7 days (absolute), a 60x improvement in the worst case. Concurrent-session limits prevent credential sharing, which the support team has identified as the leading abuse pattern in education customers. Near-instantaneous revocation enables effective incident response: a compromised principal can be locked out within 5 seconds, versus the legacy 30-day window. The Redis session store is a single point of failure for authentication; this is mitigated by Redis Cluster (3 nodes, 1 replica each) and a permissive fallback that accepts valid JWTs for 60 seconds during a Redis outage (the Redis-down window), after which authentication fails closed. The fallback window is monitored; a sustained outage triggers incident response per ADR-089.</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The session-store lookup adds 1-2ms p99 to every authenticated request, dominated by the Redis SISMEMBER and GET round-trip. At 5,000 requests per second (projected peak), this is 5,000 Redis operations per second, well within a single Redis node's capacity (~100K ops/sec). The revocation-list SISMEMBER is O(1) and adds negligible latency. The JWT signature verification (RS256) is the more expensive component at ~0.5ms per request; this is unavoidable given the JWT format (per ADR-070) and is amortised across all authenticated endpoints. The deferred write to principals.last_session_at avoids write amplification on the hot path. Total authentication-middleware overhead: ~3ms p99, acceptable for the 100ms p99 API budget.</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The session store scales linearly with the concurrent-principal count: ~2M sessions at peak (500K principals × 4 average concurrent sessions). Redis Cluster (3 shards) provides horizontal scaling beyond the single-node capacity; the sharding key is principal_id, which co-locates all sessions for a principal on one shard (required for concurrency-limit enforcement). The revocation list is a single SET and does not shard; at projected peak it holds ~10K revoked sessions, well within a single Redis SET's capacity. The concurrency-limit check requires enumerating the principal's sessions (SCAN by principal_id prefix); this is O(N) where N is the principal's session count (typically 1-5), so negligible. The 5M-principal projection requires Redis Cluster expansion to 9 shards, which is a configuration change, not an architectural one.</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The session-management subsystem requires four operational artefacts. (1) A runbook for Redis-cluster failover: the on-call engineer must verify that the permissive fallback activates and that authentication continues during a Redis node failure. (2) A runbook for revocation-list overflow: if the revocation list exceeds 100K entries (indicating a bulk-revocation incident), the engineer must verify that SISMEMBER latency remains under 1ms. (3) A runbook for concurrency-limit disputes: principals who hit the limit may contact support; the runbook covers manual limit elevation per principal with audit logging. (4) A runbook for session-store capacity: the DBA team monitors Redis memory usage and triggers cluster expansion at 70% utilisation. Per-tenant session-policy changes (idle timeout, absolute timeout, concurrency limit) are propagated within 60 seconds via the configuration service (per ADR-038).</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Redis outage breaks authentication.</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Redis Cluster HA (3 nodes, 1 replica each) + permissive 60-second fallback + circuit breaker + alerting on fallback activation.</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Revocation list grows unboundedly during bulk-revocation incidents.</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TTL on each member; monitor size; alert above 100K; incident-response runbook covers manual purge.</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Sliding-session update on every request saturates Redis.</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Batch updates via client-side buffer (every 5 minutes per session); monitor Redis write rate.</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Concurrent-session limit causes user frustration in legitimate multi-device scenarios.</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Default limit of 5 covers 99% of usage; per-principal override available; self-service session-management UI.</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Near-instantaneous revocation enables effective incident response.</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Redis dependency on every authenticated request.</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Idle timeout reduces stolen-token attack window.</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Principals must re-authenticate after 12 hours of inactivity.</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Concurrent-session limits prevent credential sharing.</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Legitimate multi-device users may hit the limit.</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Per-tenant policy tuning satisfies regulatory diversity.</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Configuration drift complicates support.</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Pure stateless JWTs with short expiry (15 minutes) and refresh tokens were rejected because the refresh-token flow becomes the de facto session and inherits the same revocation problem; a stolen refresh token is as valuable as a stolen session, and revoking refresh tokens requires the same server-side state that this model was trying to avoid. Server-side sessions in PostgreSQL were rejected because the lookup cost (5-10ms even with caching) is prohibitive at 5,000 requests per second, and the write amplification on last_seen would saturate the database. The hybrid model (stateless JWT for 15 minutes, then server-side check) was rejected as unnecessarily complex: it requires two code paths, doubles the testing surface, and the server-side check is still required after 15 minutes, so the performance win is only on the first 15 minutes of a session - exactly the period when sessions are most numerous. Cookie-based sessions (no JWT) were rejected because they do not work for the mobile app and the third-party-cookie deprecation in modern browsers makes cross-site sessions unreliable. The sliding-session model is the only one that satisfies all requirements; the full reasoning is captured in the Options Considered table.</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Migration is phased over one quarter alongside the authentication-stack migration (per ADR-062). Phase 1 (weeks 1-3): deploy the session-management subsystem (Redis session store, revocation set, auth middleware) in shadow mode (sessions are created in Redis but the legacy JWT validation continues). Phase 2 (weeks 4-6): enable the new auth middleware for administrators only; collect feedback on the revocation and concurrency-limit behaviour. Phase 3 (weeks 7-9): enable the new auth middleware for all principals; the legacy 30-day JWTs are migrated to 15-minute JWTs with refresh tokens (per ADR-071). Phase 4 (weeks 10-12): enable the self-service session-management UI and the administrative bulk-revoke API. Phase 5 (week 13): the shadow-mode logging is removed. Rollback is possible at any point by reverting to the legacy JWT validation; the Redis session store is left in place but ignored. The legacy 30-day JWTs are force-expired by rotating the JWT signing key (per ADR-070), which causes a one-time re-authentication for all principals.</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The session-management subsystem is tested at four levels. Unit tests cover the session-record serialisation, the revocation-list operations, and the concurrency-limit enforcement. Coverage target is 95%. Integration tests cover the session creation, lookup, sliding update, and revocation flows. End-to-end tests cover the full login -&gt; use -&gt; idle-timeout -&gt; re-login path and the login -&gt; logout -&gt; session-revoked path. Security tests cover the revocation propagation (must be under 5 seconds), the concurrency-limit bypass (must be rejected), and the Redis-outage fallback (must fail closed after 60 seconds). Performance tests cover the auth-middleware overhead at projected peak (5,000 requests per second). Chaos tests cover Redis-cluster failover and the permissive-fallback activation. The acceptance criterion is zero session-revocation bypass incidents in the post-cutover penetration test.</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Six golden signals are monitored. (1) Session-store lookup latency p99: target under 2ms, alert above 5ms. (2) Revocation-list size: target under 10K, alert above 100K (possible bulk-revocation incident). (3) Revocation propagation time p99: target under 5 seconds, alert above 10 seconds. (4) Concurrent-session-limit hit rate: target under 0.1% of logins, alert above 1% (possible credential-sharing epidemic). (5) Redis-cluster failover rate: target 0, alert on any failover. (6) Permissive-fallback activation rate: target 0, alert on any activation (indicates Redis issue). A dedicated session-management dashboard surfaces these alongside the active-session count, the per-tenant session-policy distribution, and the top revocation reasons. Anomaly detection (per ADR-088) flags unusual patterns such as a tenant-wide session-revocation burst (possible incident) or a single principal's session count exceeding 10 (possible abuse).</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The session-management subsystem is expected to evolve in three directions. First, the system may add continuous-authentication signals (per ADR-073 device trust) that progressively lower the session trust score over time, triggering step-up MFA without explicit logout; this is monitored but not planned for v1. Second, the system may integrate with the FIDO2 passkey ecosystem to enable passwordless re-authentication, reducing the friction of the 12-hour idle timeout; this is a larger change and would require its own ADR. Third, the system may add tenant-scoped session-anomaly detection that flags unusual session patterns (impossible travel between sessions, session from a new geolocation) in real time; this is planned for v2 and is tracked as a follow-up. The trigger for revisiting this ADR is a regulatory change (e.g., EU NIS2 requiring 8-hour idle timeouts) or a material change in the threat landscape.</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ADR-061 - Identity Model (provides principal_id for sessions)</w:t>
      </w:r>
    </w:p>
    <w:p>
      <w:pPr>
        <w:pStyle w:val="ListParagraph"/>
        <w:numPr>
          <w:ilvl w:val="0"/>
          <w:numId w:val="1"/>
        </w:numPr>
        <w:spacing w:after="60" w:line="312"/>
        <w:ind w:left="720" w:hanging="360"/>
      </w:pPr>
      <w:r>
        <w:rPr>
          <w:rFonts w:ascii="Inter" w:eastAsia="Inter"/>
          <w:color w:val="1E293B"/>
          <w:sz w:val="22"/>
          <w:szCs w:val="22"/>
        </w:rPr>
        <w:t xml:space="preserve">ADR-062 - Authentication (creates sessions on login)</w:t>
      </w:r>
    </w:p>
    <w:p>
      <w:pPr>
        <w:pStyle w:val="ListParagraph"/>
        <w:numPr>
          <w:ilvl w:val="0"/>
          <w:numId w:val="1"/>
        </w:numPr>
        <w:spacing w:after="60" w:line="312"/>
        <w:ind w:left="720" w:hanging="360"/>
      </w:pPr>
      <w:r>
        <w:rPr>
          <w:rFonts w:ascii="Inter" w:eastAsia="Inter"/>
          <w:color w:val="1E293B"/>
          <w:sz w:val="22"/>
          <w:szCs w:val="22"/>
        </w:rPr>
        <w:t xml:space="preserve">ADR-070 - JWT Policy (defines the JWT format)</w:t>
      </w:r>
    </w:p>
    <w:p>
      <w:pPr>
        <w:pStyle w:val="ListParagraph"/>
        <w:numPr>
          <w:ilvl w:val="0"/>
          <w:numId w:val="1"/>
        </w:numPr>
        <w:spacing w:after="60" w:line="312"/>
        <w:ind w:left="720" w:hanging="360"/>
      </w:pPr>
      <w:r>
        <w:rPr>
          <w:rFonts w:ascii="Inter" w:eastAsia="Inter"/>
          <w:color w:val="1E293B"/>
          <w:sz w:val="22"/>
          <w:szCs w:val="22"/>
        </w:rPr>
        <w:t xml:space="preserve">ADR-071 - Refresh Token Policy (refresh flow interacts with sessions)</w:t>
      </w:r>
    </w:p>
    <w:p>
      <w:pPr>
        <w:pStyle w:val="ListParagraph"/>
        <w:numPr>
          <w:ilvl w:val="0"/>
          <w:numId w:val="1"/>
        </w:numPr>
        <w:spacing w:after="60" w:line="312"/>
        <w:ind w:left="720" w:hanging="360"/>
      </w:pPr>
      <w:r>
        <w:rPr>
          <w:rFonts w:ascii="Inter" w:eastAsia="Inter"/>
          <w:color w:val="1E293B"/>
          <w:sz w:val="22"/>
          <w:szCs w:val="22"/>
        </w:rPr>
        <w:t xml:space="preserve">ADR-073 - Device Binding (device revocation invalidates sessions)</w:t>
      </w:r>
    </w:p>
    <w:p>
      <w:pPr>
        <w:pStyle w:val="ListParagraph"/>
        <w:numPr>
          <w:ilvl w:val="0"/>
          <w:numId w:val="1"/>
        </w:numPr>
        <w:spacing w:after="60" w:line="312"/>
        <w:ind w:left="720" w:hanging="360"/>
      </w:pPr>
      <w:r>
        <w:rPr>
          <w:rFonts w:ascii="Inter" w:eastAsia="Inter"/>
          <w:color w:val="1E293B"/>
          <w:sz w:val="22"/>
          <w:szCs w:val="22"/>
        </w:rPr>
        <w:t xml:space="preserve">ADR-072 - MFA (MFA revocation invalidates sessions)</w:t>
      </w:r>
    </w:p>
    <w:p>
      <w:pPr>
        <w:pStyle w:val="ListParagraph"/>
        <w:numPr>
          <w:ilvl w:val="0"/>
          <w:numId w:val="1"/>
        </w:numPr>
        <w:spacing w:after="60" w:line="312"/>
        <w:ind w:left="720" w:hanging="360"/>
      </w:pPr>
      <w:r>
        <w:rPr>
          <w:rFonts w:ascii="Inter" w:eastAsia="Inter"/>
          <w:color w:val="1E293B"/>
          <w:sz w:val="22"/>
          <w:szCs w:val="22"/>
        </w:rPr>
        <w:t xml:space="preserve">ADR-046 - Caching (Redis is the session store)</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OWASP - Session Management Cheat Sheet. OWASP. 2024.</w:t>
      </w:r>
    </w:p>
    <w:p>
      <w:pPr>
        <w:pStyle w:val="ListParagraph"/>
        <w:numPr>
          <w:ilvl w:val="0"/>
          <w:numId w:val="1"/>
        </w:numPr>
        <w:spacing w:after="60" w:line="312"/>
        <w:ind w:left="720" w:hanging="360"/>
      </w:pPr>
      <w:r>
        <w:rPr>
          <w:rFonts w:ascii="Inter" w:eastAsia="Inter"/>
          <w:color w:val="1E293B"/>
          <w:sz w:val="22"/>
          <w:szCs w:val="22"/>
        </w:rPr>
        <w:t xml:space="preserve">RFC 6749 - The OAuth 2.0 Authorization Framework. IETF. 2012.</w:t>
      </w:r>
    </w:p>
    <w:p>
      <w:pPr>
        <w:pStyle w:val="ListParagraph"/>
        <w:numPr>
          <w:ilvl w:val="0"/>
          <w:numId w:val="1"/>
        </w:numPr>
        <w:spacing w:after="60" w:line="312"/>
        <w:ind w:left="720" w:hanging="360"/>
      </w:pPr>
      <w:r>
        <w:rPr>
          <w:rFonts w:ascii="Inter" w:eastAsia="Inter"/>
          <w:color w:val="1E293B"/>
          <w:sz w:val="22"/>
          <w:szCs w:val="22"/>
        </w:rPr>
        <w:t xml:space="preserve">NIST SP 800-63B - Digital Identity Guidelines: Authentication and Lifecycle Management. NIST. 2017.</w:t>
      </w:r>
    </w:p>
    <w:p>
      <w:pPr>
        <w:pStyle w:val="ListParagraph"/>
        <w:numPr>
          <w:ilvl w:val="0"/>
          <w:numId w:val="1"/>
        </w:numPr>
        <w:spacing w:after="60" w:line="312"/>
        <w:ind w:left="720" w:hanging="360"/>
      </w:pPr>
      <w:r>
        <w:rPr>
          <w:rFonts w:ascii="Inter" w:eastAsia="Inter"/>
          <w:color w:val="1E293B"/>
          <w:sz w:val="22"/>
          <w:szCs w:val="22"/>
        </w:rPr>
        <w:t xml:space="preserve">Redis Documentation - Cluster Specification. Redis Labs. 2024.</w:t>
      </w:r>
    </w:p>
    <w:p>
      <w:pPr>
        <w:pStyle w:val="ListParagraph"/>
        <w:numPr>
          <w:ilvl w:val="0"/>
          <w:numId w:val="1"/>
        </w:numPr>
        <w:spacing w:after="60" w:line="312"/>
        <w:ind w:left="720" w:hanging="360"/>
      </w:pPr>
      <w:r>
        <w:rPr>
          <w:rFonts w:ascii="Inter" w:eastAsia="Inter"/>
          <w:color w:val="1E293B"/>
          <w:sz w:val="22"/>
          <w:szCs w:val="22"/>
        </w:rPr>
        <w:t xml:space="preserve">PreOne Engineering Handbook, Section 4.14 - Session Management. Internal. 2025.</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2025-08-01</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Platform Security Architect</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options enumerated; consultation with security and engineering teams</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2025-09-17</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Platform Security Architect</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Architecture Review Board after cross-team review</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2025-10-15</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published to architecture repository</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2026-07-15</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cross-references to Vol 1-3 ADRs added; 34-section template applied</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Platform Security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Authentication Platform Lead</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Architecture Review Board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ADR published to architecture repository (Done)</w:t>
      </w:r>
    </w:p>
    <w:p>
      <w:pPr>
        <w:pStyle w:val="ListParagraph"/>
        <w:numPr>
          <w:ilvl w:val="0"/>
          <w:numId w:val="1"/>
        </w:numPr>
        <w:spacing w:after="60" w:line="312"/>
        <w:ind w:left="720" w:hanging="360"/>
      </w:pPr>
      <w:r>
        <w:rPr>
          <w:rFonts w:ascii="Inter" w:eastAsia="Inter"/>
          <w:color w:val="1E293B"/>
          <w:sz w:val="22"/>
          <w:szCs w:val="22"/>
        </w:rPr>
        <w:t xml:space="preserve">Cross-references to upstream/downstream artefacts added (Done)</w:t>
      </w:r>
    </w:p>
    <w:p>
      <w:pPr>
        <w:pStyle w:val="ListParagraph"/>
        <w:numPr>
          <w:ilvl w:val="0"/>
          <w:numId w:val="1"/>
        </w:numPr>
        <w:spacing w:after="60" w:line="312"/>
        <w:ind w:left="720" w:hanging="360"/>
      </w:pPr>
      <w:r>
        <w:rPr>
          <w:rFonts w:ascii="Inter" w:eastAsia="Inter"/>
          <w:color w:val="1E293B"/>
          <w:sz w:val="22"/>
          <w:szCs w:val="22"/>
        </w:rPr>
        <w:t xml:space="preserve">Security team briefed in monthly architecture sync (Done)</w:t>
      </w:r>
    </w:p>
    <w:p>
      <w:pPr>
        <w:pStyle w:val="ListParagraph"/>
        <w:numPr>
          <w:ilvl w:val="0"/>
          <w:numId w:val="1"/>
        </w:numPr>
        <w:spacing w:after="60" w:line="312"/>
        <w:ind w:left="720" w:hanging="360"/>
      </w:pPr>
      <w:r>
        <w:rPr>
          <w:rFonts w:ascii="Inter" w:eastAsia="Inter"/>
          <w:color w:val="1E293B"/>
          <w:sz w:val="22"/>
          <w:szCs w:val="22"/>
        </w:rPr>
        <w:t xml:space="preserve">Code review checklist updated to enforce this ADR (Done)</w:t>
      </w:r>
    </w:p>
    <w:p>
      <w:pPr>
        <w:pStyle w:val="ListParagraph"/>
        <w:numPr>
          <w:ilvl w:val="0"/>
          <w:numId w:val="1"/>
        </w:numPr>
        <w:spacing w:after="60" w:line="312"/>
        <w:ind w:left="720" w:hanging="360"/>
      </w:pPr>
      <w:r>
        <w:rPr>
          <w:rFonts w:ascii="Inter" w:eastAsia="Inter"/>
          <w:color w:val="1E293B"/>
          <w:sz w:val="22"/>
          <w:szCs w:val="22"/>
        </w:rPr>
        <w:t xml:space="preserve">On-call runbook updated with operational procedures (Done)</w:t>
      </w:r>
    </w:p>
    <w:p>
      <w:pPr>
        <w:pStyle w:val="ListParagraph"/>
        <w:numPr>
          <w:ilvl w:val="0"/>
          <w:numId w:val="1"/>
        </w:numPr>
        <w:spacing w:after="60" w:line="312"/>
        <w:ind w:left="720" w:hanging="360"/>
      </w:pPr>
      <w:r>
        <w:rPr>
          <w:rFonts w:ascii="Inter" w:eastAsia="Inter"/>
          <w:color w:val="1E293B"/>
          <w:sz w:val="22"/>
          <w:szCs w:val="22"/>
        </w:rPr>
        <w:t xml:space="preserve">JWT issuance with RS256 signature (Done)</w:t>
      </w:r>
    </w:p>
    <w:p>
      <w:pPr>
        <w:pStyle w:val="ListParagraph"/>
        <w:numPr>
          <w:ilvl w:val="0"/>
          <w:numId w:val="1"/>
        </w:numPr>
        <w:spacing w:after="60" w:line="312"/>
        <w:ind w:left="720" w:hanging="360"/>
      </w:pPr>
      <w:r>
        <w:rPr>
          <w:rFonts w:ascii="Inter" w:eastAsia="Inter"/>
          <w:color w:val="1E293B"/>
          <w:sz w:val="22"/>
          <w:szCs w:val="22"/>
        </w:rPr>
        <w:t xml:space="preserve">Refresh token rotation + reuse detection (Done)</w:t>
      </w:r>
    </w:p>
    <w:p>
      <w:pPr>
        <w:pStyle w:val="ListParagraph"/>
        <w:numPr>
          <w:ilvl w:val="0"/>
          <w:numId w:val="1"/>
        </w:numPr>
        <w:spacing w:after="60" w:line="312"/>
        <w:ind w:left="720" w:hanging="360"/>
      </w:pPr>
      <w:r>
        <w:rPr>
          <w:rFonts w:ascii="Inter" w:eastAsia="Inter"/>
          <w:color w:val="1E293B"/>
          <w:sz w:val="22"/>
          <w:szCs w:val="22"/>
        </w:rPr>
        <w:t xml:space="preserve">Session Store (Redis) deployed (Done)</w:t>
      </w:r>
    </w:p>
    <w:p>
      <w:pPr>
        <w:pStyle w:val="ListParagraph"/>
        <w:numPr>
          <w:ilvl w:val="0"/>
          <w:numId w:val="1"/>
        </w:numPr>
        <w:spacing w:after="60" w:line="312"/>
        <w:ind w:left="720" w:hanging="360"/>
      </w:pPr>
      <w:r>
        <w:rPr>
          <w:rFonts w:ascii="Inter" w:eastAsia="Inter"/>
          <w:color w:val="1E293B"/>
          <w:sz w:val="22"/>
          <w:szCs w:val="22"/>
        </w:rPr>
        <w:t xml:space="preserve">Token validation in API Gateway (Done)</w:t>
      </w:r>
    </w:p>
    <w:p>
      <w:pPr>
        <w:pStyle w:val="ListParagraph"/>
        <w:numPr>
          <w:ilvl w:val="0"/>
          <w:numId w:val="1"/>
        </w:numPr>
        <w:spacing w:after="60" w:line="312"/>
        <w:ind w:left="720" w:hanging="360"/>
      </w:pPr>
      <w:r>
        <w:rPr>
          <w:rFonts w:ascii="Inter" w:eastAsia="Inter"/>
          <w:color w:val="1E293B"/>
          <w:sz w:val="22"/>
          <w:szCs w:val="22"/>
        </w:rPr>
        <w:t xml:space="preserve">Active Sessions UI panel (Done)</w:t>
      </w:r>
    </w:p>
    <w:p>
      <w:pPr>
        <w:pStyle w:val="ListParagraph"/>
        <w:numPr>
          <w:ilvl w:val="0"/>
          <w:numId w:val="1"/>
        </w:numPr>
        <w:spacing w:after="60" w:line="312"/>
        <w:ind w:left="720" w:hanging="360"/>
      </w:pPr>
      <w:r>
        <w:rPr>
          <w:rFonts w:ascii="Inter" w:eastAsia="Inter"/>
          <w:color w:val="1E293B"/>
          <w:sz w:val="22"/>
          <w:szCs w:val="22"/>
        </w:rPr>
        <w:t xml:space="preserve">Quarterly JWT secret rotation runbook (Scheduled)</w:t>
      </w:r>
    </w:p>
    <w:p>
      <w:pPr>
        <w:spacing w:after="60" w:before="360" w:line="280"/>
      </w:pPr>
      <w:r>
        <w:rPr>
          <w:rFonts w:ascii="Inter" w:eastAsia="Inter"/>
          <w:b/>
          <w:bCs/>
          <w:color w:val="4F46E5"/>
          <w:spacing w:val="60"/>
          <w:sz w:val="22"/>
          <w:szCs w:val="22"/>
        </w:rPr>
        <w:t xml:space="preserve">ADR-075</w:t>
      </w:r>
    </w:p>
    <w:p>
      <w:pPr>
        <w:pStyle w:val="Heading1"/>
        <w:spacing w:after="200" w:before="60" w:line="312"/>
      </w:pPr>
      <w:r>
        <w:rPr>
          <w:rFonts w:ascii="Inter" w:eastAsia="Inter"/>
          <w:b/>
          <w:bCs/>
          <w:color w:val="0F172A"/>
          <w:sz w:val="36"/>
          <w:szCs w:val="36"/>
        </w:rPr>
        <w:t xml:space="preserve">Password Policy</w:t>
      </w:r>
    </w:p>
    <w:p>
      <w:pPr>
        <w:spacing w:after="120" w:line="280"/>
      </w:pPr>
      <w:r>
        <w:rPr>
          <w:rFonts w:ascii="Inter" w:eastAsia="Inter"/>
          <w:color w:val="64748B"/>
          <w:sz w:val="20"/>
          <w:szCs w:val="20"/>
        </w:rPr>
        <w:t xml:space="preserve">Volume 4 — Security Architecture  -  </w:t>
      </w:r>
      <w:r>
        <w:rPr>
          <w:rFonts w:ascii="Inter" w:eastAsia="Inter"/>
          <w:color w:val="64748B"/>
          <w:sz w:val="20"/>
          <w:szCs w:val="20"/>
        </w:rPr>
        <w:t xml:space="preserve">Identity &amp; Security</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Adopt a password policy aligned with NIST SP 800-63B: minimum 8 characters, no composition rules, no forced rotation, mandatory breach-corpus check (HIBP API), breached passwords rejected at registration and rotation. Passwords are hashed with bcrypt (cost 12) at rest, with argon2id available for high-risk principals.</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Platform Security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review, or on security incident, or on cryptography standard update</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refreshes for series alignment and cross-references)</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The legacy platform enforces a password policy inherited from 2015: minimum 8 characters, at least one of each character class, forced rotation every 90 days, and SHA-256 hashing with a per-user salt. The 2025 Q3 security review identified this policy as both more burdensome and less secure than modern guidance. NIST SP 800-63B (2017) explicitly recommends against composition rules and forced rotation, citing evidence that they degrade security by encouraging predictable patterns (e.g., Password1!, Password2!). The forced rotation in particular has produced a culture of incremented passwords (Spring2024, Summer2024) that are trivially guessable.
The ARB considered four password policies. The first is the legacy policy (composition + rotation), which is rejected as both burdensome and weak. The second is the NIST policy verbatim (8+ chars, no composition, no rotation, breach check), which is selected because it aligns with current guidance and reduces user burden. The third is a stricter policy (12+ chars, breach check, no rotation), which is rejected as unnecessarily burdensome without security benefit (NIST found no meaningful security gain above 8 chars when breach check is enforced). The fourth is passwordless (WebAuthn only), which is rejected as not yet feasible for the full principal population.
This ADR defines the password policy. It depends on ADR-062 (Authentication) for the credential flow.</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The 2026 international expansion requires password policies aligned with each regulatory regime: GDPR Article 32 recommends breach-corpus checking; COPPA requires parental consent for password changes by minors; DPDP requires audit logs of password changes. The NIST-aligned policy satisfies all three. The business also requires a reduction in password-related support tickets, which currently account for 35% of tier-1 support volume; the removal of forced rotation alone is projected to reduce this by 20%. Finally, the business requires that the policy be acceptable to the largest customers' security teams, who have been briefed on the NIST guidance and have signalled acceptance.</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The legacy password policy (composition rules + 90-day rotation + SHA-256) is both more burdensome and less secure than modern guidance. PreOne needs a password policy aligned with NIST SP 800-63B: 8+ characters, no composition rules, no forced rotation, mandatory breach-corpus check, and modern hashing (bcrypt or argon2id).</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The policy must be acceptable to the largest customers' security teams, several of whom have explicit NIST alignment requirements.</w:t>
      </w:r>
    </w:p>
    <w:p>
      <w:pPr>
        <w:pStyle w:val="ListParagraph"/>
        <w:numPr>
          <w:ilvl w:val="0"/>
          <w:numId w:val="1"/>
        </w:numPr>
        <w:spacing w:after="60" w:line="312"/>
        <w:ind w:left="720" w:hanging="360"/>
      </w:pPr>
      <w:r>
        <w:rPr>
          <w:rFonts w:ascii="Inter" w:eastAsia="Inter"/>
          <w:color w:val="1E293B"/>
          <w:sz w:val="22"/>
          <w:szCs w:val="22"/>
        </w:rPr>
        <w:t xml:space="preserve">The breach-corpus check must complete within 2 seconds p99 to avoid registration friction.</w:t>
      </w:r>
    </w:p>
    <w:p>
      <w:pPr>
        <w:pStyle w:val="ListParagraph"/>
        <w:numPr>
          <w:ilvl w:val="0"/>
          <w:numId w:val="1"/>
        </w:numPr>
        <w:spacing w:after="60" w:line="312"/>
        <w:ind w:left="720" w:hanging="360"/>
      </w:pPr>
      <w:r>
        <w:rPr>
          <w:rFonts w:ascii="Inter" w:eastAsia="Inter"/>
          <w:color w:val="1E293B"/>
          <w:sz w:val="22"/>
          <w:szCs w:val="22"/>
        </w:rPr>
        <w:t xml:space="preserve">Password hashing must complete within 300ms p99 to avoid login latency regression.</w:t>
      </w:r>
    </w:p>
    <w:p>
      <w:pPr>
        <w:pStyle w:val="ListParagraph"/>
        <w:numPr>
          <w:ilvl w:val="0"/>
          <w:numId w:val="1"/>
        </w:numPr>
        <w:spacing w:after="60" w:line="312"/>
        <w:ind w:left="720" w:hanging="360"/>
      </w:pPr>
      <w:r>
        <w:rPr>
          <w:rFonts w:ascii="Inter" w:eastAsia="Inter"/>
          <w:color w:val="1E293B"/>
          <w:sz w:val="22"/>
          <w:szCs w:val="22"/>
        </w:rPr>
        <w:t xml:space="preserve">The policy must support per-tenant strictness overrides (e.g., 12+ chars for high-security tenants) without breaking the baseline.</w:t>
      </w:r>
    </w:p>
    <w:p>
      <w:pPr>
        <w:pStyle w:val="ListParagraph"/>
        <w:numPr>
          <w:ilvl w:val="0"/>
          <w:numId w:val="1"/>
        </w:numPr>
        <w:spacing w:after="60" w:line="312"/>
        <w:ind w:left="720" w:hanging="360"/>
      </w:pPr>
      <w:r>
        <w:rPr>
          <w:rFonts w:ascii="Inter" w:eastAsia="Inter"/>
          <w:color w:val="1E293B"/>
          <w:sz w:val="22"/>
          <w:szCs w:val="22"/>
        </w:rPr>
        <w:t xml:space="preserve">The policy must not log or transmit plaintext passwords at any point in the system.</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The Have I Been Pwned (HIBP) API or equivalent breach-corpus service remains available with acceptable latency and rate limits.</w:t>
      </w:r>
    </w:p>
    <w:p>
      <w:pPr>
        <w:pStyle w:val="ListParagraph"/>
        <w:numPr>
          <w:ilvl w:val="0"/>
          <w:numId w:val="1"/>
        </w:numPr>
        <w:spacing w:after="60" w:line="312"/>
        <w:ind w:left="720" w:hanging="360"/>
      </w:pPr>
      <w:r>
        <w:rPr>
          <w:rFonts w:ascii="Inter" w:eastAsia="Inter"/>
          <w:color w:val="1E293B"/>
          <w:sz w:val="22"/>
          <w:szCs w:val="22"/>
        </w:rPr>
        <w:t xml:space="preserve">Bcrypt (cost 12) remains computationally infeasible to brute-force for the planning horizon (5 years).</w:t>
      </w:r>
    </w:p>
    <w:p>
      <w:pPr>
        <w:pStyle w:val="ListParagraph"/>
        <w:numPr>
          <w:ilvl w:val="0"/>
          <w:numId w:val="1"/>
        </w:numPr>
        <w:spacing w:after="60" w:line="312"/>
        <w:ind w:left="720" w:hanging="360"/>
      </w:pPr>
      <w:r>
        <w:rPr>
          <w:rFonts w:ascii="Inter" w:eastAsia="Inter"/>
          <w:color w:val="1E293B"/>
          <w:sz w:val="22"/>
          <w:szCs w:val="22"/>
        </w:rPr>
        <w:t xml:space="preserve">Argon2id is available in the JVM's native crypto library for high-risk principals.</w:t>
      </w:r>
    </w:p>
    <w:p>
      <w:pPr>
        <w:pStyle w:val="ListParagraph"/>
        <w:numPr>
          <w:ilvl w:val="0"/>
          <w:numId w:val="1"/>
        </w:numPr>
        <w:spacing w:after="60" w:line="312"/>
        <w:ind w:left="720" w:hanging="360"/>
      </w:pPr>
      <w:r>
        <w:rPr>
          <w:rFonts w:ascii="Inter" w:eastAsia="Inter"/>
          <w:color w:val="1E293B"/>
          <w:sz w:val="22"/>
          <w:szCs w:val="22"/>
        </w:rPr>
        <w:t xml:space="preserve">Principals will accept the removal of forced rotation once the rationale is communicated (NIST guidance).</w:t>
      </w:r>
    </w:p>
    <w:p>
      <w:pPr>
        <w:pStyle w:val="ListParagraph"/>
        <w:numPr>
          <w:ilvl w:val="0"/>
          <w:numId w:val="1"/>
        </w:numPr>
        <w:spacing w:after="60" w:line="312"/>
        <w:ind w:left="720" w:hanging="360"/>
      </w:pPr>
      <w:r>
        <w:rPr>
          <w:rFonts w:ascii="Inter" w:eastAsia="Inter"/>
          <w:color w:val="1E293B"/>
          <w:sz w:val="22"/>
          <w:szCs w:val="22"/>
        </w:rPr>
        <w:t xml:space="preserve">The largest customers will accept the NIST-aligned policy without contractual amendment.</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NIST-aligned: 8+ chars, no composition, no rotation, breach-corpus check (HIBP), bcrypt (cost 12).</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Aligns with current NIST guidance. Reduces user burden. Breach check is the most effective defence against credential stuffing. Bcrypt raises brute-force cost 10,000x over SHA-256.</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Breach check depends on HIBP API (external service). Bcrypt adds 250ms to every login. Some customers will initially perceive removal of rotation as weaker.</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Adopted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Legacy: 8+ chars, composition rules, 90-day rotation, SHA-256 hashing.</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Familiar to existing users. Fast hashing (SHA-256). Existing runbooks and tooling.</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NIST explicitly recommends against composition and rotation. SHA-256 is too fast (vulnerable to brute-force). Incremented passwords (Spring2024) are trivially guessable.</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Stricter: 12+ chars, no composition, no rotation, breach check.</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Stronger against offline brute-force (longer passwords). Aligns with some customer expectations.</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NIST found no meaningful security gain above 8 chars when breach check is enforced. Additional user burden. Several large customers would find 12-char minimum contractually unacceptable.</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Passwordless: WebAuthn only, no passwords.</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Strongest security. No password breaches. No password support tickets.</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Not feasible for the full principal population: many BYOD devices do not support WebAuthn. Kiosk scenario is incompatible. Migration cost prohibitive.</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We will adopt the NIST SP 800-63B-aligned password policy. Minimum length is 8 characters; no composition rules (special characters, character classes) are enforced; no forced rotation is imposed. At registration and at every password change, the password is checked against the HIBP breach corpus (via the range-search API to avoid transmitting the plaintext password); breached passwords are rejected with a clear error message. Passwords are hashed with bcrypt at cost 12 (target 250ms hash time); high-risk principals (administrators, PII-access) are migrated to argon2id with memory parameter 64MB. Password changes require the current password (re-authentication) and are audit-logged per ADR-086. Per-tenant strictness overrides allow higher minimums (e.g., 12 chars).</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The NIST-aligned policy is selected because it is the only option that simultaneously improves security, reduces user burden, and aligns with current regulatory guidance. The legacy policy (composition + rotation) is rejected on three grounds. First, NIST SP 800-63B explicitly recommends against composition rules, citing evidence that they encourage predictable patterns (Password1!, Spring2024) that are trivially guessable. Second, NIST recommends against forced rotation, citing evidence that it encourages incremented passwords and provides no security benefit in the absence of suspected compromise. Third, SHA-256 hashing (even with a salt) is too fast for modern hardware; bcrypt and argon2id are purpose-built slow hashes that raise the cost of offline brute-force by 3-4 orders of magnitude.
The stricter policy (12+ chars) was rejected because NIST found no meaningful security gain above 8 chars when breach-corpus checking is enforced; the marginal gain does not justify the additional user burden. The passwordless option (WebAuthn only) was rejected as not yet feasible for the full principal population: many BYOD devices do not support WebAuthn, and the kiosk scenario (where many principals share a terminal) is incompatible with device-bound credentials. WebAuthn remains available as an MFA factor (per ADR-072) and as a future passwordless option (per ADR-073 future evolution).
The breach-corpus check is implemented via the HIBP range-search API: the client sends only the first 5 characters of the SHA-1 hash of the password, and the server returns the list of breached hashes with that prefix; the client checks the full hash locally. This avoids transmitting the plaintext password to a third party. The check is performed at registration, at every password change, and periodically (every 90 days) for existing passwords to detect newly-discovered breaches. The bcrypt cost parameter (12) is calibrated to a 250ms hash time on the production hardware, which is acceptable for login (one hash per login) and prohibitive for offline brute-force (40 hashes/sec on commodity GPU).</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PASSWORD POLICY SUBSYSTEM                    |
+-------------------------------------------------------------+
| Registration / Password Change                              |
|   - min 8 chars, no composition, no rotation                |
|   - check HIBP range-search API                             |
+-------------------------------------------------------------+
        |  password (plaintext, never logged)                 |
        v                                                     |
| HIBP Client                                                 |
|   GET https://api.pwnedpasswords.com/range/{5-char-prefix} |
|   -&gt; filter response by full SHA-1 hash                     |
+-------------------------------------------------------------+
        |  breached? (yes -&gt; reject, no -&gt; proceed)            |
        v                                                     |
| Password Hasher                                             |
|   - bcrypt (cost 12) for standard principals                |
|   - argon2id (64MB, 3 iters) for high-risk principals       |
+-------------------------------------------------------------+
        |  hashed password                                    |
        v                                                     |
| Credential Store (PostgreSQL, principals.password_hash)     |
+-------------------------------------------------------------+
        |  periodic re-check (every 90 days)                  |
        v                                                     |
| Breach Re-check Job (cron, per ADR-029)                    |
+-------------------------------------------------------------+</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Client -&gt; Auth API: POST /auth/register {password}
Auth API -&gt; Policy Validator: min 8 chars? no composition check
Policy Validator -&gt; Auth API: ok
Auth API -&gt; HIBP Client: range-search(SHA-1(password)[:5])
HIBP Client -&gt; HIBP API: GET /range/{prefix}
HIBP API -&gt; HIBP Client: list of breached hashes
HIBP Client -&gt; Auth API: breached? (no)
Auth API -&gt; Password Hasher: bcrypt(password, cost=12)
Password Hasher -&gt; Auth API: hashed password (~250ms)
Auth API -&gt; Credential Store: INSERT principals.password_hash
Auth API -&gt; Audit Log: password_set event (per ADR-086)
Auth API -&gt; Client: 201 Created</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ADR-075 — Password Policy  -  Component View           |
+-------------------------------------------------------------+
|                                                             |
|  +----------------+        +----------------------+         |
|  | Login API      | submit | Password Service     |         |
|  |                | new pwd|                      |         |
|  +----------------+        +----------+-----------+         |
|                                       |                     |
|                                       | validate            |
|                                       v                     |
|  +----------------+        +----------------------+         |
|  | Policy Engine  | check  | Rules (length,       |         |
|  |                |-------&gt;| complexity, history, |         |
|  |                |        | breach DB)           |         |
|  +----------------+        +----------+-----------+         |
|                                       |                     |
|                                       | pass?               |
|                                       v                     |
|  +----------------+        +----------------------+         |
|  | Identity Repo  |  hash  | Credential Store     |         |
|  |                |-------&gt;| (bcrypt / argon2)    |         |
|  +----------------+        +----------------------+         |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Password Set/Change Flow:
  User -&gt; Password Service: new password
  Password Service -&gt; Policy Engine: validate (length, complexity, history, breach DB)
  (pass) Password Service -&gt; Hasher: bcrypt / argon2
  Password Service -&gt; Postgres: update credential
  Password Service -&gt; Audit: log 'PASSWORD_CHANGED'
  Password Service -&gt; Notification: send email
Password Reset Flow:
  User -&gt; Reset API: email
  Reset API -&gt; Token Service: generate reset token (1hr expiry)
  Reset API -&gt; Notification: send email with link
  User -&gt; Reset API: token + new password
  Reset API -&gt; Policy Engine: validate
  Reset API -&gt; Postgres: update credential
  Reset API -&gt; Audit: log 'PASSWORD_RESET'</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The principals table gains a column password_hash (TEXT, nullable for federated principals who authenticate via OIDC/SAML) and a column password_algo (ENUM: bcrypt, argon2id, nullable). A column password_changed_at (TIMESTAMPTZ) supports the periodic breach re-check (every 90 days). A column password_breached_at (TIMESTAMPTZ, nullable) records the last breach detection, triggering forced rotation on next login. The legacy SHA-256 hashes are migrated to bcrypt on next login (per the migration plan below); the legacy column is dropped after migration. No new tables are required. The breach re-check job writes a row to audit_trail per principal checked; the job is throttled to 100 principals per second to avoid HIBP rate limits.</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The registration and password-change endpoints (POST /auth/register, POST /auth/password/change) enforce the policy server-side; client-side validation is advisory only. The password-change endpoint requires the current password (re-authentication) and is rate-limited per ADR-080. A new endpoint POST /auth/password/breach-status allows principals to check whether their current password is in the breach corpus (for the self-service UI); this invokes the same HIBP range-search. The HIBP API is accessed via a server-side proxy that caches range-search responses for 7 days (breach data is append-only), reducing external API calls by 90%. All endpoints audit-log password events per ADR-086 without logging the plaintext password.</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Password Policy surfaces in the UI as real-time validation on the 'Change Password' form. As the user types a new password, the UI displays a strength meter (weak / fair / strong) and checkmarks for each policy requirement (length &gt;= 12, uppercase, lowercase, number, symbol, not in breach database, not in password history). The 'forgot password' flow sends a reset email with a 1-hour expiry link. After a successful reset, the UI forces re-login on all devices (session revocation). Password policy violations display specific feedback ('Password must contain at least one uppercase letter') rather than generic 'invalid password'.</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The NIST-aligned policy improves security on three dimensions. First, the breach-corpus check rejects passwords that are present in known breach corpora, which is the single most effective defence against credential-stuffing (the 2024 attack against the legacy platform used a 4M-credential list, of which 87% would have been rejected by the breach check). Second, bcrypt (cost 12) raises the offline brute-force cost by approximately 10,000x compared to SHA-256, making stolen-hash attacks infeasible on commodity hardware. Third, the removal of forced rotation eliminates the incremented-password pattern (Spring2024, Summer2024), which is a leading cause of password compromise in education platforms. The breach-corpus check is itself a privacy-sensitive operation: the HIBP range-search API is used (not the full-hash API) to avoid transmitting the plaintext password to a third party. The HIBP client is implemented with a hard 2-second timeout; on timeout, the check is skipped and a low-severity alert is raised (fail-open for usability, with monitoring).</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The bcrypt hash (cost 12) takes approximately 250ms on production hardware, which is the dominant cost in the registration and password-change flows. This is acceptable for these low-frequency operations. The login flow pays the same 250ms cost on every login, which is a regression from the legacy SHA-256 (~0.1ms); this is mitigated by a login-rate cache (per ADR-046) that caches the principal's last 5 successful login hashes for 5 minutes, reducing the bcrypt cost on rapid re-logins to a cache lookup. The HIBP range-search takes 200-800ms (network round-trip), which is the dominant cost in registration; this is mitigated by the 7-day cache, which gives a 95% cache-hit rate at steady state. The periodic breach re-check job runs at off-peak hours and is throttled to avoid HIBP rate limits.</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The password subsystem scales with the principal count, not the request rate (bcrypt is amortised across logins). At 500K principals, the breach re-check job processes ~5,500 principals per day (90-day cycle), which at 100 principals per second completes in under 1 minute per day. The HIBP cache (Redis) stores ~1M range-search responses (one per 5-char prefix) at ~1KB each = 1GB, well within Redis capacity. The bcrypt CPU cost on the login path is the binding constraint: at 5,000 logins per second (projected peak), bcrypt at 250ms each requires 1,250 CPU-seconds per second, or approximately 16 dedicated CPU cores. This is provisioned as a separate bcrypt-worker pool (per ADR-042) to avoid starving the request-handling threads. At the 5M-principal projection, the bcrypt-worker pool scales linearly to 160 cores, which is within the datacentre capacity.</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The password subsystem requires four operational artefacts. (1) A runbook for HIBP API outage: the on-call engineer must verify that the fail-open behaviour activates and that low-severity alerts are raised; sustained outage triggers incident response per ADR-089. (2) A runbook for bcrypt-cost parameter upgrade: as hardware improves, the cost parameter must be raised every 2-3 years; the upgrade is performed at next login (re-hash with new cost). (3) A runbook for breach-corpus re-check: when a major breach is published, the security team may trigger an immediate re-check of all principals; the runbook covers the throttled execution. (4) A runbook for password-reset campaigns: during incidents, the security team may force-reset all principals in a tenant; the runbook covers the bulk-reset flow and the user-communication template. Per-tenant policy overrides are propagated within 60 seconds via the configuration service.</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HIBP API outage disables breach check.</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Fail-open with low-severity alert; 7-day cache provides partial coverage; sustained outage triggers incident response.</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Bcrypt cost becomes insufficient as hardware improves.</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Cost parameter raised every 2-3 years; re-hash at next login; monitor brute-force cost trends.</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Principals perceive the removal of forced rotation as a security regression.</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Communication plan explaining NIST guidance; customer security-team briefings; in-app messaging on first login post-migration.</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Argon2id memory parameter (64MB) causes OOM on shared infrastructure.</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Argon2id runs on dedicated worker pool; memory monitored; per-principal throttling to avoid spikes.</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NIST alignment satisfies regulatory and customer requirements.</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Some customers will initially perceive the removal of rotation as weaker.</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Breach-corpus check dramatically reduces credential stuffing.</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Dependency on HIBP API (external service).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Bcrypt raises offline brute-force cost 10,000x.</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250ms hash time on every login (mitigated by login-rate cache).</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Removal of forced rotation reduces support tickets.</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Periodic breach re-check adds background job complexity.</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The legacy policy (composition + 90-day rotation + SHA-256) was rejected on three grounds: NIST explicitly recommends against composition rules and forced rotation, citing evidence that they degrade security; SHA-256 is too fast for modern hardware, making stolen-hash attacks feasible; and the forced rotation produces a culture of incremented passwords that are trivially guessable. The stricter policy (12+ chars, no composition, no rotation, breach check) was rejected because NIST found no meaningful security gain above 8 chars when breach-corpus checking is enforced; the marginal gain does not justify the additional user burden, and several large customers have signalled that 12-char minimums would be contractually unacceptable. The passwordless option (WebAuthn only) was rejected as not yet feasible for the full principal population: many BYOD devices do not support WebAuthn, the kiosk scenario is incompatible with device-bound credentials, and the migration cost would be prohibitive. WebAuthn remains available as an MFA factor (per ADR-072) and is tracked as a future passwordless option (per ADR-073 future evolution). The NIST-aligned policy is the only option that simultaneously improves security, reduces user burden, and aligns with current regulatory guidance; the full reasoning is captured in the Options Considered table.</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Migration is phased over one quarter alongside the authentication-stack migration (per ADR-062). Phase 1 (weeks 1-3): deploy the password subsystem (policy validator, HIBP client, bcrypt/argon2id hasher, breach re-check job) in shadow mode (new passwords are hashed with the new policy but legacy hashes remain in use). Phase 2 (weeks 4-6): enable the new policy for new registrations and explicit password changes; legacy hashes are migrated to bcrypt on next login (re-hash on successful authentication). Phase 3 (weeks 7-9): enable the periodic breach re-check job; principals with breached passwords are prompted to change on next login. Phase 4 (weeks 10-12): remove the legacy SHA-256 column after all principals have logged in at least once (verified by the password_changed_at column); this is a soft deadline, after which the residual ~2% of inactive principals are force-reset. Phase 5 (week 13): the shadow-mode logging is removed. Rollback is possible at any point by reverting to the legacy policy; the bcrypt hashes remain valid (the legacy SHA-256 verifier accepts them as a fallback during the migration window only).</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The password subsystem is tested at four levels. Unit tests cover the policy validator (length, composition-allowed, breach-rejection), the HIBP client (range-search, cache, fail-open), and the password hasher (bcrypt and argon2id correctness, cost parameter). Coverage target is 95%. Integration tests cover the registration, password-change, and login flows. End-to-end tests cover the full registration -&gt; breach-check -&gt; bcrypt -&gt; login path. Security tests cover the plaintext-password non-logging invariant (verified by log inspection), the HIBP fail-open behaviour, and the bcrypt-cost parameter enforcement. Performance tests cover the bcrypt hash time (250ms ± 50ms) and the HIBP range-search latency (under 2 seconds p99). The periodic breach re-check job is tested with a synthetic breach corpus to verify throttling and notification. The acceptance criterion is zero plaintext-password leakage incidents in the post-cutover penetration test.</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Six golden signals are monitored. (1) Breach-rejection rate: target under 5% of registrations, alert above 10% (possible credential-stuffing attack). (2) HIBP API latency p99: target under 2 seconds, alert above 5 seconds (possible fail-open). (3) HIBP cache hit ratio: target above 90%, alert below 80% (sizing problem). (4) Bcrypt hash time p99: target 250ms ± 50ms, alert outside 100-500ms (possible hardware issue or cost drift). (5) Breach re-check job throughput: target 100 principals/sec, alert below 50 (possible HIBP rate-limit). (6) Password-reset rate: target under 0.5% of principals per week, alert above 2% (possible incident). A dedicated password-policy dashboard surfaces these alongside the per-tenant policy-override distribution, the bcrypt-cost parameter, and the top breach-rejection reasons. Anomaly detection (per ADR-088) flags unusual patterns such as a tenant-wide breach-rejection burst (possible attack) or a single principal's password-change rate exceeding 5 per day (possible abuse).</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The password subsystem is expected to evolve in three directions. First, the system may migrate fully to argon2id (deprecating bcrypt) once the JVM's native crypto library provides stable argon2id support; this is monitored but not planned for v1 because of the migration cost (every principal must re-hash). Second, the system may add passwordless authentication (WebAuthn-only) as the default, with passwords as a fallback; this is a larger change and would require its own ADR, and is tracked as a follow-up to ADR-073. Third, the system may integrate with the FIDO2 passkey ecosystem to enable synchronised passkeys across devices, reducing the friction of the password reset flow; this is planned for v2 and is tracked as a follow-up. The trigger for revisiting this ADR is a regulatory change (e.g., EU eIDAS 2.0 requiring passwordless for certain principal types) or a material change in the breach-corpus landscape.</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ADR-061 - Identity Model (provides principal record for password)</w:t>
      </w:r>
    </w:p>
    <w:p>
      <w:pPr>
        <w:pStyle w:val="ListParagraph"/>
        <w:numPr>
          <w:ilvl w:val="0"/>
          <w:numId w:val="1"/>
        </w:numPr>
        <w:spacing w:after="60" w:line="312"/>
        <w:ind w:left="720" w:hanging="360"/>
      </w:pPr>
      <w:r>
        <w:rPr>
          <w:rFonts w:ascii="Inter" w:eastAsia="Inter"/>
          <w:color w:val="1E293B"/>
          <w:sz w:val="22"/>
          <w:szCs w:val="22"/>
        </w:rPr>
        <w:t xml:space="preserve">ADR-062 - Authentication (invokes password verification)</w:t>
      </w:r>
    </w:p>
    <w:p>
      <w:pPr>
        <w:pStyle w:val="ListParagraph"/>
        <w:numPr>
          <w:ilvl w:val="0"/>
          <w:numId w:val="1"/>
        </w:numPr>
        <w:spacing w:after="60" w:line="312"/>
        <w:ind w:left="720" w:hanging="360"/>
      </w:pPr>
      <w:r>
        <w:rPr>
          <w:rFonts w:ascii="Inter" w:eastAsia="Inter"/>
          <w:color w:val="1E293B"/>
          <w:sz w:val="22"/>
          <w:szCs w:val="22"/>
        </w:rPr>
        <w:t xml:space="preserve">ADR-072 - MFA (password + MFA for step-up)</w:t>
      </w:r>
    </w:p>
    <w:p>
      <w:pPr>
        <w:pStyle w:val="ListParagraph"/>
        <w:numPr>
          <w:ilvl w:val="0"/>
          <w:numId w:val="1"/>
        </w:numPr>
        <w:spacing w:after="60" w:line="312"/>
        <w:ind w:left="720" w:hanging="360"/>
      </w:pPr>
      <w:r>
        <w:rPr>
          <w:rFonts w:ascii="Inter" w:eastAsia="Inter"/>
          <w:color w:val="1E293B"/>
          <w:sz w:val="22"/>
          <w:szCs w:val="22"/>
        </w:rPr>
        <w:t xml:space="preserve">ADR-077 - Encryption (passwords protected at rest by AES-256-GCM via KMS envelope)</w:t>
      </w:r>
    </w:p>
    <w:p>
      <w:pPr>
        <w:pStyle w:val="ListParagraph"/>
        <w:numPr>
          <w:ilvl w:val="0"/>
          <w:numId w:val="1"/>
        </w:numPr>
        <w:spacing w:after="60" w:line="312"/>
        <w:ind w:left="720" w:hanging="360"/>
      </w:pPr>
      <w:r>
        <w:rPr>
          <w:rFonts w:ascii="Inter" w:eastAsia="Inter"/>
          <w:color w:val="1E293B"/>
          <w:sz w:val="22"/>
          <w:szCs w:val="22"/>
        </w:rPr>
        <w:t xml:space="preserve">ADR-080 - Rate Limiting (password-change endpoint rate-limited)</w:t>
      </w:r>
    </w:p>
    <w:p>
      <w:pPr>
        <w:pStyle w:val="ListParagraph"/>
        <w:numPr>
          <w:ilvl w:val="0"/>
          <w:numId w:val="1"/>
        </w:numPr>
        <w:spacing w:after="60" w:line="312"/>
        <w:ind w:left="720" w:hanging="360"/>
      </w:pPr>
      <w:r>
        <w:rPr>
          <w:rFonts w:ascii="Inter" w:eastAsia="Inter"/>
          <w:color w:val="1E293B"/>
          <w:sz w:val="22"/>
          <w:szCs w:val="22"/>
        </w:rPr>
        <w:t xml:space="preserve">ADR-086 - Audit Trail (password events audit-logged)</w:t>
      </w:r>
    </w:p>
    <w:p>
      <w:pPr>
        <w:pStyle w:val="ListParagraph"/>
        <w:numPr>
          <w:ilvl w:val="0"/>
          <w:numId w:val="1"/>
        </w:numPr>
        <w:spacing w:after="60" w:line="312"/>
        <w:ind w:left="720" w:hanging="360"/>
      </w:pPr>
      <w:r>
        <w:rPr>
          <w:rFonts w:ascii="Inter" w:eastAsia="Inter"/>
          <w:color w:val="1E293B"/>
          <w:sz w:val="22"/>
          <w:szCs w:val="22"/>
        </w:rPr>
        <w:t xml:space="preserve">ADR-088 - Security Monitoring (breach-rejection anomalies detected)</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NIST SP 800-63B - Digital Identity Guidelines: Authentication and Lifecycle Management. NIST. 2017.</w:t>
      </w:r>
    </w:p>
    <w:p>
      <w:pPr>
        <w:pStyle w:val="ListParagraph"/>
        <w:numPr>
          <w:ilvl w:val="0"/>
          <w:numId w:val="1"/>
        </w:numPr>
        <w:spacing w:after="60" w:line="312"/>
        <w:ind w:left="720" w:hanging="360"/>
      </w:pPr>
      <w:r>
        <w:rPr>
          <w:rFonts w:ascii="Inter" w:eastAsia="Inter"/>
          <w:color w:val="1E293B"/>
          <w:sz w:val="22"/>
          <w:szCs w:val="22"/>
        </w:rPr>
        <w:t xml:space="preserve">Have I Been Pwned - Pwned Passwords API. HIBP. 2024.</w:t>
      </w:r>
    </w:p>
    <w:p>
      <w:pPr>
        <w:pStyle w:val="ListParagraph"/>
        <w:numPr>
          <w:ilvl w:val="0"/>
          <w:numId w:val="1"/>
        </w:numPr>
        <w:spacing w:after="60" w:line="312"/>
        <w:ind w:left="720" w:hanging="360"/>
      </w:pPr>
      <w:r>
        <w:rPr>
          <w:rFonts w:ascii="Inter" w:eastAsia="Inter"/>
          <w:color w:val="1E293B"/>
          <w:sz w:val="22"/>
          <w:szCs w:val="22"/>
        </w:rPr>
        <w:t xml:space="preserve">Provos, N. and Mazieres, D. - A Future-Adaptable Password Scheme. USENIX. 1999.</w:t>
      </w:r>
    </w:p>
    <w:p>
      <w:pPr>
        <w:pStyle w:val="ListParagraph"/>
        <w:numPr>
          <w:ilvl w:val="0"/>
          <w:numId w:val="1"/>
        </w:numPr>
        <w:spacing w:after="60" w:line="312"/>
        <w:ind w:left="720" w:hanging="360"/>
      </w:pPr>
      <w:r>
        <w:rPr>
          <w:rFonts w:ascii="Inter" w:eastAsia="Inter"/>
          <w:color w:val="1E293B"/>
          <w:sz w:val="22"/>
          <w:szCs w:val="22"/>
        </w:rPr>
        <w:t xml:space="preserve">Argon2 - The Winner of the Password Hashing Competition. Biryukov et al. 2015.</w:t>
      </w:r>
    </w:p>
    <w:p>
      <w:pPr>
        <w:pStyle w:val="ListParagraph"/>
        <w:numPr>
          <w:ilvl w:val="0"/>
          <w:numId w:val="1"/>
        </w:numPr>
        <w:spacing w:after="60" w:line="312"/>
        <w:ind w:left="720" w:hanging="360"/>
      </w:pPr>
      <w:r>
        <w:rPr>
          <w:rFonts w:ascii="Inter" w:eastAsia="Inter"/>
          <w:color w:val="1E293B"/>
          <w:sz w:val="22"/>
          <w:szCs w:val="22"/>
        </w:rPr>
        <w:t xml:space="preserve">PreOne Engineering Handbook, Section 4.15 - Password Policy. Internal. 2025.</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2025-08-01</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Platform Security Architect</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options enumerated; consultation with security and engineering teams</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2025-09-17</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Platform Security Architect</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Architecture Review Board after cross-team review</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2025-10-15</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published to architecture repository</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2026-07-15</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cross-references to Vol 1-3 ADRs added; 34-section template applied</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Platform Security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Authentication Platform Lead</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Architecture Review Board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ADR published to architecture repository (Done)</w:t>
      </w:r>
    </w:p>
    <w:p>
      <w:pPr>
        <w:pStyle w:val="ListParagraph"/>
        <w:numPr>
          <w:ilvl w:val="0"/>
          <w:numId w:val="1"/>
        </w:numPr>
        <w:spacing w:after="60" w:line="312"/>
        <w:ind w:left="720" w:hanging="360"/>
      </w:pPr>
      <w:r>
        <w:rPr>
          <w:rFonts w:ascii="Inter" w:eastAsia="Inter"/>
          <w:color w:val="1E293B"/>
          <w:sz w:val="22"/>
          <w:szCs w:val="22"/>
        </w:rPr>
        <w:t xml:space="preserve">Cross-references to upstream/downstream artefacts added (Done)</w:t>
      </w:r>
    </w:p>
    <w:p>
      <w:pPr>
        <w:pStyle w:val="ListParagraph"/>
        <w:numPr>
          <w:ilvl w:val="0"/>
          <w:numId w:val="1"/>
        </w:numPr>
        <w:spacing w:after="60" w:line="312"/>
        <w:ind w:left="720" w:hanging="360"/>
      </w:pPr>
      <w:r>
        <w:rPr>
          <w:rFonts w:ascii="Inter" w:eastAsia="Inter"/>
          <w:color w:val="1E293B"/>
          <w:sz w:val="22"/>
          <w:szCs w:val="22"/>
        </w:rPr>
        <w:t xml:space="preserve">Security team briefed in monthly architecture sync (Done)</w:t>
      </w:r>
    </w:p>
    <w:p>
      <w:pPr>
        <w:pStyle w:val="ListParagraph"/>
        <w:numPr>
          <w:ilvl w:val="0"/>
          <w:numId w:val="1"/>
        </w:numPr>
        <w:spacing w:after="60" w:line="312"/>
        <w:ind w:left="720" w:hanging="360"/>
      </w:pPr>
      <w:r>
        <w:rPr>
          <w:rFonts w:ascii="Inter" w:eastAsia="Inter"/>
          <w:color w:val="1E293B"/>
          <w:sz w:val="22"/>
          <w:szCs w:val="22"/>
        </w:rPr>
        <w:t xml:space="preserve">Code review checklist updated to enforce this ADR (Done)</w:t>
      </w:r>
    </w:p>
    <w:p>
      <w:pPr>
        <w:pStyle w:val="ListParagraph"/>
        <w:numPr>
          <w:ilvl w:val="0"/>
          <w:numId w:val="1"/>
        </w:numPr>
        <w:spacing w:after="60" w:line="312"/>
        <w:ind w:left="720" w:hanging="360"/>
      </w:pPr>
      <w:r>
        <w:rPr>
          <w:rFonts w:ascii="Inter" w:eastAsia="Inter"/>
          <w:color w:val="1E293B"/>
          <w:sz w:val="22"/>
          <w:szCs w:val="22"/>
        </w:rPr>
        <w:t xml:space="preserve">On-call runbook updated with operational procedures (Done)</w:t>
      </w:r>
    </w:p>
    <w:p>
      <w:pPr>
        <w:pStyle w:val="ListParagraph"/>
        <w:numPr>
          <w:ilvl w:val="0"/>
          <w:numId w:val="1"/>
        </w:numPr>
        <w:spacing w:after="60" w:line="312"/>
        <w:ind w:left="720" w:hanging="360"/>
      </w:pPr>
      <w:r>
        <w:rPr>
          <w:rFonts w:ascii="Inter" w:eastAsia="Inter"/>
          <w:color w:val="1E293B"/>
          <w:sz w:val="22"/>
          <w:szCs w:val="22"/>
        </w:rPr>
        <w:t xml:space="preserve">Password Policy Engine implemented (Done)</w:t>
      </w:r>
    </w:p>
    <w:p>
      <w:pPr>
        <w:pStyle w:val="ListParagraph"/>
        <w:numPr>
          <w:ilvl w:val="0"/>
          <w:numId w:val="1"/>
        </w:numPr>
        <w:spacing w:after="60" w:line="312"/>
        <w:ind w:left="720" w:hanging="360"/>
      </w:pPr>
      <w:r>
        <w:rPr>
          <w:rFonts w:ascii="Inter" w:eastAsia="Inter"/>
          <w:color w:val="1E293B"/>
          <w:sz w:val="22"/>
          <w:szCs w:val="22"/>
        </w:rPr>
        <w:t xml:space="preserve">bcrypt hashing (cost factor 12) (Done)</w:t>
      </w:r>
    </w:p>
    <w:p>
      <w:pPr>
        <w:pStyle w:val="ListParagraph"/>
        <w:numPr>
          <w:ilvl w:val="0"/>
          <w:numId w:val="1"/>
        </w:numPr>
        <w:spacing w:after="60" w:line="312"/>
        <w:ind w:left="720" w:hanging="360"/>
      </w:pPr>
      <w:r>
        <w:rPr>
          <w:rFonts w:ascii="Inter" w:eastAsia="Inter"/>
          <w:color w:val="1E293B"/>
          <w:sz w:val="22"/>
          <w:szCs w:val="22"/>
        </w:rPr>
        <w:t xml:space="preserve">Password history (last 12 passwords) (Done)</w:t>
      </w:r>
    </w:p>
    <w:p>
      <w:pPr>
        <w:pStyle w:val="ListParagraph"/>
        <w:numPr>
          <w:ilvl w:val="0"/>
          <w:numId w:val="1"/>
        </w:numPr>
        <w:spacing w:after="60" w:line="312"/>
        <w:ind w:left="720" w:hanging="360"/>
      </w:pPr>
      <w:r>
        <w:rPr>
          <w:rFonts w:ascii="Inter" w:eastAsia="Inter"/>
          <w:color w:val="1E293B"/>
          <w:sz w:val="22"/>
          <w:szCs w:val="22"/>
        </w:rPr>
        <w:t xml:space="preserve">Breach database check (Have I Been Pwned API) (Done)</w:t>
      </w:r>
    </w:p>
    <w:p>
      <w:pPr>
        <w:pStyle w:val="ListParagraph"/>
        <w:numPr>
          <w:ilvl w:val="0"/>
          <w:numId w:val="1"/>
        </w:numPr>
        <w:spacing w:after="60" w:line="312"/>
        <w:ind w:left="720" w:hanging="360"/>
      </w:pPr>
      <w:r>
        <w:rPr>
          <w:rFonts w:ascii="Inter" w:eastAsia="Inter"/>
          <w:color w:val="1E293B"/>
          <w:sz w:val="22"/>
          <w:szCs w:val="22"/>
        </w:rPr>
        <w:t xml:space="preserve">Forgot-password flow with 1-hour token (Done)</w:t>
      </w:r>
    </w:p>
    <w:p>
      <w:pPr>
        <w:pStyle w:val="ListParagraph"/>
        <w:numPr>
          <w:ilvl w:val="0"/>
          <w:numId w:val="1"/>
        </w:numPr>
        <w:spacing w:after="60" w:line="312"/>
        <w:ind w:left="720" w:hanging="360"/>
      </w:pPr>
      <w:r>
        <w:rPr>
          <w:rFonts w:ascii="Inter" w:eastAsia="Inter"/>
          <w:color w:val="1E293B"/>
          <w:sz w:val="22"/>
          <w:szCs w:val="22"/>
        </w:rPr>
        <w:t xml:space="preserve">Quarterly password-policy review (Scheduled)</w:t>
      </w:r>
    </w:p>
    <w:p>
      <w:pPr>
        <w:spacing w:after="60" w:before="360" w:line="280"/>
      </w:pPr>
      <w:r>
        <w:rPr>
          <w:rFonts w:ascii="Inter" w:eastAsia="Inter"/>
          <w:b/>
          <w:bCs/>
          <w:color w:val="4F46E5"/>
          <w:spacing w:val="60"/>
          <w:sz w:val="22"/>
          <w:szCs w:val="22"/>
        </w:rPr>
        <w:t xml:space="preserve">ADR-076</w:t>
      </w:r>
    </w:p>
    <w:p>
      <w:pPr>
        <w:pStyle w:val="Heading1"/>
        <w:spacing w:after="200" w:before="60" w:line="312"/>
      </w:pPr>
      <w:r>
        <w:rPr>
          <w:rFonts w:ascii="Inter" w:eastAsia="Inter"/>
          <w:b/>
          <w:bCs/>
          <w:color w:val="0F172A"/>
          <w:sz w:val="36"/>
          <w:szCs w:val="36"/>
        </w:rPr>
        <w:t xml:space="preserve">API Security</w:t>
      </w:r>
    </w:p>
    <w:p>
      <w:pPr>
        <w:spacing w:after="120" w:line="280"/>
      </w:pPr>
      <w:r>
        <w:rPr>
          <w:rFonts w:ascii="Inter" w:eastAsia="Inter"/>
          <w:color w:val="64748B"/>
          <w:sz w:val="20"/>
          <w:szCs w:val="20"/>
        </w:rPr>
        <w:t xml:space="preserve">Volume 4 — Security Architecture  -  </w:t>
      </w:r>
      <w:r>
        <w:rPr>
          <w:rFonts w:ascii="Inter" w:eastAsia="Inter"/>
          <w:color w:val="64748B"/>
          <w:sz w:val="20"/>
          <w:szCs w:val="20"/>
        </w:rPr>
        <w:t xml:space="preserve">Identity &amp; Security</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Adopt a layered API security model: mutual TLS (mTLS) for service-to-service communication within the cluster, JWT (RS256) for user-facing API requests, OAuth 2.1 scope checks at the gateway, and per-endpoint authorisation via the Effective Permission Resolver (ADR-067). All external API traffic terminates at the API gateway, which enforces TLS 1.3, rate limits, and security headers.</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Platform Security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review, or on trigger event (incident, major version upgrade, or strategic shift)</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refreshes for series alignment and cross-references)</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The PreOne platform exposes three categories of API surface. The first is user-facing APIs: REST endpoints called by the web frontend, the mobile app, and third-party integrations over the public internet. The second is service-to-service APIs: internal gRPC and REST calls between microservices within the Kubernetes cluster. The third is platform-operator APIs: administrative endpoints used by the support and operations teams, accessed via a bastion or VPN.
The legacy platform treats all three categories uniformly: HTTPS with bearer JWTs, with no mTLS for internal calls and no scope checks at the gateway. The 2025 Q3 security review identified three gaps. First, internal service-to-service calls are authenticated only by network position (any pod in the cluster can call any other pod), which violates the principle of least privilege and was exploited in the 2024 Redis-escalation incident. Second, user-facing JWTs are not scope-checked at the gateway, so a compromised JWT with one scope can probe endpoints that require another scope. Third, platform-operator APIs are exposed on the same gateway as user-facing APIs, increasing the attack surface.
The ARB considered four API security models. The first is the legacy model (uniform HTTPS + JWT), which is rejected for the reasons above. The second is mTLS everywhere (including user-facing), which is rejected as incompatible with browser and mobile clients. The third is the layered model selected here. The fourth is a service mesh (Istio) with sidecar-based mTLS, which is rejected as operationally heavy for PreOne's current scale but tracked as a future evolution.</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The 2026 international expansion requires API security aligned with each regulatory regime: GDPR Article 32 recommends mTLS for service-to-service PII flows; DPDP requires audit logs of every API access to PII; COPPA requires parental-consent scope checks for minor-related endpoints. The layered model satisfies all three. The business also requires that the API gateway enforce rate limits and security headers uniformly (per ADR-080 and ADR-081), which is only possible if all traffic terminates at the gateway. Finally, the business requires that platform-operator APIs be isolated from user-facing traffic, to reduce the attack surface and to support per-endpoint audit and break-glass procedures.</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The legacy API security model (uniform HTTPS + JWT, no mTLS for internal, no gateway scope checks) violates least privilege, was exploited in the 2024 Redis-escalation incident, and cannot satisfy the regulatory requirements of the 2026 expansion. PreOne needs a layered API security model: mTLS for service-to-service, JWT + scope checks for user-facing, isolated platform-operator APIs, and a gateway that enforces TLS, rate limits, and headers.</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The model must remain compatible with browser and mobile clients, which cannot present client certificates for user-facing traffic.</w:t>
      </w:r>
    </w:p>
    <w:p>
      <w:pPr>
        <w:pStyle w:val="ListParagraph"/>
        <w:numPr>
          <w:ilvl w:val="0"/>
          <w:numId w:val="1"/>
        </w:numPr>
        <w:spacing w:after="60" w:line="312"/>
        <w:ind w:left="720" w:hanging="360"/>
      </w:pPr>
      <w:r>
        <w:rPr>
          <w:rFonts w:ascii="Inter" w:eastAsia="Inter"/>
          <w:color w:val="1E293B"/>
          <w:sz w:val="22"/>
          <w:szCs w:val="22"/>
        </w:rPr>
        <w:t xml:space="preserve">mTLS certificates must be issued and rotated automatically (per ADR-078) to avoid operational burden.</w:t>
      </w:r>
    </w:p>
    <w:p>
      <w:pPr>
        <w:pStyle w:val="ListParagraph"/>
        <w:numPr>
          <w:ilvl w:val="0"/>
          <w:numId w:val="1"/>
        </w:numPr>
        <w:spacing w:after="60" w:line="312"/>
        <w:ind w:left="720" w:hanging="360"/>
      </w:pPr>
      <w:r>
        <w:rPr>
          <w:rFonts w:ascii="Inter" w:eastAsia="Inter"/>
          <w:color w:val="1E293B"/>
          <w:sz w:val="22"/>
          <w:szCs w:val="22"/>
        </w:rPr>
        <w:t xml:space="preserve">Scope checks at the gateway must complete within 5ms p99 to avoid adding latency.</w:t>
      </w:r>
    </w:p>
    <w:p>
      <w:pPr>
        <w:pStyle w:val="ListParagraph"/>
        <w:numPr>
          <w:ilvl w:val="0"/>
          <w:numId w:val="1"/>
        </w:numPr>
        <w:spacing w:after="60" w:line="312"/>
        <w:ind w:left="720" w:hanging="360"/>
      </w:pPr>
      <w:r>
        <w:rPr>
          <w:rFonts w:ascii="Inter" w:eastAsia="Inter"/>
          <w:color w:val="1E293B"/>
          <w:sz w:val="22"/>
          <w:szCs w:val="22"/>
        </w:rPr>
        <w:t xml:space="preserve">Platform-operator APIs must be accessible only via bastion or VPN, never via the public gateway.</w:t>
      </w:r>
    </w:p>
    <w:p>
      <w:pPr>
        <w:pStyle w:val="ListParagraph"/>
        <w:numPr>
          <w:ilvl w:val="0"/>
          <w:numId w:val="1"/>
        </w:numPr>
        <w:spacing w:after="60" w:line="312"/>
        <w:ind w:left="720" w:hanging="360"/>
      </w:pPr>
      <w:r>
        <w:rPr>
          <w:rFonts w:ascii="Inter" w:eastAsia="Inter"/>
          <w:color w:val="1E293B"/>
          <w:sz w:val="22"/>
          <w:szCs w:val="22"/>
        </w:rPr>
        <w:t xml:space="preserve">The model must support per-tenant scope overrides (e.g., a tenant may restrict access to certain scopes to specific IP ranges).</w:t>
      </w:r>
    </w:p>
    <w:p>
      <w:pPr>
        <w:pStyle w:val="ListParagraph"/>
        <w:numPr>
          <w:ilvl w:val="0"/>
          <w:numId w:val="1"/>
        </w:numPr>
        <w:spacing w:after="60" w:line="312"/>
        <w:ind w:left="720" w:hanging="360"/>
      </w:pPr>
      <w:r>
        <w:rPr>
          <w:rFonts w:ascii="Inter" w:eastAsia="Inter"/>
          <w:color w:val="1E293B"/>
          <w:sz w:val="22"/>
          <w:szCs w:val="22"/>
        </w:rPr>
        <w:t xml:space="preserve">All API traffic must be audit-logged per ADR-086.</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The Kubernetes cluster provides a stable Certificate Authority (cert-manager) for mTLS certificate issuance.</w:t>
      </w:r>
    </w:p>
    <w:p>
      <w:pPr>
        <w:pStyle w:val="ListParagraph"/>
        <w:numPr>
          <w:ilvl w:val="0"/>
          <w:numId w:val="1"/>
        </w:numPr>
        <w:spacing w:after="60" w:line="312"/>
        <w:ind w:left="720" w:hanging="360"/>
      </w:pPr>
      <w:r>
        <w:rPr>
          <w:rFonts w:ascii="Inter" w:eastAsia="Inter"/>
          <w:color w:val="1E293B"/>
          <w:sz w:val="22"/>
          <w:szCs w:val="22"/>
        </w:rPr>
        <w:t xml:space="preserve">The API gateway (per ADR-091) supports OAuth 2.1 scope checks via JWT introspection or local JWT verification.</w:t>
      </w:r>
    </w:p>
    <w:p>
      <w:pPr>
        <w:pStyle w:val="ListParagraph"/>
        <w:numPr>
          <w:ilvl w:val="0"/>
          <w:numId w:val="1"/>
        </w:numPr>
        <w:spacing w:after="60" w:line="312"/>
        <w:ind w:left="720" w:hanging="360"/>
      </w:pPr>
      <w:r>
        <w:rPr>
          <w:rFonts w:ascii="Inter" w:eastAsia="Inter"/>
          <w:color w:val="1E293B"/>
          <w:sz w:val="22"/>
          <w:szCs w:val="22"/>
        </w:rPr>
        <w:t xml:space="preserve">The OAuth 2.1 scopes are designed in ADR-068 (Scope Model); this ADR consumes them.</w:t>
      </w:r>
    </w:p>
    <w:p>
      <w:pPr>
        <w:pStyle w:val="ListParagraph"/>
        <w:numPr>
          <w:ilvl w:val="0"/>
          <w:numId w:val="1"/>
        </w:numPr>
        <w:spacing w:after="60" w:line="312"/>
        <w:ind w:left="720" w:hanging="360"/>
      </w:pPr>
      <w:r>
        <w:rPr>
          <w:rFonts w:ascii="Inter" w:eastAsia="Inter"/>
          <w:color w:val="1E293B"/>
          <w:sz w:val="22"/>
          <w:szCs w:val="22"/>
        </w:rPr>
        <w:t xml:space="preserve">Service-to-service calls are always within the cluster; external integrations use the user-facing gateway with API keys (per ADR-069).</w:t>
      </w:r>
    </w:p>
    <w:p>
      <w:pPr>
        <w:pStyle w:val="ListParagraph"/>
        <w:numPr>
          <w:ilvl w:val="0"/>
          <w:numId w:val="1"/>
        </w:numPr>
        <w:spacing w:after="60" w:line="312"/>
        <w:ind w:left="720" w:hanging="360"/>
      </w:pPr>
      <w:r>
        <w:rPr>
          <w:rFonts w:ascii="Inter" w:eastAsia="Inter"/>
          <w:color w:val="1E293B"/>
          <w:sz w:val="22"/>
          <w:szCs w:val="22"/>
        </w:rPr>
        <w:t xml:space="preserve">Platform-operator APIs are accessed only via the bastion (per ADR-024) or the corporate VPN.</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Layered: mTLS internal + JWT+scope user-facing + isolated operator APIs + gateway enforcement.</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Defence in depth. Closes the network-position gap. Compatible with browsers. Isolates operator APIs. Aligns with GDPR/DPDP/COPPA.</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Three enforcement points (gateway, mTLS, permission resolver) add complexity. cert-manager dependency. Operational burden of mTLS rotation.</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Adopted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Legacy: uniform HTTPS + JWT, no mTLS, no gateway scope checks.</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Simple. Single enforcement point. No cert-manager dependency.</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Network-position-based service auth violates least privilege. Exploited in 2024 Redis incident. Cannot satisfy GDPR/DPDP mTLS recommendations.</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mTLS everywhere including user-facing traffic.</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Strongest service identity. Uniform model. No JWT scope-check complexity.</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Browsers cannot easily present client certificates. Mobile clients require certificate provisioning. Kiosks are incompatible.</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Service mesh (Istio) with sidecar-based mTLS.</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Uniform mTLS without application changes. Sidecar handles rotation. Rich traffic management.</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Sidecar overhead (~10% CPU/memory per pod). Control-plane complexity. Istio expertise not available in current team. Not justified at 12-microservice scale.</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We will adopt a layered API security model. Service-to-service calls within the Kubernetes cluster use mTLS with certificates issued by cert-manager (per ADR-078); each service presents a client certificate and verifies the server certificate, with service identity encoded in the certificate's SPIFFE ID. User-facing API requests terminate at the API gateway, which enforces TLS 1.3 (per ADR-077), rate limits (per ADR-080), and security headers (per ADR-081), and verifies the JWT signature and scopes (per ADR-068) before forwarding to the backend service. Per-endpoint authorisation is enforced by the Effective Permission Resolver (per ADR-067). Platform-operator APIs are exposed on a separate gateway accessible only via bastion or VPN, with mandatory MFA (per ADR-072) and break-glass audit logging (per ADR-086).</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The layered model is selected because it is the only option that simultaneously satisfies the security, compatibility, and operational requirements. The legacy model (uniform HTTPS + JWT) is rejected because it relies on network position for service-to-service authentication, which violates least privilege: any pod in the cluster can call any other pod, and a single compromised pod can escalate privileges across the platform. The 2024 Redis-escalation incident demonstrated this: an attacker who compromised a low-privilege pod used it to call the Redis admin API, which was reachable because the network policy allowed it. mTLS for service-to-service closes this gap by requiring each service to present a client certificate, with service identity verified at the target.
mTLS everywhere (including user-facing) was rejected because browser and mobile clients cannot easily present client certificates; user-installed certificates are operationally burdensome and are not supported by all browsers. The layered model uses mTLS where it is operationally feasible (service-to-service) and JWT + scope checks where it is not (user-facing).
The service mesh option (Istio with sidecar-based mTLS) was rejected as operationally heavy for PreOne's current scale (12 microservices, ~50 pods): the sidecar overhead (~10% CPU and memory per pod) and the control-plane complexity are not justified at this scale. The layered model achieves the same security properties with cert-manager-issued certificates and application-level mTLS, which is simpler to operate. The service mesh is tracked as a future evolution if the microservice count exceeds 30 or if the platform adopts multi-cluster deployment.
Scope checks at the gateway are enforced via local JWT verification (the gateway verifies the JWT signature and extracts the scopes claim), which is O(1) and adds ~1ms latency. Per-endpoint authorisation is enforced by the Effective Permission Resolver (ADR-067) in the backend service, which checks the principal's effective permissions against the resource's tenancy and ownership. The gateway scope check is a coarse filter (does the principal have the scope at all?); the backend permission check is the fine filter (does the principal have permission on this specific resource?). Both are required for defence in depth.</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API SECURITY LAYERS                        |
+-------------------------------------------------------------+
| EXTERNAL (user-facing)                                     |
|   Browser/Mobile/Integration                               |
|     |  HTTPS (TLS 1.3) + JWT (RS256)                       |
|     v                                                      |
|   API Gateway (per ADR-091)                                |
|     - TLS termination                                      |
|     - JWT verify + scope check (ADR-068)                   |
|     - Rate limit (ADR-080) + Headers (ADR-081)             |
|     - Audit log (ADR-086)                                  |
+-------------------------------------------------------------+
| INTERNAL (service-to-service)                              |
|   Microservice A -&gt; Microservice B                         |
|     |  mTLS (cert-manager, SPIFFE ID)                      |
|     v                                                      |
|   Backend service verifies client cert + SPIFFE ID         |
+-------------------------------------------------------------+
| OPERATOR (platform-ops)                                    |
|   Bastion/VPN -&gt; Operator Gateway                          |
|     |  HTTPS + JWT + MFA (ADR-072)                         |
|     v                                                      |
|   Operator APIs (separate from user-facing gateway)        |
|     - Break-glass audit logging                            |
+-------------------------------------------------------------+</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Browser -&gt; API Gateway: GET /resource (Authorization: Bearer JWT)
API Gateway -&gt; JWT Verifier: verify signature (RS256)
JWT Verifier -&gt; API Gateway: valid + scopes=[read:resource]
API Gateway -&gt; Scope Checker: scope check (read:resource required?)
Scope Checker -&gt; API Gateway: pass
API Gateway -&gt; Backend: GET /resource (JWT forwarded)
Backend -&gt; Permission Resolver: principal has perm on resource?
Permission Resolver -&gt; Backend: yes
Backend -&gt; API Gateway: 200 OK {resource}
API Gateway -&gt; Browser: 200 OK {resource}
API Gateway -&gt; Audit Log: API access event (per ADR-086)</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ADR-076 — API Security  -  Component View              |
+-------------------------------------------------------------+
|                                                             |
|  +----------------+        +----------------------+         |
|  | Client         |  call  | API Gateway          |         |
|  |                |-------&gt;| (auth + rate limit)  |         |
|  +----------------+        +----------+-----------+         |
|                                       |                     |
|                                       | verify              |
|                                       v                     |
|  +----------------+        +----------------------+         |
|  | JWT Validator  | check  | Token (ADR-070)      |         |
|  |                |-------&gt;|                      |         |
|  +----------------+        +----------+-----------+         |
|                                       |                     |
|                                       | scope check         |
|                                       v                     |
|  +----------------+        +----------------------+         |
|  | Rate Limiter   |  per   | Redis (sliding       |         |
|  |                |  key   |  window)             |         |
|  +----------------+        +----------------------+         |
|                                                             |
|  WAF (ADR-084) + Shield (ADR-085) at edge for DDoS defense  |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API Request Flow:
  Client -&gt; API Gateway: HTTPS request + Bearer token
  API Gateway -&gt; Rate Limiter: check (per user + per IP)
  (exceed) API Gateway -&gt; Client: 429 + Retry-After
  API Gateway -&gt; Token Validator: verify JWT
  (invalid) API Gateway -&gt; Client: 401
  API Gateway -&gt; Authorization Service: check scope
  (deny) API Gateway -&gt; Client: 403
  API Gateway -&gt; App Service: forward request
  App Service -&gt; API Gateway: response
  API Gateway -&gt; Audit: log 'API_CALL'
  API Gateway -&gt; Client: response</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No new tables are introduced. The mTLS certificate inventory is stored in cert-manager's etcd backend (per ADR-078), not in the application database. The scope assignments are stored in the oauth_scopes table (per ADR-068). Audit logs of API access are written to audit_trail per ADR-086. The operator-API gateway maintains a separate audit log (operator_audit_trail) for break-glass events, with longer retention (7 years per ADR-053) to satisfy regulatory requirements. The cert-manager certificate-rotation events are logged to the operational event log (per ADR-088). No schema changes are required beyond the tables already defined in ADR-068 and ADR-086.</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The API gateway (per ADR-091) is the single entry point for all user-facing traffic; no backend service is directly reachable from the public internet. The gateway enforces TLS 1.3 (per ADR-077), rate limits (per ADR-080), security headers (per ADR-081), and JWT verification with scope checks. Service-to-service calls use mTLS via Spring's WebClient with X.509 configuration; the SPIFFE ID is extracted from the client certificate and used for service identification. The operator-API gateway is a separate Spring Cloud Gateway instance with a separate DNS name (operator.preone.example), accessible only via the bastion (per ADR-024) or the corporate VPN. Operator-API requests require a JWT with operator scopes and an MFA-verified session (per ADR-072). All API responses include the standard security headers (per ADR-081) and the Correlation-Id header for tracing (per ADR-047).</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API Security is largely invisible to end users — they benefit from secure APIs without seeing the controls. For developers, the API documentation (developers.preone.com) includes authentication guides (Bearer token, OAuth 2.0 client credentials), rate-limit headers (X-RateLimit-Limit, X-RateLimit-Remaining), and error response formats (401 unauthorized, 403 forbidden, 429 too many requests). The admin UI includes an 'API Keys' management page where admins can create, rotate, and revoke API keys for third-party integrations, with per-key rate limits and scopes. API key usage is logged for audit.</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The layered model raises the API security floor on three dimensions. First, mTLS for service-to-service eliminates the network-position-based authentication that was exploited in the 2024 Redis-escalation incident; a compromised pod can no longer call any other pod without a valid client certificate. Second, gateway scope checks prevent the scope-confusion attack where a JWT with one scope probes endpoints requiring another scope; the gateway rejects the request before it reaches the backend. Third, the isolation of operator APIs on a separate gateway (accessible only via bastion or VPN) reduces the public attack surface by an estimated 40% (the operator endpoints are no longer reachable from the public internet). The mTLS certificates are rotated automatically every 24 hours by cert-manager (per ADR-078), which limits the value of a stolen certificate. The SPIFFE ID in the certificate provides non-repudiation for service-to-service calls: each call can be attributed to a specific service instance.</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The gateway JWT verification adds 1-2ms p99 to every user-facing request (dominated by the RS256 signature verification). The scope check is O(1) (set membership) and adds negligible latency. The mTLS handshake for service-to-service calls adds 5-10ms on the first call (handshake) and 0ms on subsequent calls (session resumption); the cert-manager rotation does not affect performance because the rotated certificate is hot-swapped without breaking the connection. The operator-API gateway has the same overhead as the user-facing gateway plus the MFA verification overhead (per ADR-072, ~5ms for the MFA claim check). Total API-security overhead on the hot path: ~3ms p99 for user-facing, ~5ms p99 for service-to-service (first call), well within the 100ms p99 API budget. The gateway is deployed in HA (3 replicas) and scales horizontally behind a load balancer.</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The API gateway scales horizontally with the request rate; at 5,000 requests per second (projected peak), 3 gateway replicas (each handling 2,000 RPS) provide headroom. The JWT verification is CPU-bound (RS256 signature) and benefits from vertical scaling within each replica. The mTLS for service-to-service is bounded by the pod count (~50 pods, ~200 service-to-service calls per second); the cert-manager rotation (every 24 hours) is a background operation that does not affect request handling. The operator-API gateway is low-traffic (a few requests per minute) and does not require scaling. The audit-log write (per ADR-086) is asynchronous (queued in Redis, flushed to PostgreSQL in batches) and does not affect request latency. At the 5M-principal projection, the API gateway scales to 15 replicas, which is within the Kubernetes cluster capacity; no architectural change is anticipated.</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The API security subsystem requires five operational artefacts. (1) A runbook for mTLS certificate-rotation failure: cert-manager should rotate automatically, but if rotation fails, the on-call engineer must manually issue a certificate before the old one expires (24-hour window). (2) A runbook for gateway scope-check policy changes: scope assignments are propagated within 60 seconds via the configuration service; the runbook covers verification. (3) A runbook for operator-API break-glass access: the runbook covers the MFA step-up, the audit logging, and the post-access review. (4) A runbook for gateway rate-limit tuning: per-tenant rate limits are reviewed monthly. (5) A runbook for cert-manager CA rotation: the cluster CA is rotated annually; the runbook covers the zero-downtime rotation. The mTLS certificate inventory is monitored; any certificate within 12 hours of expiry triggers a high-severity alert.</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cert-manager outage stops mTLS certificate rotation.</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24-hour rotation window provides buffer; cert-manager is HA; manual issuance runbook; alerting on rotation failure.</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Gateway scope-check policy drift allows scope-confusion attacks.</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Scope assignments are version-controlled; quarterly audit; automated conformance test on every deployment.</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Operator-API isolation is bypassed by misconfigured firewall.</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Network policy is verified by a daily conformance test; alert on violation; quarterly red-team verification.</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JWT verification key rotation (per ADR-070) causes brief authentication failures.</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Dual-key overlap during rotation; canary verification; rollback path documented.</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mTLS eliminates network-position-based service auth.</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cert-manager dependency and rotation operational burden.</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Gateway scope checks prevent scope-confusion attacks.</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1-2ms p99 added to every user-facing request.</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Operator-API isolation reduces public attack surface.</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Separate gateway and DNS increase operational complexity.</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Per-endpoint permission resolver provides fine-grained auth.</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Permission-check latency added to every backend call.</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The legacy model (uniform HTTPS + JWT, no mTLS, no gateway scope checks) was rejected because it relies on network position for service-to-service authentication, which violates least privilege and was exploited in the 2024 Redis-escalation incident. mTLS everywhere (including user-facing) was rejected because browser and mobile clients cannot easily present client certificates; user-installed certificates are operationally burdensome (especially on shared kiosk devices) and are not supported by all browsers. The service mesh option (Istio with sidecar-based mTLS) was rejected as operationally heavy for PreOne's current scale (12 microservices, ~50 pods): the sidecar overhead (~10% CPU and memory per pod) and the control-plane complexity are not justified at this scale, and the Istio expertise required is not available in the current team. The service mesh is tracked as a future evolution if the microservice count exceeds 30 or if the platform adopts multi-cluster deployment. API-key-only authentication (no JWT) was rejected because API keys do not provide fine-grained scopes and are difficult to revoke. The layered model is the only option that satisfies all requirements; the full reasoning is captured in the Options Considered table.</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Migration is phased over one quarter alongside the authentication-stack migration (per ADR-062). Phase 1 (weeks 1-3): deploy the API gateway (per ADR-091) with TLS termination and JWT verification; backend services continue to receive direct traffic during this phase. Phase 2 (weeks 4-6): deploy cert-manager and issue mTLS certificates to all backend services; service-to-service calls are migrated to mTLS in a canary pattern (10% per day). Phase 3 (weeks 7-9): enable gateway scope checks for all user-facing endpoints; the legacy direct-traffic path is decommissioned. Phase 4 (weeks 10-12): deploy the operator-API gateway on a separate DNS; migrate operator endpoints from the user-facing gateway to the operator gateway. Phase 5 (week 13): the shadow-mode logging is removed; the legacy network policies that allowed pod-to-pod traffic without mTLS are tightened. Rollback is possible at any point by reverting to the legacy model; the cert-manager certificates remain in place but mTLS is not enforced (the services accept both mTLS and plaintext during the migration window only).</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The API security subsystem is tested at four levels. Unit tests cover the JWT verifier (signature correctness, scope extraction), the mTLS handshake (certificate validation, SPIFFE ID extraction), and the scope checker (set membership, policy evaluation). Coverage target is 95%. Integration tests cover the gateway-to-backend flow, the service-to-service mTLS flow, and the operator-API MFA flow. End-to-end tests cover the full request path from browser to backend. Security tests cover the scope-confusion attack (must be rejected), the network-position-based service call (must be rejected without mTLS), and the operator-API direct-access attempt (must be rejected at the firewall). Performance tests cover the gateway JWT verification at projected peak (5,000 RPS). The mTLS certificate rotation is tested with a synthetic cert-manager outage. The acceptance criterion is zero API-auth bypass incidents in the post-cutover penetration test.</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Six golden signals are monitored. (1) Gateway JWT verification latency p99: target under 2ms, alert above 5ms. (2) Gateway scope-check rejection rate: target under 0.5% of requests, alert above 2% (possible attack or misconfiguration). (3) mTLS handshake failure rate: target 0, alert above 0.1% (possible cert-manager issue). (4) cert-manager certificate-rotation lead time: target over 12 hours, alert below 6 hours (possible rotation failure). (5) Operator-API MFA step-up rate: target 100% (every operator request must be MFA-verified), alert below 100%. (6) Gateway rate-limit hit rate: target under 1% of requests, alert above 5% (possible attack or misconfiguration). A dedicated API-security dashboard surfaces these alongside the per-tenant scope distribution, the mTLS certificate inventory, and the top rejection reasons. Anomaly detection (per ADR-088) flags unusual patterns such as a tenant-wide scope-check rejection burst (possible attack) or a service-to-service call pattern change (possible compromise).</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The API security subsystem is expected to evolve in three directions. First, the system may adopt a service mesh (Istio or Linkerd) for sidecar-based mTLS, which would simplify certificate management and provide uniform observability; this is monitored but not planned for v1 because of the operational overhead. Second, the system may add OAuth 2.1 token exchange (RFC 8693) for service-to-service flows that propagate user context, reducing the need for service accounts; this is planned for v2. Third, the system may integrate with the SPIFFE/SPIRE ecosystem for federated service identity across clusters, supporting the multi-cluster deployment planned for the 2027 horizon. The trigger for revisiting this ADR is the microservice count exceeding 30, the adoption of multi-cluster deployment, or a regulatory change requiring formal service-identity attestation.</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ADR-062 - Authentication (issues JWTs verified by the gateway)</w:t>
      </w:r>
    </w:p>
    <w:p>
      <w:pPr>
        <w:pStyle w:val="ListParagraph"/>
        <w:numPr>
          <w:ilvl w:val="0"/>
          <w:numId w:val="1"/>
        </w:numPr>
        <w:spacing w:after="60" w:line="312"/>
        <w:ind w:left="720" w:hanging="360"/>
      </w:pPr>
      <w:r>
        <w:rPr>
          <w:rFonts w:ascii="Inter" w:eastAsia="Inter"/>
          <w:color w:val="1E293B"/>
          <w:sz w:val="22"/>
          <w:szCs w:val="22"/>
        </w:rPr>
        <w:t xml:space="preserve">ADR-067 - Effective Permission Resolver (per-endpoint authz)</w:t>
      </w:r>
    </w:p>
    <w:p>
      <w:pPr>
        <w:pStyle w:val="ListParagraph"/>
        <w:numPr>
          <w:ilvl w:val="0"/>
          <w:numId w:val="1"/>
        </w:numPr>
        <w:spacing w:after="60" w:line="312"/>
        <w:ind w:left="720" w:hanging="360"/>
      </w:pPr>
      <w:r>
        <w:rPr>
          <w:rFonts w:ascii="Inter" w:eastAsia="Inter"/>
          <w:color w:val="1E293B"/>
          <w:sz w:val="22"/>
          <w:szCs w:val="22"/>
        </w:rPr>
        <w:t xml:space="preserve">ADR-068 - Scope Model (defines OAuth 2.1 scopes)</w:t>
      </w:r>
    </w:p>
    <w:p>
      <w:pPr>
        <w:pStyle w:val="ListParagraph"/>
        <w:numPr>
          <w:ilvl w:val="0"/>
          <w:numId w:val="1"/>
        </w:numPr>
        <w:spacing w:after="60" w:line="312"/>
        <w:ind w:left="720" w:hanging="360"/>
      </w:pPr>
      <w:r>
        <w:rPr>
          <w:rFonts w:ascii="Inter" w:eastAsia="Inter"/>
          <w:color w:val="1E293B"/>
          <w:sz w:val="22"/>
          <w:szCs w:val="22"/>
        </w:rPr>
        <w:t xml:space="preserve">ADR-070 - JWT Policy (defines JWT format and signing keys)</w:t>
      </w:r>
    </w:p>
    <w:p>
      <w:pPr>
        <w:pStyle w:val="ListParagraph"/>
        <w:numPr>
          <w:ilvl w:val="0"/>
          <w:numId w:val="1"/>
        </w:numPr>
        <w:spacing w:after="60" w:line="312"/>
        <w:ind w:left="720" w:hanging="360"/>
      </w:pPr>
      <w:r>
        <w:rPr>
          <w:rFonts w:ascii="Inter" w:eastAsia="Inter"/>
          <w:color w:val="1E293B"/>
          <w:sz w:val="22"/>
          <w:szCs w:val="22"/>
        </w:rPr>
        <w:t xml:space="preserve">ADR-072 - MFA (required for operator APIs)</w:t>
      </w:r>
    </w:p>
    <w:p>
      <w:pPr>
        <w:pStyle w:val="ListParagraph"/>
        <w:numPr>
          <w:ilvl w:val="0"/>
          <w:numId w:val="1"/>
        </w:numPr>
        <w:spacing w:after="60" w:line="312"/>
        <w:ind w:left="720" w:hanging="360"/>
      </w:pPr>
      <w:r>
        <w:rPr>
          <w:rFonts w:ascii="Inter" w:eastAsia="Inter"/>
          <w:color w:val="1E293B"/>
          <w:sz w:val="22"/>
          <w:szCs w:val="22"/>
        </w:rPr>
        <w:t xml:space="preserve">ADR-078 - Secrets Management (mTLS certificate issuance via cert-manager)</w:t>
      </w:r>
    </w:p>
    <w:p>
      <w:pPr>
        <w:pStyle w:val="ListParagraph"/>
        <w:numPr>
          <w:ilvl w:val="0"/>
          <w:numId w:val="1"/>
        </w:numPr>
        <w:spacing w:after="60" w:line="312"/>
        <w:ind w:left="720" w:hanging="360"/>
      </w:pPr>
      <w:r>
        <w:rPr>
          <w:rFonts w:ascii="Inter" w:eastAsia="Inter"/>
          <w:color w:val="1E293B"/>
          <w:sz w:val="22"/>
          <w:szCs w:val="22"/>
        </w:rPr>
        <w:t xml:space="preserve">ADR-091 - REST Standards (defines the API gateway)</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RFC 8705 - OAuth 2.0 Mutual-TLS Client Authentication. IETF. 2020.</w:t>
      </w:r>
    </w:p>
    <w:p>
      <w:pPr>
        <w:pStyle w:val="ListParagraph"/>
        <w:numPr>
          <w:ilvl w:val="0"/>
          <w:numId w:val="1"/>
        </w:numPr>
        <w:spacing w:after="60" w:line="312"/>
        <w:ind w:left="720" w:hanging="360"/>
      </w:pPr>
      <w:r>
        <w:rPr>
          <w:rFonts w:ascii="Inter" w:eastAsia="Inter"/>
          <w:color w:val="1E293B"/>
          <w:sz w:val="22"/>
          <w:szCs w:val="22"/>
        </w:rPr>
        <w:t xml:space="preserve">SPIFFE - SPIFFE Identity Framework. CNCF. 2024.</w:t>
      </w:r>
    </w:p>
    <w:p>
      <w:pPr>
        <w:pStyle w:val="ListParagraph"/>
        <w:numPr>
          <w:ilvl w:val="0"/>
          <w:numId w:val="1"/>
        </w:numPr>
        <w:spacing w:after="60" w:line="312"/>
        <w:ind w:left="720" w:hanging="360"/>
      </w:pPr>
      <w:r>
        <w:rPr>
          <w:rFonts w:ascii="Inter" w:eastAsia="Inter"/>
          <w:color w:val="1E293B"/>
          <w:sz w:val="22"/>
          <w:szCs w:val="22"/>
        </w:rPr>
        <w:t xml:space="preserve">NIST SP 800-204 - Security Strategies for Microservices. NIST. 2020.</w:t>
      </w:r>
    </w:p>
    <w:p>
      <w:pPr>
        <w:pStyle w:val="ListParagraph"/>
        <w:numPr>
          <w:ilvl w:val="0"/>
          <w:numId w:val="1"/>
        </w:numPr>
        <w:spacing w:after="60" w:line="312"/>
        <w:ind w:left="720" w:hanging="360"/>
      </w:pPr>
      <w:r>
        <w:rPr>
          <w:rFonts w:ascii="Inter" w:eastAsia="Inter"/>
          <w:color w:val="1E293B"/>
          <w:sz w:val="22"/>
          <w:szCs w:val="22"/>
        </w:rPr>
        <w:t xml:space="preserve">OWASP - API Security Top 10. OWASP. 2023.</w:t>
      </w:r>
    </w:p>
    <w:p>
      <w:pPr>
        <w:pStyle w:val="ListParagraph"/>
        <w:numPr>
          <w:ilvl w:val="0"/>
          <w:numId w:val="1"/>
        </w:numPr>
        <w:spacing w:after="60" w:line="312"/>
        <w:ind w:left="720" w:hanging="360"/>
      </w:pPr>
      <w:r>
        <w:rPr>
          <w:rFonts w:ascii="Inter" w:eastAsia="Inter"/>
          <w:color w:val="1E293B"/>
          <w:sz w:val="22"/>
          <w:szCs w:val="22"/>
        </w:rPr>
        <w:t xml:space="preserve">PreOne Engineering Handbook, Section 4.16 - API Security. Internal. 2025.</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2025-08-01</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Platform Security Architect</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options enumerated; consultation with security and engineering teams</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2025-09-17</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Platform Security Architect</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Architecture Review Board after cross-team review</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2025-10-15</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published to architecture repository</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2026-07-15</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cross-references to Vol 1-3 ADRs added; 34-section template applied</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Platform Security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Authentication Platform Lead</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Architecture Review Board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ADR published to architecture repository (Done)</w:t>
      </w:r>
    </w:p>
    <w:p>
      <w:pPr>
        <w:pStyle w:val="ListParagraph"/>
        <w:numPr>
          <w:ilvl w:val="0"/>
          <w:numId w:val="1"/>
        </w:numPr>
        <w:spacing w:after="60" w:line="312"/>
        <w:ind w:left="720" w:hanging="360"/>
      </w:pPr>
      <w:r>
        <w:rPr>
          <w:rFonts w:ascii="Inter" w:eastAsia="Inter"/>
          <w:color w:val="1E293B"/>
          <w:sz w:val="22"/>
          <w:szCs w:val="22"/>
        </w:rPr>
        <w:t xml:space="preserve">Cross-references to upstream/downstream artefacts added (Done)</w:t>
      </w:r>
    </w:p>
    <w:p>
      <w:pPr>
        <w:pStyle w:val="ListParagraph"/>
        <w:numPr>
          <w:ilvl w:val="0"/>
          <w:numId w:val="1"/>
        </w:numPr>
        <w:spacing w:after="60" w:line="312"/>
        <w:ind w:left="720" w:hanging="360"/>
      </w:pPr>
      <w:r>
        <w:rPr>
          <w:rFonts w:ascii="Inter" w:eastAsia="Inter"/>
          <w:color w:val="1E293B"/>
          <w:sz w:val="22"/>
          <w:szCs w:val="22"/>
        </w:rPr>
        <w:t xml:space="preserve">Security team briefed in monthly architecture sync (Done)</w:t>
      </w:r>
    </w:p>
    <w:p>
      <w:pPr>
        <w:pStyle w:val="ListParagraph"/>
        <w:numPr>
          <w:ilvl w:val="0"/>
          <w:numId w:val="1"/>
        </w:numPr>
        <w:spacing w:after="60" w:line="312"/>
        <w:ind w:left="720" w:hanging="360"/>
      </w:pPr>
      <w:r>
        <w:rPr>
          <w:rFonts w:ascii="Inter" w:eastAsia="Inter"/>
          <w:color w:val="1E293B"/>
          <w:sz w:val="22"/>
          <w:szCs w:val="22"/>
        </w:rPr>
        <w:t xml:space="preserve">Code review checklist updated to enforce this ADR (Done)</w:t>
      </w:r>
    </w:p>
    <w:p>
      <w:pPr>
        <w:pStyle w:val="ListParagraph"/>
        <w:numPr>
          <w:ilvl w:val="0"/>
          <w:numId w:val="1"/>
        </w:numPr>
        <w:spacing w:after="60" w:line="312"/>
        <w:ind w:left="720" w:hanging="360"/>
      </w:pPr>
      <w:r>
        <w:rPr>
          <w:rFonts w:ascii="Inter" w:eastAsia="Inter"/>
          <w:color w:val="1E293B"/>
          <w:sz w:val="22"/>
          <w:szCs w:val="22"/>
        </w:rPr>
        <w:t xml:space="preserve">On-call runbook updated with operational procedures (Done)</w:t>
      </w:r>
    </w:p>
    <w:p>
      <w:pPr>
        <w:pStyle w:val="ListParagraph"/>
        <w:numPr>
          <w:ilvl w:val="0"/>
          <w:numId w:val="1"/>
        </w:numPr>
        <w:spacing w:after="60" w:line="312"/>
        <w:ind w:left="720" w:hanging="360"/>
      </w:pPr>
      <w:r>
        <w:rPr>
          <w:rFonts w:ascii="Inter" w:eastAsia="Inter"/>
          <w:color w:val="1E293B"/>
          <w:sz w:val="22"/>
          <w:szCs w:val="22"/>
        </w:rPr>
        <w:t xml:space="preserve">API Gateway auth + rate limit configured (Done)</w:t>
      </w:r>
    </w:p>
    <w:p>
      <w:pPr>
        <w:pStyle w:val="ListParagraph"/>
        <w:numPr>
          <w:ilvl w:val="0"/>
          <w:numId w:val="1"/>
        </w:numPr>
        <w:spacing w:after="60" w:line="312"/>
        <w:ind w:left="720" w:hanging="360"/>
      </w:pPr>
      <w:r>
        <w:rPr>
          <w:rFonts w:ascii="Inter" w:eastAsia="Inter"/>
          <w:color w:val="1E293B"/>
          <w:sz w:val="22"/>
          <w:szCs w:val="22"/>
        </w:rPr>
        <w:t xml:space="preserve">OAuth 2.0 client credentials for integrations (Done)</w:t>
      </w:r>
    </w:p>
    <w:p>
      <w:pPr>
        <w:pStyle w:val="ListParagraph"/>
        <w:numPr>
          <w:ilvl w:val="0"/>
          <w:numId w:val="1"/>
        </w:numPr>
        <w:spacing w:after="60" w:line="312"/>
        <w:ind w:left="720" w:hanging="360"/>
      </w:pPr>
      <w:r>
        <w:rPr>
          <w:rFonts w:ascii="Inter" w:eastAsia="Inter"/>
          <w:color w:val="1E293B"/>
          <w:sz w:val="22"/>
          <w:szCs w:val="22"/>
        </w:rPr>
        <w:t xml:space="preserve">API key management UI (Done)</w:t>
      </w:r>
    </w:p>
    <w:p>
      <w:pPr>
        <w:pStyle w:val="ListParagraph"/>
        <w:numPr>
          <w:ilvl w:val="0"/>
          <w:numId w:val="1"/>
        </w:numPr>
        <w:spacing w:after="60" w:line="312"/>
        <w:ind w:left="720" w:hanging="360"/>
      </w:pPr>
      <w:r>
        <w:rPr>
          <w:rFonts w:ascii="Inter" w:eastAsia="Inter"/>
          <w:color w:val="1E293B"/>
          <w:sz w:val="22"/>
          <w:szCs w:val="22"/>
        </w:rPr>
        <w:t xml:space="preserve">Rate limit headers in API responses (Done)</w:t>
      </w:r>
    </w:p>
    <w:p>
      <w:pPr>
        <w:pStyle w:val="ListParagraph"/>
        <w:numPr>
          <w:ilvl w:val="0"/>
          <w:numId w:val="1"/>
        </w:numPr>
        <w:spacing w:after="60" w:line="312"/>
        <w:ind w:left="720" w:hanging="360"/>
      </w:pPr>
      <w:r>
        <w:rPr>
          <w:rFonts w:ascii="Inter" w:eastAsia="Inter"/>
          <w:color w:val="1E293B"/>
          <w:sz w:val="22"/>
          <w:szCs w:val="22"/>
        </w:rPr>
        <w:t xml:space="preserve">API documentation with auth guides (Done)</w:t>
      </w:r>
    </w:p>
    <w:p>
      <w:pPr>
        <w:pStyle w:val="ListParagraph"/>
        <w:numPr>
          <w:ilvl w:val="0"/>
          <w:numId w:val="1"/>
        </w:numPr>
        <w:spacing w:after="60" w:line="312"/>
        <w:ind w:left="720" w:hanging="360"/>
      </w:pPr>
      <w:r>
        <w:rPr>
          <w:rFonts w:ascii="Inter" w:eastAsia="Inter"/>
          <w:color w:val="1E293B"/>
          <w:sz w:val="22"/>
          <w:szCs w:val="22"/>
        </w:rPr>
        <w:t xml:space="preserve">Quarterly API key rotation review (Scheduled)</w:t>
      </w:r>
    </w:p>
    <w:p>
      <w:pPr>
        <w:spacing w:after="60" w:before="360" w:line="280"/>
      </w:pPr>
      <w:r>
        <w:rPr>
          <w:rFonts w:ascii="Inter" w:eastAsia="Inter"/>
          <w:b/>
          <w:bCs/>
          <w:color w:val="4F46E5"/>
          <w:spacing w:val="60"/>
          <w:sz w:val="22"/>
          <w:szCs w:val="22"/>
        </w:rPr>
        <w:t xml:space="preserve">ADR-077</w:t>
      </w:r>
    </w:p>
    <w:p>
      <w:pPr>
        <w:pStyle w:val="Heading1"/>
        <w:spacing w:after="200" w:before="60" w:line="312"/>
      </w:pPr>
      <w:r>
        <w:rPr>
          <w:rFonts w:ascii="Inter" w:eastAsia="Inter"/>
          <w:b/>
          <w:bCs/>
          <w:color w:val="0F172A"/>
          <w:sz w:val="36"/>
          <w:szCs w:val="36"/>
        </w:rPr>
        <w:t xml:space="preserve">Encryption</w:t>
      </w:r>
    </w:p>
    <w:p>
      <w:pPr>
        <w:spacing w:after="120" w:line="280"/>
      </w:pPr>
      <w:r>
        <w:rPr>
          <w:rFonts w:ascii="Inter" w:eastAsia="Inter"/>
          <w:color w:val="64748B"/>
          <w:sz w:val="20"/>
          <w:szCs w:val="20"/>
        </w:rPr>
        <w:t xml:space="preserve">Volume 4 — Security Architecture  -  </w:t>
      </w:r>
      <w:r>
        <w:rPr>
          <w:rFonts w:ascii="Inter" w:eastAsia="Inter"/>
          <w:color w:val="64748B"/>
          <w:sz w:val="20"/>
          <w:szCs w:val="20"/>
        </w:rPr>
        <w:t xml:space="preserve">Identity &amp; Security</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Adopt AES-256-GCM for data at rest, TLS 1.3 for data in transit, and envelope encryption via AWS KMS for data keys. Data keys are generated per-object (not per-tenant) and are wrapped by tenant-specific KMS customer master keys (CMKs). Key rotation is annual with automatic re-encryption of new writes; legacy data is re-encrypted lazily on read.</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Platform Security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review, or on security incident, or on cryptography standard update</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refreshes for series alignment and cross-references)</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The PreOne platform stores sensitive data at rest (student PII, assessment responses, financial records) and transmits it over networks (between browser and gateway, between microservices, between platform and integration partners). The 2025 Q3 security review found that the legacy platform uses AES-128-CBC for data at rest with a single static key stored in a configuration file, and TLS 1.2 for data in transit with cipher suites that include several deprecated ones. The review identified three gaps. First, AES-128-CBC without authenticated encryption is vulnerable to padding-oracle attacks. Second, the single static key means a key compromise exposes all data, and there is no rotation procedure. Third, the deprecated TLS 1.2 cipher suites are vulnerable to known attacks (BEAST, CRIME, POODLE).
The ARB considered four encryption strategies. The first is the legacy strategy (AES-128-CBC + static key + TLS 1.2), which is rejected for the reasons above. The second is AES-256-GCM + envelope encryption + TLS 1.3, which is selected. The third is field-level encryption with application-managed keys (no KMS), which is rejected as operationally heavy and lacking key rotation. The fourth is homomorphic encryption for PII, which is rejected as not yet performant enough for production use.
This ADR defines encryption. It depends on ADR-078 (Secrets Management) for key storage and ADR-079 (PII Protection) for field-level encryption policy.</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The 2026 international expansion requires encryption aligned with each regulatory regime: GDPR Article 32 mandates appropriate technical measures including encryption; DPDP Section 17 mandates encryption of sensitive personal data; COPPA does not mandate encryption but parental-consent expectations effectively require it. The selected strategy satisfies all three. The business also requires that key compromise not expose all data, which drives the per-object data key design. Finally, the business requires that key rotation be operational (not a flag-day re-encryption), which drives the annual rotation with lazy re-encryption of legacy data.</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The legacy encryption strategy (AES-128-CBC + static key + TLS 1.2) is vulnerable to padding-oracle attacks, exposes all data on a single key compromise, and uses deprecated cipher suites. PreOne needs an encryption strategy that uses AES-256-GCM at rest, TLS 1.3 in transit, and envelope encryption via KMS with per-object data keys and annual rotation.</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Encryption must not add more than 5ms p99 to read/write latency.</w:t>
      </w:r>
    </w:p>
    <w:p>
      <w:pPr>
        <w:pStyle w:val="ListParagraph"/>
        <w:numPr>
          <w:ilvl w:val="0"/>
          <w:numId w:val="1"/>
        </w:numPr>
        <w:spacing w:after="60" w:line="312"/>
        <w:ind w:left="720" w:hanging="360"/>
      </w:pPr>
      <w:r>
        <w:rPr>
          <w:rFonts w:ascii="Inter" w:eastAsia="Inter"/>
          <w:color w:val="1E293B"/>
          <w:sz w:val="22"/>
          <w:szCs w:val="22"/>
        </w:rPr>
        <w:t xml:space="preserve">Key compromise must not expose more than one object's data (per-object data keys).</w:t>
      </w:r>
    </w:p>
    <w:p>
      <w:pPr>
        <w:pStyle w:val="ListParagraph"/>
        <w:numPr>
          <w:ilvl w:val="0"/>
          <w:numId w:val="1"/>
        </w:numPr>
        <w:spacing w:after="60" w:line="312"/>
        <w:ind w:left="720" w:hanging="360"/>
      </w:pPr>
      <w:r>
        <w:rPr>
          <w:rFonts w:ascii="Inter" w:eastAsia="Inter"/>
          <w:color w:val="1E293B"/>
          <w:sz w:val="22"/>
          <w:szCs w:val="22"/>
        </w:rPr>
        <w:t xml:space="preserve">Key rotation must be operational (no flag-day re-encryption); legacy data is re-encrypted lazily on read.</w:t>
      </w:r>
    </w:p>
    <w:p>
      <w:pPr>
        <w:pStyle w:val="ListParagraph"/>
        <w:numPr>
          <w:ilvl w:val="0"/>
          <w:numId w:val="1"/>
        </w:numPr>
        <w:spacing w:after="60" w:line="312"/>
        <w:ind w:left="720" w:hanging="360"/>
      </w:pPr>
      <w:r>
        <w:rPr>
          <w:rFonts w:ascii="Inter" w:eastAsia="Inter"/>
          <w:color w:val="1E293B"/>
          <w:sz w:val="22"/>
          <w:szCs w:val="22"/>
        </w:rPr>
        <w:t xml:space="preserve">The KMS CMK inventory must support per-tenant keys for data-residency isolation.</w:t>
      </w:r>
    </w:p>
    <w:p>
      <w:pPr>
        <w:pStyle w:val="ListParagraph"/>
        <w:numPr>
          <w:ilvl w:val="0"/>
          <w:numId w:val="1"/>
        </w:numPr>
        <w:spacing w:after="60" w:line="312"/>
        <w:ind w:left="720" w:hanging="360"/>
      </w:pPr>
      <w:r>
        <w:rPr>
          <w:rFonts w:ascii="Inter" w:eastAsia="Inter"/>
          <w:color w:val="1E293B"/>
          <w:sz w:val="22"/>
          <w:szCs w:val="22"/>
        </w:rPr>
        <w:t xml:space="preserve">TLS 1.3 must be the minimum version for all external traffic; TLS 1.2 is allowed only for legacy integration partners with an explicit exception.</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AWS KMS (per ADR-078) provides sufficient throughput for the projected encryption rate (5,000 ops/sec).</w:t>
      </w:r>
    </w:p>
    <w:p>
      <w:pPr>
        <w:pStyle w:val="ListParagraph"/>
        <w:numPr>
          <w:ilvl w:val="0"/>
          <w:numId w:val="1"/>
        </w:numPr>
        <w:spacing w:after="60" w:line="312"/>
        <w:ind w:left="720" w:hanging="360"/>
      </w:pPr>
      <w:r>
        <w:rPr>
          <w:rFonts w:ascii="Inter" w:eastAsia="Inter"/>
          <w:color w:val="1E293B"/>
          <w:sz w:val="22"/>
          <w:szCs w:val="22"/>
        </w:rPr>
        <w:t xml:space="preserve">AES-256-GCM is available in the JVM's native crypto library (BouncyCastle or JCA).</w:t>
      </w:r>
    </w:p>
    <w:p>
      <w:pPr>
        <w:pStyle w:val="ListParagraph"/>
        <w:numPr>
          <w:ilvl w:val="0"/>
          <w:numId w:val="1"/>
        </w:numPr>
        <w:spacing w:after="60" w:line="312"/>
        <w:ind w:left="720" w:hanging="360"/>
      </w:pPr>
      <w:r>
        <w:rPr>
          <w:rFonts w:ascii="Inter" w:eastAsia="Inter"/>
          <w:color w:val="1E293B"/>
          <w:sz w:val="22"/>
          <w:szCs w:val="22"/>
        </w:rPr>
        <w:t xml:space="preserve">TLS 1.3 is supported by all modern browsers and mobile clients; the legacy integration partners with TLS 1.2-only support are bounded (under 5% of traffic).</w:t>
      </w:r>
    </w:p>
    <w:p>
      <w:pPr>
        <w:pStyle w:val="ListParagraph"/>
        <w:numPr>
          <w:ilvl w:val="0"/>
          <w:numId w:val="1"/>
        </w:numPr>
        <w:spacing w:after="60" w:line="312"/>
        <w:ind w:left="720" w:hanging="360"/>
      </w:pPr>
      <w:r>
        <w:rPr>
          <w:rFonts w:ascii="Inter" w:eastAsia="Inter"/>
          <w:color w:val="1E293B"/>
          <w:sz w:val="22"/>
          <w:szCs w:val="22"/>
        </w:rPr>
        <w:t xml:space="preserve">Per-object data keys (rather than per-tenant) provide acceptable performance because data keys are cached in memory for 5 minutes after unwrap.</w:t>
      </w:r>
    </w:p>
    <w:p>
      <w:pPr>
        <w:pStyle w:val="ListParagraph"/>
        <w:numPr>
          <w:ilvl w:val="0"/>
          <w:numId w:val="1"/>
        </w:numPr>
        <w:spacing w:after="60" w:line="312"/>
        <w:ind w:left="720" w:hanging="360"/>
      </w:pPr>
      <w:r>
        <w:rPr>
          <w:rFonts w:ascii="Inter" w:eastAsia="Inter"/>
          <w:color w:val="1E293B"/>
          <w:sz w:val="22"/>
          <w:szCs w:val="22"/>
        </w:rPr>
        <w:t xml:space="preserve">The annual CMK rotation is automated by AWS KMS and does not require manual intervention.</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AES-256-GCM + envelope encryption via KMS (per-object DEKs, per-tenant CMKs) + TLS 1.3.</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Authenticated encryption (no padding oracle). Per-object DEK limits key-compromise exposure. Per-tenant CMKs enable cryptographic erasure. Annual rotation is automated.</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KMS call on every write (~50ms p99). AWS KMS dependency. Operational burden of CMK inventory management.</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Adopted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Legacy: AES-128-CBC + static key + TLS 1.2.</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Fast (no KMS call). No KMS dependency. Simple operational model.</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Vulnerable to padding-oracle attacks. Single static key exposes all data on compromise. No rotation procedure. Deprecated TLS 1.2 cipher suites.</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Field-level encryption with application-managed keys (no KMS).</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No AWS KMS dependency. Full control over keys. No KMS rate limits.</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Application lacks expertise and physical security to manage keys. No automatic rotation. 2024 Redis-escalation incident demonstrated mishandling of application-managed secrets.</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Homomorphic encryption for PII.</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Enables computation on ciphertext. Strongest privacy guarantee. No decryption needed for processing.</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100-1000x latency overhead. Not performant enough for interactive education platform. Immature ecosystem.</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We will adopt AES-256-GCM for data at rest, TLS 1.3 for data in transit, and envelope encryption via AWS KMS for data keys. Each encrypted object has a unique data key generated by KMS GenerateDataKey; the plaintext data key encrypts the object with AES-256-GCM, and the wrapped data key (encrypted by the tenant's CMK) is stored alongside the object. The CMK is rotated annually by AWS KMS (automatic key rotation); new writes use the latest CMK version, and legacy data is re-encrypted lazily on read (the wrapped data key is unwrapped, re-wrapped with the latest CMK, and the object is re-encrypted). TLS 1.3 is enforced at the API gateway (per ADR-076) with a curated cipher suite; legacy TLS 1.2 integration partners require an explicit exception.</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The selected strategy is the only one that simultaneously satisfies the security, performance, and operational requirements. The legacy strategy (AES-128-CBC + static key + TLS 1.2) is rejected on three grounds. First, AES-128-CBC without authenticated encryption is vulnerable to padding-oracle attacks, which have been exploited in real-world incidents (POODLE, Lucky 13). Second, the single static key means a key compromise exposes all data, and there is no rotation procedure; the key has not been rotated in 4 years. Third, the deprecated TLS 1.2 cipher suites include several that are vulnerable to known attacks (BEAST, CRIME, POODLE), and the 2026 international expansion requires TLS 1.3 as a contractual obligation in several target markets.
Field-level encryption with application-managed keys (no KMS) was rejected because it places the key-management burden on the application, which lacks the expertise and the physical security to manage keys properly; the 2024 Redis-escalation incident demonstrated that application-managed secrets are routinely mishandled. KMS provides hardware-backed key storage (AWS CloudHSM), audited key access, and automatic rotation, which the application cannot match.
Homomorphic encryption for PII was rejected as not yet performant enough for production use; current homomorphic schemes add 100-1000x latency overhead, which is unacceptable for an interactive education platform. The technology is monitored and tracked as a future evolution if performance improves.
The per-object data key design (rather than per-tenant) is selected because it provides the strongest security (key compromise exposes only one object) at acceptable performance: the data key is generated by KMS (a single API call), used to encrypt the object locally, and the wrapped data key is stored alongside the object. The data key is cached in memory for 5 minutes after unwrap, so subsequent reads of the same object do not require a KMS call. At 5,000 ops/sec, the KMS call rate is well within the AWS KMS per-account rate limit (5,500 ops/sec for symmetric CMKs). Per-tenant CMKs (rather than a single CMK) provide data-residency isolation: a tenant's data can be cryptographically erased by deleting the tenant's CMK, which satisfies GDPR right-to-be-forgotten.</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ENCRYPTION SUBSYSTEM                       |
+-------------------------------------------------------------+
| WRITE PATH                                                  |
|   App -&gt; KMS: GenerateDataKey(tenant CMK)                   |
|   KMS -&gt; App: plaintext DEK + wrapped DEK                   |
|   App -&gt; AES-256-GCM: encrypt(object, plaintext DEK)        |
|   App -&gt; DB: store ciphertext + wrapped DEK                 |
|   App -&gt; KMS: discard plaintext DEK                         |
+-------------------------------------------------------------+
| READ PATH                                                   |
|   App -&gt; DB: fetch ciphertext + wrapped DEK                 |
|   App -&gt; KMS: Decrypt(wrapped DEK, tenant CMK)              |
|   KMS -&gt; App: plaintext DEK                                 |
|   App -&gt; AES-256-GCM: decrypt(ciphertext, plaintext DEK)    |
|   App -&gt; DEK Cache: cache for 5 min                         |
+-------------------------------------------------------------+
| TRANSIT                                                     |
|   Browser -&gt; Gateway: TLS 1.3 (curated ciphers)             |
|   Gateway -&gt; Backend: TLS 1.3 (internal CA)                 |
|   Backend -&gt; Backend: mTLS (per ADR-076)                    |
+-------------------------------------------------------------+</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App -&gt; DB: INSERT object (PII field)
App -&gt; KMS: GenerateDataKey(tenant CMK)
KMS -&gt; App: {plaintextDEK, wrappedDEK}
App -&gt; AES-GCM: encrypt(PII, plaintextDEK) -&gt; ciphertext
App -&gt; DB: store {ciphertext, wrappedDEK}
App -&gt; Memory: discard plaintextDEK
---
App -&gt; DB: SELECT object (PII field)
DB -&gt; App: {ciphertext, wrappedDEK}
App -&gt; DEK Cache: hit? (no)
App -&gt; KMS: Decrypt(wrappedDEK, tenant CMK)
KMS -&gt; App: plaintextDEK
App -&gt; DEK Cache: cache(plaintextDEK, 5min)
App -&gt; AES-GCM: decrypt(ciphertext, plaintextDEK) -&gt; PII</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ADR-077 — Encryption  -  Component View                |
+-------------------------------------------------------------+
|                                                             |
|  +----------------+        +----------------------+         |
|  | App Service    | read/  | Encryption Service   |         |
|  |                | write  | (AES-256-GCM)        |         |
|  +----------------+        +----------+-----------+         |
|                                       |                     |
|                                       | encrypt/decrypt     |
|                                       v                     |
|  +----------------+        +----------------------+         |
|  | KMS            |  DEK   | AWS KMS (envelope    |         |
|  |                |-------&gt;|  encryption)         |         |
|  +----------------+        +----------------------+         |
|                                                             |
|  Layers:                                                    |
|    - At rest: RDS encrypted (KMS-managed)                  |
|    - In transit: TLS 1.3 (CloudFront + ALB)                |
|    - Field-level: AES-256-GCM for PII (ADR-079)            |
|    - Backups: S3 SSE-KMS                                    |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Encrypt Flow (write PII):
  App -&gt; Encryption Service: plaintext PII
  Encryption Service -&gt; KMS: request DEK (data encryption key)
  KMS -&gt; Encryption Service: encrypted DEK (with master key)
  Encryption Service -&gt; Postgres: store ciphertext + encrypted DEK
Decrypt Flow (read PII):
  App -&gt; Repository: SELECT PII
  Repository -&gt; Encryption Service: ciphertext + encrypted DEK
  Encryption Service -&gt; KMS: decrypt DEK
  KMS -&gt; Encryption Service: plaintext DEK
  Encryption Service -&gt; App: plaintext PII
TLS Flow (in transit):
  Client -&gt; CloudFront: HTTPS (TLS 1.3)
  CloudFront -&gt; ALB: HTTPS (TLS 1.3)
  ALB -&gt; ECS: HTTPS (TLS 1.2, mTLS optional)</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No new tables are introduced. The wrapped data key is stored alongside the encrypted object in a column suffixed _enc (e.g., student_name_enc) and a column suffixed _dek (e.g., student_name_dek). The existing plaintext columns are migrated to encrypted form per the migration plan below. The encryption metadata (CMK ID, algorithm, key version) is stored in a column suffixed _meta (JSONB). The database itself is encrypted at rest by AWS RDS encryption (a separate layer, transparent to the application), which protects against physical media theft. The application-level encryption provides defence in depth: even a database dump does not reveal plaintext PII without the CMK. Expected storage overhead: ~2% (the wrapped DEK and metadata add ~200 bytes per encrypted field).</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The encryption is transparent to the API layer: backend services decrypt PII before returning it in API responses, and the API contract is unchanged. The only API-visible change is that bulk-export endpoints (which return large PII datasets) are slower because of the per-object KMS calls; this is mitigated by the DEK cache (5-minute TTL) and by batching the KMS calls (DecryptBatch supports up to 100 wrapped DEKs per call). The API gateway enforces TLS 1.3 (per ADR-076) for all external traffic; the gateway-to-backend and backend-to-backend calls use TLS 1.3 with an internal CA. Legacy TLS 1.2 integration partners require an explicit exception, documented in the integration catalog.</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Encryption is invisible to end users by design. The UI uses HTTPS (TLS 1.3) for all traffic, indicated by the browser's padlock icon. PII fields (e.g., student health info) are masked in the UI ('***') for users without the PII-read role; users with the role see the plaintext. The 'Account' page includes a 'Data Encryption' info panel (visible to all users) explaining that data is encrypted at rest and in transit, building user trust. No user action is required for encryption — it is automatic and transparent.</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The selected strategy raises the encryption security floor on three dimensions. First, AES-256-GCM provides authenticated encryption, eliminating the padding-oracle attacks that AES-128-CBC is vulnerable to; the GCM mode also provides integrity verification, detecting tampering with ciphertext. Second, the per-object data key design means a single key compromise exposes only one object's data, versus the legacy design where a single key compromise exposes all data. Third, the annual CMK rotation (automated by AWS KMS) ensures that even a long-undetected CMK compromise has a bounded exposure window (1 year). The per-tenant CMK design provides cryptographic erasure: deleting a tenant's CMK renders all of that tenant's data permanently unreadable, satisfying GDPR right-to-be-forgotten without per-object deletion. The TLS 1.3 enforcement eliminates the deprecated cipher suites (BEAST, CRIME, POODLE vulnerabilities) and provides forward secrecy by default. The KMS access is audit-logged by AWS CloudTrail, providing an additional audit trail (per ADR-086).</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The encryption adds latency on three components. (1) KMS GenerateDataKey on write: ~50ms p99 (network round-trip to KMS); this is the dominant cost on the write path. (2) KMS Decrypt on read (cache miss): ~30ms p99. (3) AES-256-GCM encryption/decryption: ~1ms per KB of data; this is negligible for typical PII fields (sub-KB). The DEK cache (5-minute TTL, 10K entries) gives a 90% cache-hit rate at steady state, reducing the average KMS call rate to 0.1 per read. Total encryption overhead: ~5ms p99 on write (KMS call), ~3ms p99 on read (cache hit), ~30ms p99 on read (cache miss). The TLS 1.3 handshake is faster than TLS 1.2 (1 round-trip vs 2) and adds no measurable latency on the hot path (sessions are resumed). The KMS rate limit (5,500 ops/sec per account) is monitored; a sustained breach triggers a request-quota increase via AWS support.</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The encryption subsystem scales with the object write/read rate, not the principal count. At 5,000 writes/sec (projected peak), the KMS call rate is 5,000 ops/sec, within the per-account limit (5,500) but approaching it; a request-quota increase to 10,000 ops/sec is provisioned via AWS support. At 10,000 writes/sec (2027 projection), the KMS call rate exceeds the per-account limit; this is mitigated by the AWS KMS multi-region key support, which distributes the load across regions. The DEK cache (Redis, 10K entries × 100 bytes = 1MB) is well within Redis capacity. The per-tenant CMK inventory grows linearly with the tenant count (~1,000 CMKs at steady state); AWS KMS supports up to 100,000 CMKs per account, so no scaling issue is anticipated. The annual CMK rotation is automated and does not affect request handling.</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The encryption subsystem requires five operational artefacts. (1) A runbook for KMS outage: the on-call engineer must verify that the DEK cache absorbs the outage for 5 minutes; sustained outage triggers incident response per ADR-089. (2) A runbook for CMK rotation: the annual rotation is automated by AWS KMS, but the engineer must verify that new writes use the latest CMK version and that the lazy re-encryption of legacy data is progressing (monitored via the CMK-version distribution). (3) A runbook for CMK deletion (tenant offboarding): the runbook covers the cryptographic-erasure procedure, the verification that all data is unreadable, and the audit-log retention. (4) A runbook for TLS 1.2 exception management: each exception is documented with a business justification and an expiry date; the runbook covers the quarterly review. (5) A runbook for KMS rate-limit alerts: sustained approach to the limit triggers a request-quota increase.</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KMS outage blocks writes and cache-miss reads.</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DEK cache absorbs 5-min outage; sustained outage triggers incident response; circuit breaker on KMS client.</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CMK deletion (tenant offboarding) renders data permanently unreadable, including backups.</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Deletion requires two-person approval and a 7-day waiting period (AWS KMS deletion window); backup retention policy reviewed before deletion.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TLS 1.2 exceptions accumulate, weakening the transit security posture.</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Quarterly review with mandatory expiry; alert on expired exceptions still in use; quarterly red-team verification.</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DEK cache poisoning (attacker injects wrong plaintext DEK).</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Cache key includes wrapped-DEK hash; cache is in-memory only (not persisted); cache entries signed.</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Per-object data keys limit key-compromise exposure to one object.</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KMS call on every write (~50ms p99).</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Annual CMK rotation bounds exposure window.</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Lazy re-encryption of legacy data takes months to complete.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Per-tenant CMKs enable cryptographic erasure.</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CMK inventory management overhead.</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TLS 1.3 eliminates deprecated cipher suites.</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Legacy TLS 1.2 integration partners require exceptions.</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The legacy strategy (AES-128-CBC + static key + TLS 1.2) was rejected on three grounds: AES-128-CBC without authenticated encryption is vulnerable to padding-oracle attacks (POODLE, Lucky 13); the single static key means a key compromise exposes all data, and the key has not been rotated in 4 years; and the deprecated TLS 1.2 cipher suites are vulnerable to known attacks (BEAST, CRIME, POODLE) and are contractually unacceptable in several 2026 target markets. Field-level encryption with application-managed keys (no KMS) was rejected because it places the key-management burden on the application, which lacks the expertise and physical security to manage keys properly; the 2024 Redis-escalation incident demonstrated that application-managed secrets are routinely mishandled. KMS provides hardware-backed key storage, audited key access, and automatic rotation, which the application cannot match. Homomorphic encryption for PII was rejected as not yet performant enough for production use; current homomorphic schemes add 100-1000x latency overhead, which is unacceptable for an interactive education platform. Per-tenant data keys (rather than per-object) were considered as a performance optimisation but rejected because they would expose an entire tenant's data on a single data-key compromise, violating the constraint. The selected strategy is the only one that satisfies all requirements; the full reasoning is captured in the Options Considered table.</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Migration is phased over one quarter alongside the authentication-stack migration (per ADR-062). Phase 1 (weeks 1-3): deploy the encryption subsystem (KMS client, AES-256-GCM library, DEK cache) and provision the per-tenant CMKs in AWS KMS. Phase 2 (weeks 4-6): enable encryption for new writes (new PII fields are encrypted); legacy plaintext data remains in place. Phase 3 (weeks 7-9): run the lazy re-encryption job, which reads plaintext fields, encrypts them, and writes back the ciphertext; the job is throttled to 100 fields per second to avoid saturating KMS. Phase 4 (weeks 10-12): enforce TLS 1.3 at the API gateway; legacy TLS 1.2 integration partners are migrated or granted exceptions. Phase 5 (week 13): the legacy plaintext columns are dropped after verification that all data is encrypted (verified by the _meta column's presence on every row). Rollback is possible at any point by reverting to the legacy strategy; the encrypted data is decrypted lazily on read and re-written in plaintext. The legacy AES-128-CBC static key is destroyed after Phase 5.</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The encryption subsystem is tested at four levels. Unit tests cover the AES-256-GCM encryption/decryption (round-trip correctness, tampering detection), the KMS client (GenerateDataKey, Decrypt, error handling), and the DEK cache (hit/miss, eviction, poisoning resistance). Coverage target is 95%. Integration tests cover the write-then-read flow with KMS, the cache-hit and cache-miss paths, and the CMK rotation. End-to-end tests cover the full write -&gt; read -&gt; decrypt path with real PII data. Security tests cover the padding-oracle resistance (verified by automated tools), the key-compromise isolation (one compromised DEK does not affect other objects), and the TLS 1.3 enforcement (TLS 1.2 handshakes are rejected). Performance tests cover the encryption overhead at projected peak (5,000 ops/sec). The CMK-deletion procedure is tested in a staging environment with synthetic data. The acceptance criterion is zero plaintext-PII exposure incidents in the post-cutover penetration test.</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Six golden signals are monitored. (1) KMS call latency p99: target under 50ms (GenerateDataKey) / 30ms (Decrypt), alert above 100ms. (2) KMS call rate: target under 4,000 ops/sec (80% of limit), alert above 5,000 (possible rate-limit breach). (3) DEK cache hit ratio: target above 90%, alert below 80% (sizing problem). (4) CMK-version distribution: target 90%+ on the latest version after 90 days, alert below 70% (lazy re-encryption lagging). (5) TLS 1.2 exception count: target 0, alert above 5 (policy drift). (6) Encryption failure rate: target 0, alert on any failure (possible KMS outage or key issue). A dedicated encryption dashboard surfaces these alongside the per-tenant CMK inventory, the TLS cipher-suite distribution, and the lazy re-encryption progress. Anomaly detection (per ADR-088) flags unusual patterns such as a KMS call-rate burst (possible attack or batch job) or a TLS 1.2 handshake from an unexpected source (possible misconfigured integration).</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The encryption subsystem is expected to evolve in three directions. First, the system may adopt AWS KMS multi-region keys for cross-region failover, supporting the multi-region deployment planned for the 2027 horizon; this is a configuration change, not an architectural one. Second, the system may add field-level encryption policy (per ADR-079) that classifies fields by sensitivity and applies different encryption strategies (e.g., tokenization for low-sensitivity, AES-256-GCM for high-sensitivity); this is planned for v2. Third, the system may integrate with confidential computing (AWS Nitro Enclaves) for processing PII in a hardware-isolated enclave, providing defence in depth against host compromise; this is monitored but not planned for v1 because of the operational overhead. The trigger for revisiting this ADR is a regulatory change (e.g., EU NIS2 requiring hardware-backed encryption) or a material change in the KMS performance characteristics.</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ADR-061 - Identity Model (PII fields encrypted at rest)</w:t>
      </w:r>
    </w:p>
    <w:p>
      <w:pPr>
        <w:pStyle w:val="ListParagraph"/>
        <w:numPr>
          <w:ilvl w:val="0"/>
          <w:numId w:val="1"/>
        </w:numPr>
        <w:spacing w:after="60" w:line="312"/>
        <w:ind w:left="720" w:hanging="360"/>
      </w:pPr>
      <w:r>
        <w:rPr>
          <w:rFonts w:ascii="Inter" w:eastAsia="Inter"/>
          <w:color w:val="1E293B"/>
          <w:sz w:val="22"/>
          <w:szCs w:val="22"/>
        </w:rPr>
        <w:t xml:space="preserve">ADR-076 - API Security (TLS 1.3 enforcement at gateway)</w:t>
      </w:r>
    </w:p>
    <w:p>
      <w:pPr>
        <w:pStyle w:val="ListParagraph"/>
        <w:numPr>
          <w:ilvl w:val="0"/>
          <w:numId w:val="1"/>
        </w:numPr>
        <w:spacing w:after="60" w:line="312"/>
        <w:ind w:left="720" w:hanging="360"/>
      </w:pPr>
      <w:r>
        <w:rPr>
          <w:rFonts w:ascii="Inter" w:eastAsia="Inter"/>
          <w:color w:val="1E293B"/>
          <w:sz w:val="22"/>
          <w:szCs w:val="22"/>
        </w:rPr>
        <w:t xml:space="preserve">ADR-078 - Secrets Management (KMS for data keys; Vault for application secrets)</w:t>
      </w:r>
    </w:p>
    <w:p>
      <w:pPr>
        <w:pStyle w:val="ListParagraph"/>
        <w:numPr>
          <w:ilvl w:val="0"/>
          <w:numId w:val="1"/>
        </w:numPr>
        <w:spacing w:after="60" w:line="312"/>
        <w:ind w:left="720" w:hanging="360"/>
      </w:pPr>
      <w:r>
        <w:rPr>
          <w:rFonts w:ascii="Inter" w:eastAsia="Inter"/>
          <w:color w:val="1E293B"/>
          <w:sz w:val="22"/>
          <w:szCs w:val="22"/>
        </w:rPr>
        <w:t xml:space="preserve">ADR-079 - PII Protection (field-level encryption policy)</w:t>
      </w:r>
    </w:p>
    <w:p>
      <w:pPr>
        <w:pStyle w:val="ListParagraph"/>
        <w:numPr>
          <w:ilvl w:val="0"/>
          <w:numId w:val="1"/>
        </w:numPr>
        <w:spacing w:after="60" w:line="312"/>
        <w:ind w:left="720" w:hanging="360"/>
      </w:pPr>
      <w:r>
        <w:rPr>
          <w:rFonts w:ascii="Inter" w:eastAsia="Inter"/>
          <w:color w:val="1E293B"/>
          <w:sz w:val="22"/>
          <w:szCs w:val="22"/>
        </w:rPr>
        <w:t xml:space="preserve">ADR-086 - Audit Trail (KMS access audit-logged via CloudTrail)</w:t>
      </w:r>
    </w:p>
    <w:p>
      <w:pPr>
        <w:pStyle w:val="ListParagraph"/>
        <w:numPr>
          <w:ilvl w:val="0"/>
          <w:numId w:val="1"/>
        </w:numPr>
        <w:spacing w:after="60" w:line="312"/>
        <w:ind w:left="720" w:hanging="360"/>
      </w:pPr>
      <w:r>
        <w:rPr>
          <w:rFonts w:ascii="Inter" w:eastAsia="Inter"/>
          <w:color w:val="1E293B"/>
          <w:sz w:val="22"/>
          <w:szCs w:val="22"/>
        </w:rPr>
        <w:t xml:space="preserve">ADR-053 - Data Retention (CMK deletion for cryptographic erasure)</w:t>
      </w:r>
    </w:p>
    <w:p>
      <w:pPr>
        <w:pStyle w:val="ListParagraph"/>
        <w:numPr>
          <w:ilvl w:val="0"/>
          <w:numId w:val="1"/>
        </w:numPr>
        <w:spacing w:after="60" w:line="312"/>
        <w:ind w:left="720" w:hanging="360"/>
      </w:pPr>
      <w:r>
        <w:rPr>
          <w:rFonts w:ascii="Inter" w:eastAsia="Inter"/>
          <w:color w:val="1E293B"/>
          <w:sz w:val="22"/>
          <w:szCs w:val="22"/>
        </w:rPr>
        <w:t xml:space="preserve">ADR-046 - Caching (DEK cache in Redis)</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NIST SP 800-38D - Galois/Counter Mode (GCM) for Block Ciphers. NIST. 2007.</w:t>
      </w:r>
    </w:p>
    <w:p>
      <w:pPr>
        <w:pStyle w:val="ListParagraph"/>
        <w:numPr>
          <w:ilvl w:val="0"/>
          <w:numId w:val="1"/>
        </w:numPr>
        <w:spacing w:after="60" w:line="312"/>
        <w:ind w:left="720" w:hanging="360"/>
      </w:pPr>
      <w:r>
        <w:rPr>
          <w:rFonts w:ascii="Inter" w:eastAsia="Inter"/>
          <w:color w:val="1E293B"/>
          <w:sz w:val="22"/>
          <w:szCs w:val="22"/>
        </w:rPr>
        <w:t xml:space="preserve">RFC 8446 - The Transport Layer Security (TLS) Protocol Version 1.3. IETF. 2018.</w:t>
      </w:r>
    </w:p>
    <w:p>
      <w:pPr>
        <w:pStyle w:val="ListParagraph"/>
        <w:numPr>
          <w:ilvl w:val="0"/>
          <w:numId w:val="1"/>
        </w:numPr>
        <w:spacing w:after="60" w:line="312"/>
        <w:ind w:left="720" w:hanging="360"/>
      </w:pPr>
      <w:r>
        <w:rPr>
          <w:rFonts w:ascii="Inter" w:eastAsia="Inter"/>
          <w:color w:val="1E293B"/>
          <w:sz w:val="22"/>
          <w:szCs w:val="22"/>
        </w:rPr>
        <w:t xml:space="preserve">AWS KMS - Developer Guide. Amazon Web Services. 2024.</w:t>
      </w:r>
    </w:p>
    <w:p>
      <w:pPr>
        <w:pStyle w:val="ListParagraph"/>
        <w:numPr>
          <w:ilvl w:val="0"/>
          <w:numId w:val="1"/>
        </w:numPr>
        <w:spacing w:after="60" w:line="312"/>
        <w:ind w:left="720" w:hanging="360"/>
      </w:pPr>
      <w:r>
        <w:rPr>
          <w:rFonts w:ascii="Inter" w:eastAsia="Inter"/>
          <w:color w:val="1E293B"/>
          <w:sz w:val="22"/>
          <w:szCs w:val="22"/>
        </w:rPr>
        <w:t xml:space="preserve">OWASP - Cryptographic Storage Cheat Sheet. OWASP. 2024.</w:t>
      </w:r>
    </w:p>
    <w:p>
      <w:pPr>
        <w:pStyle w:val="ListParagraph"/>
        <w:numPr>
          <w:ilvl w:val="0"/>
          <w:numId w:val="1"/>
        </w:numPr>
        <w:spacing w:after="60" w:line="312"/>
        <w:ind w:left="720" w:hanging="360"/>
      </w:pPr>
      <w:r>
        <w:rPr>
          <w:rFonts w:ascii="Inter" w:eastAsia="Inter"/>
          <w:color w:val="1E293B"/>
          <w:sz w:val="22"/>
          <w:szCs w:val="22"/>
        </w:rPr>
        <w:t xml:space="preserve">PreOne Engineering Handbook, Section 4.17 - Encryption. Internal. 2025.</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2025-08-01</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Platform Security Architect</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options enumerated; consultation with security and engineering teams</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2025-09-17</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Platform Security Architect</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Architecture Review Board after cross-team review</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2025-10-15</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published to architecture repository</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2026-07-15</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cross-references to Vol 1-3 ADRs added; 34-section template applied</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Platform Security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Authentication Platform Lead</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Architecture Review Board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ADR published to architecture repository (Done)</w:t>
      </w:r>
    </w:p>
    <w:p>
      <w:pPr>
        <w:pStyle w:val="ListParagraph"/>
        <w:numPr>
          <w:ilvl w:val="0"/>
          <w:numId w:val="1"/>
        </w:numPr>
        <w:spacing w:after="60" w:line="312"/>
        <w:ind w:left="720" w:hanging="360"/>
      </w:pPr>
      <w:r>
        <w:rPr>
          <w:rFonts w:ascii="Inter" w:eastAsia="Inter"/>
          <w:color w:val="1E293B"/>
          <w:sz w:val="22"/>
          <w:szCs w:val="22"/>
        </w:rPr>
        <w:t xml:space="preserve">Cross-references to upstream/downstream artefacts added (Done)</w:t>
      </w:r>
    </w:p>
    <w:p>
      <w:pPr>
        <w:pStyle w:val="ListParagraph"/>
        <w:numPr>
          <w:ilvl w:val="0"/>
          <w:numId w:val="1"/>
        </w:numPr>
        <w:spacing w:after="60" w:line="312"/>
        <w:ind w:left="720" w:hanging="360"/>
      </w:pPr>
      <w:r>
        <w:rPr>
          <w:rFonts w:ascii="Inter" w:eastAsia="Inter"/>
          <w:color w:val="1E293B"/>
          <w:sz w:val="22"/>
          <w:szCs w:val="22"/>
        </w:rPr>
        <w:t xml:space="preserve">Security team briefed in monthly architecture sync (Done)</w:t>
      </w:r>
    </w:p>
    <w:p>
      <w:pPr>
        <w:pStyle w:val="ListParagraph"/>
        <w:numPr>
          <w:ilvl w:val="0"/>
          <w:numId w:val="1"/>
        </w:numPr>
        <w:spacing w:after="60" w:line="312"/>
        <w:ind w:left="720" w:hanging="360"/>
      </w:pPr>
      <w:r>
        <w:rPr>
          <w:rFonts w:ascii="Inter" w:eastAsia="Inter"/>
          <w:color w:val="1E293B"/>
          <w:sz w:val="22"/>
          <w:szCs w:val="22"/>
        </w:rPr>
        <w:t xml:space="preserve">Code review checklist updated to enforce this ADR (Done)</w:t>
      </w:r>
    </w:p>
    <w:p>
      <w:pPr>
        <w:pStyle w:val="ListParagraph"/>
        <w:numPr>
          <w:ilvl w:val="0"/>
          <w:numId w:val="1"/>
        </w:numPr>
        <w:spacing w:after="60" w:line="312"/>
        <w:ind w:left="720" w:hanging="360"/>
      </w:pPr>
      <w:r>
        <w:rPr>
          <w:rFonts w:ascii="Inter" w:eastAsia="Inter"/>
          <w:color w:val="1E293B"/>
          <w:sz w:val="22"/>
          <w:szCs w:val="22"/>
        </w:rPr>
        <w:t xml:space="preserve">On-call runbook updated with operational procedures (Done)</w:t>
      </w:r>
    </w:p>
    <w:p>
      <w:pPr>
        <w:pStyle w:val="ListParagraph"/>
        <w:numPr>
          <w:ilvl w:val="0"/>
          <w:numId w:val="1"/>
        </w:numPr>
        <w:spacing w:after="60" w:line="312"/>
        <w:ind w:left="720" w:hanging="360"/>
      </w:pPr>
      <w:r>
        <w:rPr>
          <w:rFonts w:ascii="Inter" w:eastAsia="Inter"/>
          <w:color w:val="1E293B"/>
          <w:sz w:val="22"/>
          <w:szCs w:val="22"/>
        </w:rPr>
        <w:t xml:space="preserve">RDS encryption-at-rest (KMS-managed) (Done)</w:t>
      </w:r>
    </w:p>
    <w:p>
      <w:pPr>
        <w:pStyle w:val="ListParagraph"/>
        <w:numPr>
          <w:ilvl w:val="0"/>
          <w:numId w:val="1"/>
        </w:numPr>
        <w:spacing w:after="60" w:line="312"/>
        <w:ind w:left="720" w:hanging="360"/>
      </w:pPr>
      <w:r>
        <w:rPr>
          <w:rFonts w:ascii="Inter" w:eastAsia="Inter"/>
          <w:color w:val="1E293B"/>
          <w:sz w:val="22"/>
          <w:szCs w:val="22"/>
        </w:rPr>
        <w:t xml:space="preserve">TLS 1.3 on CloudFront + ALB (Done)</w:t>
      </w:r>
    </w:p>
    <w:p>
      <w:pPr>
        <w:pStyle w:val="ListParagraph"/>
        <w:numPr>
          <w:ilvl w:val="0"/>
          <w:numId w:val="1"/>
        </w:numPr>
        <w:spacing w:after="60" w:line="312"/>
        <w:ind w:left="720" w:hanging="360"/>
      </w:pPr>
      <w:r>
        <w:rPr>
          <w:rFonts w:ascii="Inter" w:eastAsia="Inter"/>
          <w:color w:val="1E293B"/>
          <w:sz w:val="22"/>
          <w:szCs w:val="22"/>
        </w:rPr>
        <w:t xml:space="preserve">Field-level AES-256-GCM for PII (Done — ADR-079)</w:t>
      </w:r>
    </w:p>
    <w:p>
      <w:pPr>
        <w:pStyle w:val="ListParagraph"/>
        <w:numPr>
          <w:ilvl w:val="0"/>
          <w:numId w:val="1"/>
        </w:numPr>
        <w:spacing w:after="60" w:line="312"/>
        <w:ind w:left="720" w:hanging="360"/>
      </w:pPr>
      <w:r>
        <w:rPr>
          <w:rFonts w:ascii="Inter" w:eastAsia="Inter"/>
          <w:color w:val="1E293B"/>
          <w:sz w:val="22"/>
          <w:szCs w:val="22"/>
        </w:rPr>
        <w:t xml:space="preserve">S3 SSE-KMS for backups (Done)</w:t>
      </w:r>
    </w:p>
    <w:p>
      <w:pPr>
        <w:pStyle w:val="ListParagraph"/>
        <w:numPr>
          <w:ilvl w:val="0"/>
          <w:numId w:val="1"/>
        </w:numPr>
        <w:spacing w:after="60" w:line="312"/>
        <w:ind w:left="720" w:hanging="360"/>
      </w:pPr>
      <w:r>
        <w:rPr>
          <w:rFonts w:ascii="Inter" w:eastAsia="Inter"/>
          <w:color w:val="1E293B"/>
          <w:sz w:val="22"/>
          <w:szCs w:val="22"/>
        </w:rPr>
        <w:t xml:space="preserve">KMS key rotation policy (annual) (Done)</w:t>
      </w:r>
    </w:p>
    <w:p>
      <w:pPr>
        <w:pStyle w:val="ListParagraph"/>
        <w:numPr>
          <w:ilvl w:val="0"/>
          <w:numId w:val="1"/>
        </w:numPr>
        <w:spacing w:after="60" w:line="312"/>
        <w:ind w:left="720" w:hanging="360"/>
      </w:pPr>
      <w:r>
        <w:rPr>
          <w:rFonts w:ascii="Inter" w:eastAsia="Inter"/>
          <w:color w:val="1E293B"/>
          <w:sz w:val="22"/>
          <w:szCs w:val="22"/>
        </w:rPr>
        <w:t xml:space="preserve">Annual encryption audit (Scheduled)</w:t>
      </w:r>
    </w:p>
    <w:p>
      <w:pPr>
        <w:spacing w:after="60" w:before="360" w:line="280"/>
      </w:pPr>
      <w:r>
        <w:rPr>
          <w:rFonts w:ascii="Inter" w:eastAsia="Inter"/>
          <w:b/>
          <w:bCs/>
          <w:color w:val="4F46E5"/>
          <w:spacing w:val="60"/>
          <w:sz w:val="22"/>
          <w:szCs w:val="22"/>
        </w:rPr>
        <w:t xml:space="preserve">ADR-078</w:t>
      </w:r>
    </w:p>
    <w:p>
      <w:pPr>
        <w:pStyle w:val="Heading1"/>
        <w:spacing w:after="200" w:before="60" w:line="312"/>
      </w:pPr>
      <w:r>
        <w:rPr>
          <w:rFonts w:ascii="Inter" w:eastAsia="Inter"/>
          <w:b/>
          <w:bCs/>
          <w:color w:val="0F172A"/>
          <w:sz w:val="36"/>
          <w:szCs w:val="36"/>
        </w:rPr>
        <w:t xml:space="preserve">Secrets Management</w:t>
      </w:r>
    </w:p>
    <w:p>
      <w:pPr>
        <w:spacing w:after="120" w:line="280"/>
      </w:pPr>
      <w:r>
        <w:rPr>
          <w:rFonts w:ascii="Inter" w:eastAsia="Inter"/>
          <w:color w:val="64748B"/>
          <w:sz w:val="20"/>
          <w:szCs w:val="20"/>
        </w:rPr>
        <w:t xml:space="preserve">Volume 4 — Security Architecture  -  </w:t>
      </w:r>
      <w:r>
        <w:rPr>
          <w:rFonts w:ascii="Inter" w:eastAsia="Inter"/>
          <w:color w:val="64748B"/>
          <w:sz w:val="20"/>
          <w:szCs w:val="20"/>
        </w:rPr>
        <w:t xml:space="preserve">Identity &amp; Security</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Adopt HashiCorp Vault for application secrets (database credentials, third-party API keys, signing keys) and AWS KMS for data-encryption keys. Secrets are never written to disk or checked into source control. Vault policies enforce per-service access; KMS key policies enforce per-tenant isolation. Rotation is automated for short-lived secrets and scheduled for long-lived secrets.</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Platform Security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review, or on security incident, or on cryptography standard update</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refreshes for series alignment and cross-references)</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The PreOne platform handles two categories of secrets. The first is application secrets: database credentials, third-party API keys (Stripe, Twilio, Google Workspace), JWT signing keys, and mTLS certificate private keys. The second is data-encryption keys: the KMS customer master keys (CMKs) used for envelope encryption (per ADR-077). The 2025 Q3 security review found that the legacy platform stores application secrets in environment variables checked into a Git repository (in encrypted form, but with the decryption key stored in CI), and data-encryption keys as a single static AES key in a configuration file. The review identified three gaps. First, the Git-based secret store is vulnerable to CI compromise (the 2024 Redis-escalation incident exfiltrated the decryption key from CI). Second, the single static AES key has no rotation procedure. Third, there is no per-service access control: any service can read any secret.
The ARB considered four secrets-management strategies. The first is the legacy strategy (Git + env vars + static key), which is rejected for the reasons above. The second is HashiCorp Vault for application secrets + AWS KMS for data keys, which is selected. The third is AWS Secrets Manager for everything, which is rejected as lacking the dynamic-secret and policy-engine capabilities of Vault. The fourth is a custom secrets service, which is rejected as reinventing Vault poorly.
This ADR defines secrets management. It depends on ADR-077 (Encryption) for the data-key usage and ADR-076 (API Security) for mTLS certificate issuance.</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The 2026 international expansion requires secrets management aligned with each regulatory regime: GDPR Article 32 recommends secrets encryption and access logging; DPDP requires audit trails of secret access; COPPA does not mandate but parental-consent expectations effectively require it. The Vault + KMS strategy satisfies all three. The business also requires that a CI compromise not expose production secrets, which drives the Vault-based design (CI does not have Vault credentials; services fetch secrets at startup from Vault). Finally, the business requires that secret rotation be operational (not a flag-day redeploy), which drives the dynamic-secret design for short-lived credentials (database credentials are generated on-demand with 1-hour TTL).</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The legacy secrets-management strategy (Git-encrypted env vars + static AES key) is vulnerable to CI compromise (demonstrated in the 2024 Redis incident), has no rotation procedure, and lacks per-service access control. PreOne needs a secrets-management strategy that uses Vault for application secrets, KMS for data keys, enforces per-service access, and automates rotation.</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Secrets must never be written to disk in plaintext or checked into source control.</w:t>
      </w:r>
    </w:p>
    <w:p>
      <w:pPr>
        <w:pStyle w:val="ListParagraph"/>
        <w:numPr>
          <w:ilvl w:val="0"/>
          <w:numId w:val="1"/>
        </w:numPr>
        <w:spacing w:after="60" w:line="312"/>
        <w:ind w:left="720" w:hanging="360"/>
      </w:pPr>
      <w:r>
        <w:rPr>
          <w:rFonts w:ascii="Inter" w:eastAsia="Inter"/>
          <w:color w:val="1E293B"/>
          <w:sz w:val="22"/>
          <w:szCs w:val="22"/>
        </w:rPr>
        <w:t xml:space="preserve">Per-service access control must limit each service to the secrets it needs (least privilege).</w:t>
      </w:r>
    </w:p>
    <w:p>
      <w:pPr>
        <w:pStyle w:val="ListParagraph"/>
        <w:numPr>
          <w:ilvl w:val="0"/>
          <w:numId w:val="1"/>
        </w:numPr>
        <w:spacing w:after="60" w:line="312"/>
        <w:ind w:left="720" w:hanging="360"/>
      </w:pPr>
      <w:r>
        <w:rPr>
          <w:rFonts w:ascii="Inter" w:eastAsia="Inter"/>
          <w:color w:val="1E293B"/>
          <w:sz w:val="22"/>
          <w:szCs w:val="22"/>
        </w:rPr>
        <w:t xml:space="preserve">Short-lived secrets (database credentials, API tokens) must be rotated automatically (TTL under 1 hour).</w:t>
      </w:r>
    </w:p>
    <w:p>
      <w:pPr>
        <w:pStyle w:val="ListParagraph"/>
        <w:numPr>
          <w:ilvl w:val="0"/>
          <w:numId w:val="1"/>
        </w:numPr>
        <w:spacing w:after="60" w:line="312"/>
        <w:ind w:left="720" w:hanging="360"/>
      </w:pPr>
      <w:r>
        <w:rPr>
          <w:rFonts w:ascii="Inter" w:eastAsia="Inter"/>
          <w:color w:val="1E293B"/>
          <w:sz w:val="22"/>
          <w:szCs w:val="22"/>
        </w:rPr>
        <w:t xml:space="preserve">Long-lived secrets (third-party API keys) must be rotated on a schedule (quarterly) with documented runbook.</w:t>
      </w:r>
    </w:p>
    <w:p>
      <w:pPr>
        <w:pStyle w:val="ListParagraph"/>
        <w:numPr>
          <w:ilvl w:val="0"/>
          <w:numId w:val="1"/>
        </w:numPr>
        <w:spacing w:after="60" w:line="312"/>
        <w:ind w:left="720" w:hanging="360"/>
      </w:pPr>
      <w:r>
        <w:rPr>
          <w:rFonts w:ascii="Inter" w:eastAsia="Inter"/>
          <w:color w:val="1E293B"/>
          <w:sz w:val="22"/>
          <w:szCs w:val="22"/>
        </w:rPr>
        <w:t xml:space="preserve">Secrets access must be audit-logged per ADR-086.</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HashiCorp Vault is available in HA mode (3 nodes) in the production cluster.</w:t>
      </w:r>
    </w:p>
    <w:p>
      <w:pPr>
        <w:pStyle w:val="ListParagraph"/>
        <w:numPr>
          <w:ilvl w:val="0"/>
          <w:numId w:val="1"/>
        </w:numPr>
        <w:spacing w:after="60" w:line="312"/>
        <w:ind w:left="720" w:hanging="360"/>
      </w:pPr>
      <w:r>
        <w:rPr>
          <w:rFonts w:ascii="Inter" w:eastAsia="Inter"/>
          <w:color w:val="1E293B"/>
          <w:sz w:val="22"/>
          <w:szCs w:val="22"/>
        </w:rPr>
        <w:t xml:space="preserve">AWS KMS (per ADR-077) provides the data-key management capability.</w:t>
      </w:r>
    </w:p>
    <w:p>
      <w:pPr>
        <w:pStyle w:val="ListParagraph"/>
        <w:numPr>
          <w:ilvl w:val="0"/>
          <w:numId w:val="1"/>
        </w:numPr>
        <w:spacing w:after="60" w:line="312"/>
        <w:ind w:left="720" w:hanging="360"/>
      </w:pPr>
      <w:r>
        <w:rPr>
          <w:rFonts w:ascii="Inter" w:eastAsia="Inter"/>
          <w:color w:val="1E293B"/>
          <w:sz w:val="22"/>
          <w:szCs w:val="22"/>
        </w:rPr>
        <w:t xml:space="preserve">The Kubernetes service account (per ADR-076) provides the service identity for Vault authentication.</w:t>
      </w:r>
    </w:p>
    <w:p>
      <w:pPr>
        <w:pStyle w:val="ListParagraph"/>
        <w:numPr>
          <w:ilvl w:val="0"/>
          <w:numId w:val="1"/>
        </w:numPr>
        <w:spacing w:after="60" w:line="312"/>
        <w:ind w:left="720" w:hanging="360"/>
      </w:pPr>
      <w:r>
        <w:rPr>
          <w:rFonts w:ascii="Inter" w:eastAsia="Inter"/>
          <w:color w:val="1E293B"/>
          <w:sz w:val="22"/>
          <w:szCs w:val="22"/>
        </w:rPr>
        <w:t xml:space="preserve">Vault's dynamic-secret database engine supports PostgreSQL (the primary datastore).</w:t>
      </w:r>
    </w:p>
    <w:p>
      <w:pPr>
        <w:pStyle w:val="ListParagraph"/>
        <w:numPr>
          <w:ilvl w:val="0"/>
          <w:numId w:val="1"/>
        </w:numPr>
        <w:spacing w:after="60" w:line="312"/>
        <w:ind w:left="720" w:hanging="360"/>
      </w:pPr>
      <w:r>
        <w:rPr>
          <w:rFonts w:ascii="Inter" w:eastAsia="Inter"/>
          <w:color w:val="1E293B"/>
          <w:sz w:val="22"/>
          <w:szCs w:val="22"/>
        </w:rPr>
        <w:t xml:space="preserve">Third-party API providers support key rotation (Stripe, Twilio, Google Workspace all support multiple active keys).</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Vault for application secrets + AWS KMS for data-encryption keys.</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Dynamic secrets (1h TTL) limit stolen-credential value. Per-service access control via Vault policies. Hardware-backed key storage via KMS. Mature, audited, widely-deployed.</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Vault HA cluster operational burden (3 nodes + Consul backend). AWS KMS dependency. Vault root-token management requires break-glass procedure.</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Adopted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Legacy: Git-encrypted env vars + static AES key.</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Simple. No Vault dependency. Familiar operational model.</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Vulnerable to CI compromise (demonstrated in 2024 incident). No rotation procedure. No per-service access control. Single static key exposes all data on compromise.</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AWS Secrets Manager for everything (application secrets and data keys).</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Single AWS-native service. No Vault dependency. Deeply integrated with AWS IAM.</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Lacks Vault's dynamic-secret capability (static secrets only). Policy engine less expressive than Vault. No native Kubernetes service-account auth.</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Custom secrets service (in-house built).</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Full control. No external dependency. Tailored to PreOne-specific needs.</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Reinventing Vault poorly. 6-12 months to build. Likely more vulnerabilities than mature Vault. Make-vs-buy strongly favours buy for security-critical infrastructure.</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We will adopt HashiCorp Vault for application secrets and AWS KMS for data-encryption keys. Application secrets (database credentials, third-party API keys, JWT signing keys, mTLS private keys) are stored in Vault's KV-v2 engine and fetched by services at startup via the Kubernetes service-account auth method. Short-lived database credentials are generated on-demand by Vault's database dynamic-secret engine with a 1-hour TTL; services re-fetch before expiry. Long-lived third-party API keys are stored as static KV secrets and rotated quarterly per a documented runbook. Per-service access is enforced by Vault policies bound to Kubernetes service accounts. Data-encryption keys (CMKs) are managed by AWS KMS (per ADR-077); the KMS key policies enforce per-tenant isolation. All secret access is audit-logged by Vault's audit device and by AWS CloudTrail (for KMS).</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The Vault + KMS strategy is selected because it is the only option that simultaneously satisfies the security, rotation, and access-control requirements. The legacy strategy (Git + env vars + static key) is rejected on three grounds. First, the Git-based secret store is vulnerable to CI compromise: the 2024 Redis-escalation incident exfiltrated the decryption key from CI, exposing all secrets. Second, the single static AES key has no rotation procedure; the key has not been rotated in 4 years. Third, there is no per-service access control: any service can read any secret, violating least privilege.
AWS Secrets Manager for everything was rejected because Secrets Manager lacks Vault's dynamic-secret capability (it stores static secrets only) and its policy engine is less expressive than Vault's. Dynamic secrets are a critical capability: database credentials generated on-demand with a 1-hour TTL mean that a stolen credential is valid for at most 1 hour, versus the legacy static credential that is valid indefinitely. Secrets Manager also does not support the Kubernetes service-account auth method natively, requiring IAM role assumption which is operationally heavier.
The custom secrets service was rejected as reinventing Vault poorly: Vault is a mature, audited, widely-deployed product with a strong security track record; building an equivalent in-house would take 6-12 months and would likely have more vulnerabilities. The make-vs-buy analysis strongly favours buy for security-critical infrastructure.
The separation of Vault (application secrets) and KMS (data keys) is deliberate: KMS provides hardware-backed key storage (AWS CloudHSM) that Vault cannot match, and KMS is deeply integrated with AWS services (S3, RDS, EBS) that the platform uses. Vault's transit engine could provide envelope encryption, but using KMS for data keys keeps the encryption boundary within AWS (where the data lives) and uses Vault only for application secrets (where the dynamic-secret and policy-engine capabilities matter). The two systems are complementary, not redundant.
Vault's audit device logs every secret access (read, write, list) to a tamper-evident log, which is forwarded to the SIEM (per ADR-088) for anomaly detection. AWS CloudTrail logs every KMS API call, providing the same capability for data keys.</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SECRETS MANAGEMENT SUBSYSTEM                 |
+-------------------------------------------------------------+
| Application Secrets (Vault KV-v2 + Database Engine)         |
|   - DB credentials (dynamic, 1h TTL)                        |
|   - 3rd-party API keys (static, quarterly rotation)         |
|   - JWT signing keys (static, annual rotation)              |
|   - mTLS private keys (cert-manager, per ADR-076)           |
+-------------------------------------------------------------+
        |  Kubernetes service-account auth (JWT)              |
        v                                                     |
| Vault (HA, 3 nodes)                                         |
|   - KV-v2 engine (static secrets)                          |
|   - Database engine (dynamic DB creds)                     |
|   - Audit device -&gt; SIEM (per ADR-088)                     |
+-------------------------------------------------------------+
| Data Encryption Keys (AWS KMS)                              |
|   - Per-tenant CMKs (per ADR-077)                           |
|   - GenerateDataKey / Decrypt APIs                          |
|   - CloudTrail audit -&gt; SIEM                                |
+-------------------------------------------------------------+
| Service Startup                                             |
|   1. authenticate to Vault via k8s service account          |
|   2. fetch static secrets (KV-v2)                           |
|   3. request dynamic DB credential (1h TTL)                 |
|   4. re-fetch DB credential before expiry                   |
+-------------------------------------------------------------+</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Service -&gt; Vault: auth via k8s service-account JWT
Vault -&gt; Vault: verify k8s JWT + check policy
Vault -&gt; Service: Vault token (TTL 1h)
Service -&gt; Vault: read kv/tenants/{id}/stripe_key
Vault -&gt; Audit Log: read event (per ADR-086)
Vault -&gt; Service: {stripe_key}
Service -&gt; Vault: read database/creds/tenant_role
Vault -&gt; PostgreSQL: CREATE ROLE ... VALID UNTIL 1h
Vault -&gt; Service: {username, password}
Service -&gt; PostgreSQL: connect (1h credential)
Service -&gt; Vault: re-fetch before expiry (lease renewal)</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ADR-078 — Secrets Management  -  Component View        |
+-------------------------------------------------------------+
|                                                             |
|  +----------------+        +----------------------+         |
|  | App Service    |  read  | Secrets SDK          |         |
|  |                |-------&gt;| (cached, refreshed)  |         |
|  +----------------+        +----------+-----------+         |
|                                       |                     |
|                                       | fetch               |
|                                       v                     |
|  +----------------+        +----------------------+         |
|  | AWS Secrets    |  store | Encrypted secrets    |         |
|  | Manager        |-------&gt;| (KMS-encrypted)      |         |
|  +----------------+        +----------------------+         |
|                                                             |
|  Rotation:                                                  |
|    - DB credentials: 90-day auto-rotation                  |
|    - API keys: 30-day manual + reminder                    |
|    - TLS certs: ACM auto-renew                             |
|                                                             |
|  Audit: every secret access logged to ADR-086              |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Secret Read Flow:
  App -&gt; Secrets SDK: getSecret('db.password')
  Secrets SDK -&gt; Cache: lookup (TTL 5 min)
  (cache miss) Secrets SDK -&gt; AWS Secrets Manager: fetch
  Secrets Manager -&gt; KMS: decrypt
  KMS -&gt; Secrets Manager: plaintext
  Secrets Manager -&gt; Secrets SDK: plaintext
  Secrets SDK -&gt; App: secret
Secret Rotation Flow (DB credentials):
  Rotation Lambda -&gt; Secrets Manager: generate new password
  Rotation Lambda -&gt; RDS: ALTER USER password
  Rotation Lambda -&gt; Secrets Manager: store new secret
  Rotation Lambda -&gt; Notification: 'rotation complete'
  (apps auto-refresh via SDK cache TTL)</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No new application tables are introduced. Vault's storage backend is an external HA Consul cluster (per ADR-078 operational setup), not the application database. The dynamic database credentials are created in the application PostgreSQL cluster as roles with tenant-scoped grants; the roles are dropped automatically by Vault on TTL expiry. The legacy static database credentials (one per service) are migrated to dynamic credentials per the migration plan; the legacy credentials are revoked after migration. Vault's audit log is forwarded to the SIEM (per ADR-088) and is not stored in the application database. AWS CloudTrail logs KMS API calls; these are also forwarded to the SIEM. Expected PostgreSQL role count at steady state: ~200 (50 services × 4 concurrent dynamic credentials).</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The secrets-management subsystem is transparent to the API layer: services fetch secrets at startup and on rotation; no API endpoint exposes secrets. The only API-visible change is that database connections are re-established every hour (on dynamic-credential renewal), which causes a brief connection-pool churn; this is mitigated by the HikariCP connection pool's graceful refresh. The Vault token (1-hour TTL) is renewed automatically by the Spring Cloud Vault client; on renewal failure, the service fails closed (refuses requests) and alerts. The mTLS certificates (per ADR-076) are issued by cert-manager (not Vault) because cert-manager integrates more cleanly with Kubernetes; Vault's PKI engine is available as a backup if cert-manager is unavailable.</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Secrets Management has no direct UI surface — it is internal infrastructure. The admin UI includes a 'Secrets Health' dashboard (admin/operations/security/secrets, accessible to Security Engineering) showing secret rotation status (DB credentials: rotated 30 days ago; API keys: rotated 5 days ago; TLS certs: auto-renewed). The dashboard surfaces secrets approaching rotation deadlines (yellow at 80% of TTL, red at 95%). No secrets are ever displayed in the UI — only metadata (name, last rotated, next rotation). The dashboard provides documentary evidence for compliance audits.</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The Vault + KMS strategy raises the secrets-security floor on three dimensions. First, the elimination of secrets from Git and CI closes the attack vector that was exploited in the 2024 Redis-escalation incident (CI compromise no longer exposes production secrets). Second, the per-service access control (Vault policies bound to Kubernetes service accounts) enforces least privilege: a compromised service can read only its own secrets, not the entire secret inventory. Third, the dynamic database credentials (1-hour TTL) limit the value of a stolen credential to at most 1 hour, versus the legacy static credential that was valid indefinitely. Vault's audit device logs every secret access to a tamper-evident log, providing a complete audit trail (per ADR-086) and enabling anomaly detection (per ADR-088). The Vault HA cluster (3 nodes) provides availability; on Vault outage, services continue with cached credentials until expiry (1 hour), after which they fail closed.</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Vault secret reads add ~10ms p99 at service startup (one-time cost). The dynamic database credential generation adds ~50ms p99 (Vault creates a PostgreSQL role), but this is amortised over the 1-hour TTL. The Vault token renewal (every 1 hour) adds ~10ms and is non-blocking. The KMS API calls (per ADR-077) are unaffected by this ADR. At steady state, the per-request overhead is zero: secrets are cached in memory and refreshed in the background. The Vault HA cluster (3 nodes) handles the projected request rate (~200 reads/sec at startup peak) with headroom. The dynamic-credential churn (200 PostgreSQL roles created and dropped per hour) is well within PostgreSQL capacity; the role DDL is throttled by Vault to avoid saturation.</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The secrets-management subsystem scales with the service count (~50 services) and the tenant count (~1,000 tenants). The Vault HA cluster (3 nodes) handles the projected request rate (~200 reads/sec at startup peak, ~50 reads/sec at steady state) with headroom; vertical scaling (more CPU) is available before horizontal scaling (more nodes) is needed. The dynamic-credential churn (200 PostgreSQL roles per hour) is bounded by the service count and does not grow with the tenant count (each service has one dynamic credential, regardless of tenant). The Vault storage backend (Consul HA) scales to ~10K secrets (well above the projected ~2K), so no scaling issue is anticipated. KMS scaling is addressed in ADR-077. At the 5M-principal projection, the service count grows to ~100, requiring Vault scaling to 5 nodes; this is a configuration change, not an architectural one.</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The secrets-management subsystem requires five operational artefacts. (1) A runbook for Vault outage: services continue with cached credentials until expiry (1 hour); sustained outage triggers incident response per ADR-089. (2) A runbook for Vault unseal: in the event of a cluster restart, Vault requires manual unseal (or auto-unseal via AWS KMS, which is the configured mode); the runbook covers the unseal procedure. (3) A runbook for quarterly key rotation (third-party API keys): the runbook covers the rotation procedure and the verification. (4) A runbook for KMS CMK rotation (annual, automated): the runbook covers verification. (5) A runbook for Vault audit-log forwarding: the audit log is forwarded to the SIEM; the runbook covers the forwarding pipeline and the alerting on anomalies. The Vault root token is stored in a sealed hardware token (YubiKey) accessible only to the security team; the break-glass procedure is documented.</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Vault outage blocks secret reads and dynamic-credential renewal.</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HA cluster (3 nodes); services cache credentials (1h TTL); sustained outage triggers incident response.</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Vault root token compromise enables full secret inventory access.</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Root token stored in hardware token; break-glass procedure requires two-person approval; audit-logged.</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Dynamic-credential churn saturates PostgreSQL (role DDL).</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Vault throttles role DDL; monitor role count; alert above 500.</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KMS key policy misconfiguration grants cross-tenant access.</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Key policies are version-controlled; quarterly audit; automated conformance test.</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Vault eliminates secrets from Git and CI.</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Vault HA cluster operational burden (3 nodes + Consul backend).</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Dynamic credentials limit stolen-credential value to 1 hour.</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Connection-pool churn on renewal (mitigated by HikariCP graceful refresh).</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Per-service access control enforces least privilege.</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Vault policy management overhead.</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KMS provides hardware-backed key storage.</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AWS KMS dependency (mitigated by multi-region keys, per ADR-077 future evolution).</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The legacy strategy (Git-encrypted env vars + static AES key) was rejected on three grounds: the Git-based secret store is vulnerable to CI compromise (demonstrated in the 2024 Redis-escalation incident); the single static AES key has no rotation procedure (the key had not been rotated in 4 years); and there is no per-service access control, violating least privilege. AWS Secrets Manager for everything was rejected because Secrets Manager lacks Vault's dynamic-secret capability (it stores static secrets only) and its policy engine is less expressive than Vault's; dynamic secrets are critical for limiting stolen-credential value to 1 hour. The custom secrets service was rejected as reinventing Vault poorly: Vault is a mature, audited, widely-deployed product with a strong security track record; building an equivalent in-house would take 6-12 months and would likely have more vulnerabilities. The make-vs-buy analysis strongly favours buy for security-critical infrastructure. Storing secrets in Kubernetes secrets (base64-encoded, not encrypted by default) was rejected as insufficient; Kubernetes secrets are encrypted at rest only if etcd encryption is configured, and the access control is namespace-scoped, not service-scoped. The Vault + KMS strategy is the only one that satisfies all requirements; the full reasoning is captured in the Options Considered table.</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Migration is phased over one quarter alongside the encryption migration (per ADR-077). Phase 1 (weeks 1-3): deploy the Vault HA cluster (3 nodes + Consul backend) and configure the Kubernetes service-account auth method. Phase 2 (weeks 4-6): migrate static secrets from Git to Vault KV-v2; the Git-encrypted store is kept in sync during the migration window. Phase 3 (weeks 7-9): enable the Vault database dynamic-secret engine; services are migrated to dynamic credentials one at a time (canary pattern, 10% per day). Phase 4 (weeks 10-12): migrate the mTLS private keys from Vault to cert-manager (per ADR-076); the JWT signing keys remain in Vault. Phase 5 (week 13): the Git-encrypted secret store is decommissioned; the decryption key is destroyed. Rollback is possible at any point by reverting to the Git-encrypted store; the Vault secrets remain in place but are not used. The legacy static AES key (per ADR-077) is destroyed after Phase 5 of the encryption migration.</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The secrets-management subsystem is tested at four levels. Unit tests cover the Vault client (auth, read, renew, error handling), the dynamic-credential lifecycle (create, use, renew, expire), and the KMS client (per ADR-077). Coverage target is 95%. Integration tests cover the Vault-to-PostgreSQL dynamic-credential flow, the Vault policy enforcement, and the audit-log forwarding. End-to-end tests cover the service-startup -&gt; Vault-auth -&gt; secret-fetch -&gt; DB-connect path. Security tests cover the per-service access control (a service must not read another service's secrets), the dynamic-credential isolation (a stolen credential must not access other tenants' data), and the audit-log completeness (every secret access must be logged). Chaos tests cover Vault-cluster failover and the cached-credential fallback. The acceptance criterion is zero plaintext-secret exposure incidents in the post-cutover penetration test.</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Six golden signals are monitored. (1) Vault read latency p99: target under 10ms, alert above 50ms. (2) Vault token renewal failure rate: target 0, alert on any failure (possible Vault outage). (3) Dynamic-credential churn rate: target under 200/hour, alert above 500 (possible saturation). (4) Vault audit-log forwarding lag: target under 60 seconds, alert above 5 minutes (possible SIEM ingestion issue). (5) KMS API call rate (per ADR-077): target under 4,000 ops/sec, alert above 5,000. (6) Secret-access anomaly rate: target 0, alert on any anomaly flagged by the SIEM (per ADR-088). A dedicated secrets-management dashboard surfaces these alongside the Vault cluster health, the per-service secret-access distribution, and the dynamic-credential TTL distribution. Anomaly detection (per ADR-088) flags unusual patterns such as a service reading an unexpected secret or a principal accessing secrets outside business hours.</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The secrets-management subsystem is expected to evolve in three directions. First, the system may adopt Vault's transit engine for application-level encryption (in addition to KMS), providing a unified encryption API; this is monitored but not planned for v1 because KMS is deeply integrated with AWS services. Second, the system may adopt AWS KMS auto-unseal for Vault (replacing the manual unseal procedure), reducing operational burden; this is planned for v2. Third, the system may integrate with the SPIFFE/SPIRE ecosystem for federated service identity across clusters, supporting the multi-cluster deployment planned for the 2027 horizon; this is tracked as a follow-up to ADR-076. The trigger for revisiting this ADR is a regulatory change (e.g., EU NIS2 requiring hardware-backed secret storage) or a material change in the Vault or KMS performance characteristics.</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ADR-061 - Identity Model (service principals authenticate to Vault)</w:t>
      </w:r>
    </w:p>
    <w:p>
      <w:pPr>
        <w:pStyle w:val="ListParagraph"/>
        <w:numPr>
          <w:ilvl w:val="0"/>
          <w:numId w:val="1"/>
        </w:numPr>
        <w:spacing w:after="60" w:line="312"/>
        <w:ind w:left="720" w:hanging="360"/>
      </w:pPr>
      <w:r>
        <w:rPr>
          <w:rFonts w:ascii="Inter" w:eastAsia="Inter"/>
          <w:color w:val="1E293B"/>
          <w:sz w:val="22"/>
          <w:szCs w:val="22"/>
        </w:rPr>
        <w:t xml:space="preserve">ADR-076 - API Security (mTLS private keys managed via cert-manager)</w:t>
      </w:r>
    </w:p>
    <w:p>
      <w:pPr>
        <w:pStyle w:val="ListParagraph"/>
        <w:numPr>
          <w:ilvl w:val="0"/>
          <w:numId w:val="1"/>
        </w:numPr>
        <w:spacing w:after="60" w:line="312"/>
        <w:ind w:left="720" w:hanging="360"/>
      </w:pPr>
      <w:r>
        <w:rPr>
          <w:rFonts w:ascii="Inter" w:eastAsia="Inter"/>
          <w:color w:val="1E293B"/>
          <w:sz w:val="22"/>
          <w:szCs w:val="22"/>
        </w:rPr>
        <w:t xml:space="preserve">ADR-077 - Encryption (KMS for data keys; Vault for application secrets)</w:t>
      </w:r>
    </w:p>
    <w:p>
      <w:pPr>
        <w:pStyle w:val="ListParagraph"/>
        <w:numPr>
          <w:ilvl w:val="0"/>
          <w:numId w:val="1"/>
        </w:numPr>
        <w:spacing w:after="60" w:line="312"/>
        <w:ind w:left="720" w:hanging="360"/>
      </w:pPr>
      <w:r>
        <w:rPr>
          <w:rFonts w:ascii="Inter" w:eastAsia="Inter"/>
          <w:color w:val="1E293B"/>
          <w:sz w:val="22"/>
          <w:szCs w:val="22"/>
        </w:rPr>
        <w:t xml:space="preserve">ADR-079 - PII Protection (PII encryption keys stored in KMS)</w:t>
      </w:r>
    </w:p>
    <w:p>
      <w:pPr>
        <w:pStyle w:val="ListParagraph"/>
        <w:numPr>
          <w:ilvl w:val="0"/>
          <w:numId w:val="1"/>
        </w:numPr>
        <w:spacing w:after="60" w:line="312"/>
        <w:ind w:left="720" w:hanging="360"/>
      </w:pPr>
      <w:r>
        <w:rPr>
          <w:rFonts w:ascii="Inter" w:eastAsia="Inter"/>
          <w:color w:val="1E293B"/>
          <w:sz w:val="22"/>
          <w:szCs w:val="22"/>
        </w:rPr>
        <w:t xml:space="preserve">ADR-086 - Audit Trail (Vault audit device and CloudTrail feed audit logs)</w:t>
      </w:r>
    </w:p>
    <w:p>
      <w:pPr>
        <w:pStyle w:val="ListParagraph"/>
        <w:numPr>
          <w:ilvl w:val="0"/>
          <w:numId w:val="1"/>
        </w:numPr>
        <w:spacing w:after="60" w:line="312"/>
        <w:ind w:left="720" w:hanging="360"/>
      </w:pPr>
      <w:r>
        <w:rPr>
          <w:rFonts w:ascii="Inter" w:eastAsia="Inter"/>
          <w:color w:val="1E293B"/>
          <w:sz w:val="22"/>
          <w:szCs w:val="22"/>
        </w:rPr>
        <w:t xml:space="preserve">ADR-088 - Security Monitoring (Vault and KMS events forwarded to SIEM)</w:t>
      </w:r>
    </w:p>
    <w:p>
      <w:pPr>
        <w:pStyle w:val="ListParagraph"/>
        <w:numPr>
          <w:ilvl w:val="0"/>
          <w:numId w:val="1"/>
        </w:numPr>
        <w:spacing w:after="60" w:line="312"/>
        <w:ind w:left="720" w:hanging="360"/>
      </w:pPr>
      <w:r>
        <w:rPr>
          <w:rFonts w:ascii="Inter" w:eastAsia="Inter"/>
          <w:color w:val="1E293B"/>
          <w:sz w:val="22"/>
          <w:szCs w:val="22"/>
        </w:rPr>
        <w:t xml:space="preserve">ADR-072 - MFA (TOTP shared secrets stored in Vault)</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HashiCorp Vault - Documentation. HashiCorp. 2024.</w:t>
      </w:r>
    </w:p>
    <w:p>
      <w:pPr>
        <w:pStyle w:val="ListParagraph"/>
        <w:numPr>
          <w:ilvl w:val="0"/>
          <w:numId w:val="1"/>
        </w:numPr>
        <w:spacing w:after="60" w:line="312"/>
        <w:ind w:left="720" w:hanging="360"/>
      </w:pPr>
      <w:r>
        <w:rPr>
          <w:rFonts w:ascii="Inter" w:eastAsia="Inter"/>
          <w:color w:val="1E293B"/>
          <w:sz w:val="22"/>
          <w:szCs w:val="22"/>
        </w:rPr>
        <w:t xml:space="preserve">AWS KMS - Developer Guide. Amazon Web Services. 2024.</w:t>
      </w:r>
    </w:p>
    <w:p>
      <w:pPr>
        <w:pStyle w:val="ListParagraph"/>
        <w:numPr>
          <w:ilvl w:val="0"/>
          <w:numId w:val="1"/>
        </w:numPr>
        <w:spacing w:after="60" w:line="312"/>
        <w:ind w:left="720" w:hanging="360"/>
      </w:pPr>
      <w:r>
        <w:rPr>
          <w:rFonts w:ascii="Inter" w:eastAsia="Inter"/>
          <w:color w:val="1E293B"/>
          <w:sz w:val="22"/>
          <w:szCs w:val="22"/>
        </w:rPr>
        <w:t xml:space="preserve">NIST SP 800-57 - Recommendation for Key Management. NIST. 2020.</w:t>
      </w:r>
    </w:p>
    <w:p>
      <w:pPr>
        <w:pStyle w:val="ListParagraph"/>
        <w:numPr>
          <w:ilvl w:val="0"/>
          <w:numId w:val="1"/>
        </w:numPr>
        <w:spacing w:after="60" w:line="312"/>
        <w:ind w:left="720" w:hanging="360"/>
      </w:pPr>
      <w:r>
        <w:rPr>
          <w:rFonts w:ascii="Inter" w:eastAsia="Inter"/>
          <w:color w:val="1E293B"/>
          <w:sz w:val="22"/>
          <w:szCs w:val="22"/>
        </w:rPr>
        <w:t xml:space="preserve">OWASP - Secrets Management Cheat Sheet. OWASP. 2024.</w:t>
      </w:r>
    </w:p>
    <w:p>
      <w:pPr>
        <w:pStyle w:val="ListParagraph"/>
        <w:numPr>
          <w:ilvl w:val="0"/>
          <w:numId w:val="1"/>
        </w:numPr>
        <w:spacing w:after="60" w:line="312"/>
        <w:ind w:left="720" w:hanging="360"/>
      </w:pPr>
      <w:r>
        <w:rPr>
          <w:rFonts w:ascii="Inter" w:eastAsia="Inter"/>
          <w:color w:val="1E293B"/>
          <w:sz w:val="22"/>
          <w:szCs w:val="22"/>
        </w:rPr>
        <w:t xml:space="preserve">PreOne Engineering Handbook, Section 4.18 - Secrets Management. Internal. 2025.</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2025-08-01</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Platform Security Architect</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options enumerated; consultation with security and engineering teams</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2025-09-17</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Platform Security Architect</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Architecture Review Board after cross-team review</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2025-10-15</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published to architecture repository</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2026-07-15</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cross-references to Vol 1-3 ADRs added; 34-section template applied</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Platform Security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Authentication Platform Lead</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Architecture Review Board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ADR published to architecture repository (Done)</w:t>
      </w:r>
    </w:p>
    <w:p>
      <w:pPr>
        <w:pStyle w:val="ListParagraph"/>
        <w:numPr>
          <w:ilvl w:val="0"/>
          <w:numId w:val="1"/>
        </w:numPr>
        <w:spacing w:after="60" w:line="312"/>
        <w:ind w:left="720" w:hanging="360"/>
      </w:pPr>
      <w:r>
        <w:rPr>
          <w:rFonts w:ascii="Inter" w:eastAsia="Inter"/>
          <w:color w:val="1E293B"/>
          <w:sz w:val="22"/>
          <w:szCs w:val="22"/>
        </w:rPr>
        <w:t xml:space="preserve">Cross-references to upstream/downstream artefacts added (Done)</w:t>
      </w:r>
    </w:p>
    <w:p>
      <w:pPr>
        <w:pStyle w:val="ListParagraph"/>
        <w:numPr>
          <w:ilvl w:val="0"/>
          <w:numId w:val="1"/>
        </w:numPr>
        <w:spacing w:after="60" w:line="312"/>
        <w:ind w:left="720" w:hanging="360"/>
      </w:pPr>
      <w:r>
        <w:rPr>
          <w:rFonts w:ascii="Inter" w:eastAsia="Inter"/>
          <w:color w:val="1E293B"/>
          <w:sz w:val="22"/>
          <w:szCs w:val="22"/>
        </w:rPr>
        <w:t xml:space="preserve">Security team briefed in monthly architecture sync (Done)</w:t>
      </w:r>
    </w:p>
    <w:p>
      <w:pPr>
        <w:pStyle w:val="ListParagraph"/>
        <w:numPr>
          <w:ilvl w:val="0"/>
          <w:numId w:val="1"/>
        </w:numPr>
        <w:spacing w:after="60" w:line="312"/>
        <w:ind w:left="720" w:hanging="360"/>
      </w:pPr>
      <w:r>
        <w:rPr>
          <w:rFonts w:ascii="Inter" w:eastAsia="Inter"/>
          <w:color w:val="1E293B"/>
          <w:sz w:val="22"/>
          <w:szCs w:val="22"/>
        </w:rPr>
        <w:t xml:space="preserve">Code review checklist updated to enforce this ADR (Done)</w:t>
      </w:r>
    </w:p>
    <w:p>
      <w:pPr>
        <w:pStyle w:val="ListParagraph"/>
        <w:numPr>
          <w:ilvl w:val="0"/>
          <w:numId w:val="1"/>
        </w:numPr>
        <w:spacing w:after="60" w:line="312"/>
        <w:ind w:left="720" w:hanging="360"/>
      </w:pPr>
      <w:r>
        <w:rPr>
          <w:rFonts w:ascii="Inter" w:eastAsia="Inter"/>
          <w:color w:val="1E293B"/>
          <w:sz w:val="22"/>
          <w:szCs w:val="22"/>
        </w:rPr>
        <w:t xml:space="preserve">On-call runbook updated with operational procedures (Done)</w:t>
      </w:r>
    </w:p>
    <w:p>
      <w:pPr>
        <w:pStyle w:val="ListParagraph"/>
        <w:numPr>
          <w:ilvl w:val="0"/>
          <w:numId w:val="1"/>
        </w:numPr>
        <w:spacing w:after="60" w:line="312"/>
        <w:ind w:left="720" w:hanging="360"/>
      </w:pPr>
      <w:r>
        <w:rPr>
          <w:rFonts w:ascii="Inter" w:eastAsia="Inter"/>
          <w:color w:val="1E293B"/>
          <w:sz w:val="22"/>
          <w:szCs w:val="22"/>
        </w:rPr>
        <w:t xml:space="preserve">AWS Secrets Manager adopted (Done)</w:t>
      </w:r>
    </w:p>
    <w:p>
      <w:pPr>
        <w:pStyle w:val="ListParagraph"/>
        <w:numPr>
          <w:ilvl w:val="0"/>
          <w:numId w:val="1"/>
        </w:numPr>
        <w:spacing w:after="60" w:line="312"/>
        <w:ind w:left="720" w:hanging="360"/>
      </w:pPr>
      <w:r>
        <w:rPr>
          <w:rFonts w:ascii="Inter" w:eastAsia="Inter"/>
          <w:color w:val="1E293B"/>
          <w:sz w:val="22"/>
          <w:szCs w:val="22"/>
        </w:rPr>
        <w:t xml:space="preserve">All secrets migrated from env vars / config files (Done)</w:t>
      </w:r>
    </w:p>
    <w:p>
      <w:pPr>
        <w:pStyle w:val="ListParagraph"/>
        <w:numPr>
          <w:ilvl w:val="0"/>
          <w:numId w:val="1"/>
        </w:numPr>
        <w:spacing w:after="60" w:line="312"/>
        <w:ind w:left="720" w:hanging="360"/>
      </w:pPr>
      <w:r>
        <w:rPr>
          <w:rFonts w:ascii="Inter" w:eastAsia="Inter"/>
          <w:color w:val="1E293B"/>
          <w:sz w:val="22"/>
          <w:szCs w:val="22"/>
        </w:rPr>
        <w:t xml:space="preserve">DB credential auto-rotation (90-day) (Done)</w:t>
      </w:r>
    </w:p>
    <w:p>
      <w:pPr>
        <w:pStyle w:val="ListParagraph"/>
        <w:numPr>
          <w:ilvl w:val="0"/>
          <w:numId w:val="1"/>
        </w:numPr>
        <w:spacing w:after="60" w:line="312"/>
        <w:ind w:left="720" w:hanging="360"/>
      </w:pPr>
      <w:r>
        <w:rPr>
          <w:rFonts w:ascii="Inter" w:eastAsia="Inter"/>
          <w:color w:val="1E293B"/>
          <w:sz w:val="22"/>
          <w:szCs w:val="22"/>
        </w:rPr>
        <w:t xml:space="preserve">API key rotation reminder (30-day) (Done)</w:t>
      </w:r>
    </w:p>
    <w:p>
      <w:pPr>
        <w:pStyle w:val="ListParagraph"/>
        <w:numPr>
          <w:ilvl w:val="0"/>
          <w:numId w:val="1"/>
        </w:numPr>
        <w:spacing w:after="60" w:line="312"/>
        <w:ind w:left="720" w:hanging="360"/>
      </w:pPr>
      <w:r>
        <w:rPr>
          <w:rFonts w:ascii="Inter" w:eastAsia="Inter"/>
          <w:color w:val="1E293B"/>
          <w:sz w:val="22"/>
          <w:szCs w:val="22"/>
        </w:rPr>
        <w:t xml:space="preserve">TLS cert auto-renewal via ACM (Done)</w:t>
      </w:r>
    </w:p>
    <w:p>
      <w:pPr>
        <w:pStyle w:val="ListParagraph"/>
        <w:numPr>
          <w:ilvl w:val="0"/>
          <w:numId w:val="1"/>
        </w:numPr>
        <w:spacing w:after="60" w:line="312"/>
        <w:ind w:left="720" w:hanging="360"/>
      </w:pPr>
      <w:r>
        <w:rPr>
          <w:rFonts w:ascii="Inter" w:eastAsia="Inter"/>
          <w:color w:val="1E293B"/>
          <w:sz w:val="22"/>
          <w:szCs w:val="22"/>
        </w:rPr>
        <w:t xml:space="preserve">Secrets Health dashboard deployed (Done)</w:t>
      </w:r>
    </w:p>
    <w:p>
      <w:pPr>
        <w:spacing w:after="60" w:before="360" w:line="280"/>
      </w:pPr>
      <w:r>
        <w:rPr>
          <w:rFonts w:ascii="Inter" w:eastAsia="Inter"/>
          <w:b/>
          <w:bCs/>
          <w:color w:val="4F46E5"/>
          <w:spacing w:val="60"/>
          <w:sz w:val="22"/>
          <w:szCs w:val="22"/>
        </w:rPr>
        <w:t xml:space="preserve">ADR-079</w:t>
      </w:r>
    </w:p>
    <w:p>
      <w:pPr>
        <w:pStyle w:val="Heading1"/>
        <w:spacing w:after="200" w:before="60" w:line="312"/>
      </w:pPr>
      <w:r>
        <w:rPr>
          <w:rFonts w:ascii="Inter" w:eastAsia="Inter"/>
          <w:b/>
          <w:bCs/>
          <w:color w:val="0F172A"/>
          <w:sz w:val="36"/>
          <w:szCs w:val="36"/>
        </w:rPr>
        <w:t xml:space="preserve">PII Protection</w:t>
      </w:r>
    </w:p>
    <w:p>
      <w:pPr>
        <w:spacing w:after="120" w:line="280"/>
      </w:pPr>
      <w:r>
        <w:rPr>
          <w:rFonts w:ascii="Inter" w:eastAsia="Inter"/>
          <w:color w:val="64748B"/>
          <w:sz w:val="20"/>
          <w:szCs w:val="20"/>
        </w:rPr>
        <w:t xml:space="preserve">Volume 4 — Security Architecture  -  </w:t>
      </w:r>
      <w:r>
        <w:rPr>
          <w:rFonts w:ascii="Inter" w:eastAsia="Inter"/>
          <w:color w:val="64748B"/>
          <w:sz w:val="20"/>
          <w:szCs w:val="20"/>
        </w:rPr>
        <w:t xml:space="preserve">Identity &amp; Security</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Adopt a multi-layer PII protection strategy: data classification (4 tiers), field-level encryption for sensitive PII (AES-256-GCM via KMS envelope), tokenization for direct identifiers used as foreign keys, data minimisation in APIs (return only fields the caller is authorised to see), and PII access audit logging. Data Subject Rights (GDPR/DPDP) are operationalised via automated export and erasure pipelines.</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Platform Security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review, or on regulatory update, or on OWASP Top 10 refresh</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refreshes for series alignment and cross-references)</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The PreOne platform stores substantial PII: student names, dates of birth, parent contacts, financial records, assessment responses, and special-needs categories. The 2025 Q3 security review found that the legacy platform treats all PII uniformly (encrypted at rest by AWS RDS encryption, but no field-level encryption, no tokenization, no data minimisation in APIs), which leaves the platform exposed to several risks. First, a database dump exposes all PII in plaintext (RDS encryption protects only physical media). Second, APIs return all columns of a table by default, over-disclosing PII to callers who need only a subset. Third, direct identifiers (student ID, parent email) used as foreign keys cannot be encrypted without breaking joins, so they are stored in plaintext, enabling correlation attacks.
The ARB considered four PII protection strategies. The first is the legacy strategy (uniform RDS encryption, no field-level), which is rejected. The second is the multi-layer strategy selected here. The third is full homomorphic encryption (rejected in ADR-077 as not performant). The fourth is a data warehouse approach (PII only in a separate warehouse, never in the operational database), which is rejected as incompatible with the operational need to access PII in real time.
This ADR defines PII protection. It depends on ADR-077 (Encryption) for the field-level encryption and ADR-086 (Audit Trail) for the PII access logging.</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The 2026 international expansion requires PII protection aligned with each regulatory regime: GDPR Articles 5, 25, 32 mandate data minimisation, encryption, and access logging; DPDP Section 17 mandates encryption of sensitive personal data and audit trails; COPPA requires parental consent for PII collection and verifiable deletion. The multi-layer strategy satisfies all three. The business also requires that data subject rights (access, export, erasure) be operational (automated pipelines, not manual SQL), which drives the tokenization design (erasure is a token-destruction operation, not a cascade-delete). Finally, the business requires that a database dump not expose PII in plaintext, which drives the field-level encryption design.</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The legacy PII protection strategy (uniform RDS encryption, no field-level, no tokenization, no data minimisation) leaves the platform exposed to database-dump attacks, API over-disclosure, and correlation attacks on direct identifiers. PreOne needs a multi-layer PII protection strategy: data classification, field-level encryption, tokenization for direct identifiers, data minimisation in APIs, and PII access audit logging.</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PII classification must cover all 4 tiers (public, internal, confidential, restricted) with clear criteria.</w:t>
      </w:r>
    </w:p>
    <w:p>
      <w:pPr>
        <w:pStyle w:val="ListParagraph"/>
        <w:numPr>
          <w:ilvl w:val="0"/>
          <w:numId w:val="1"/>
        </w:numPr>
        <w:spacing w:after="60" w:line="312"/>
        <w:ind w:left="720" w:hanging="360"/>
      </w:pPr>
      <w:r>
        <w:rPr>
          <w:rFonts w:ascii="Inter" w:eastAsia="Inter"/>
          <w:color w:val="1E293B"/>
          <w:sz w:val="22"/>
          <w:szCs w:val="22"/>
        </w:rPr>
        <w:t xml:space="preserve">Field-level encryption must use AES-256-GCM via KMS envelope (per ADR-077), with per-object data keys for restricted PII.</w:t>
      </w:r>
    </w:p>
    <w:p>
      <w:pPr>
        <w:pStyle w:val="ListParagraph"/>
        <w:numPr>
          <w:ilvl w:val="0"/>
          <w:numId w:val="1"/>
        </w:numPr>
        <w:spacing w:after="60" w:line="312"/>
        <w:ind w:left="720" w:hanging="360"/>
      </w:pPr>
      <w:r>
        <w:rPr>
          <w:rFonts w:ascii="Inter" w:eastAsia="Inter"/>
          <w:color w:val="1E293B"/>
          <w:sz w:val="22"/>
          <w:szCs w:val="22"/>
        </w:rPr>
        <w:t xml:space="preserve">Tokenization must preserve referential integrity (tokens are stable and can be used as foreign keys).</w:t>
      </w:r>
    </w:p>
    <w:p>
      <w:pPr>
        <w:pStyle w:val="ListParagraph"/>
        <w:numPr>
          <w:ilvl w:val="0"/>
          <w:numId w:val="1"/>
        </w:numPr>
        <w:spacing w:after="60" w:line="312"/>
        <w:ind w:left="720" w:hanging="360"/>
      </w:pPr>
      <w:r>
        <w:rPr>
          <w:rFonts w:ascii="Inter" w:eastAsia="Inter"/>
          <w:color w:val="1E293B"/>
          <w:sz w:val="22"/>
          <w:szCs w:val="22"/>
        </w:rPr>
        <w:t xml:space="preserve">Data minimisation in APIs must be enforced at the gateway (per ADR-076) based on the caller's scopes (per ADR-068).</w:t>
      </w:r>
    </w:p>
    <w:p>
      <w:pPr>
        <w:pStyle w:val="ListParagraph"/>
        <w:numPr>
          <w:ilvl w:val="0"/>
          <w:numId w:val="1"/>
        </w:numPr>
        <w:spacing w:after="60" w:line="312"/>
        <w:ind w:left="720" w:hanging="360"/>
      </w:pPr>
      <w:r>
        <w:rPr>
          <w:rFonts w:ascii="Inter" w:eastAsia="Inter"/>
          <w:color w:val="1E293B"/>
          <w:sz w:val="22"/>
          <w:szCs w:val="22"/>
        </w:rPr>
        <w:t xml:space="preserve">PII access must be audit-logged per ADR-086 with principal, resource, and purpose.</w:t>
      </w:r>
    </w:p>
    <w:p>
      <w:pPr>
        <w:pStyle w:val="ListParagraph"/>
        <w:numPr>
          <w:ilvl w:val="0"/>
          <w:numId w:val="1"/>
        </w:numPr>
        <w:spacing w:after="60" w:line="312"/>
        <w:ind w:left="720" w:hanging="360"/>
      </w:pPr>
      <w:r>
        <w:rPr>
          <w:rFonts w:ascii="Inter" w:eastAsia="Inter"/>
          <w:color w:val="1E293B"/>
          <w:sz w:val="22"/>
          <w:szCs w:val="22"/>
        </w:rPr>
        <w:t xml:space="preserve">Data subject rights (access, export, erasure) must be operationalised via automated pipelines with SLA.</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The KMS envelope encryption (per ADR-077) provides acceptable performance for field-level encryption.</w:t>
      </w:r>
    </w:p>
    <w:p>
      <w:pPr>
        <w:pStyle w:val="ListParagraph"/>
        <w:numPr>
          <w:ilvl w:val="0"/>
          <w:numId w:val="1"/>
        </w:numPr>
        <w:spacing w:after="60" w:line="312"/>
        <w:ind w:left="720" w:hanging="360"/>
      </w:pPr>
      <w:r>
        <w:rPr>
          <w:rFonts w:ascii="Inter" w:eastAsia="Inter"/>
          <w:color w:val="1E293B"/>
          <w:sz w:val="22"/>
          <w:szCs w:val="22"/>
        </w:rPr>
        <w:t xml:space="preserve">The tokenization vault (a separate Vault namespace) provides stable tokens with deterministic mapping for join keys.</w:t>
      </w:r>
    </w:p>
    <w:p>
      <w:pPr>
        <w:pStyle w:val="ListParagraph"/>
        <w:numPr>
          <w:ilvl w:val="0"/>
          <w:numId w:val="1"/>
        </w:numPr>
        <w:spacing w:after="60" w:line="312"/>
        <w:ind w:left="720" w:hanging="360"/>
      </w:pPr>
      <w:r>
        <w:rPr>
          <w:rFonts w:ascii="Inter" w:eastAsia="Inter"/>
          <w:color w:val="1E293B"/>
          <w:sz w:val="22"/>
          <w:szCs w:val="22"/>
        </w:rPr>
        <w:t xml:space="preserve">The data classification taxonomy is accepted by the legal and security teams and is stable.</w:t>
      </w:r>
    </w:p>
    <w:p>
      <w:pPr>
        <w:pStyle w:val="ListParagraph"/>
        <w:numPr>
          <w:ilvl w:val="0"/>
          <w:numId w:val="1"/>
        </w:numPr>
        <w:spacing w:after="60" w:line="312"/>
        <w:ind w:left="720" w:hanging="360"/>
      </w:pPr>
      <w:r>
        <w:rPr>
          <w:rFonts w:ascii="Inter" w:eastAsia="Inter"/>
          <w:color w:val="1E293B"/>
          <w:sz w:val="22"/>
          <w:szCs w:val="22"/>
        </w:rPr>
        <w:t xml:space="preserve">Data subject rights pipelines can be built on the existing batch infrastructure (per ADR-029).</w:t>
      </w:r>
    </w:p>
    <w:p>
      <w:pPr>
        <w:pStyle w:val="ListParagraph"/>
        <w:numPr>
          <w:ilvl w:val="0"/>
          <w:numId w:val="1"/>
        </w:numPr>
        <w:spacing w:after="60" w:line="312"/>
        <w:ind w:left="720" w:hanging="360"/>
      </w:pPr>
      <w:r>
        <w:rPr>
          <w:rFonts w:ascii="Inter" w:eastAsia="Inter"/>
          <w:color w:val="1E293B"/>
          <w:sz w:val="22"/>
          <w:szCs w:val="22"/>
        </w:rPr>
        <w:t xml:space="preserve">Tenants will accept the default classification mappings with per-tenant override for edge cases.</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Multi-layer: classification + field-level encryption + tokenization + data minimisation + audit.</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Defence in depth. Defeats database-dump attacks (field-level encryption). Breaks identifier correlation (tokenization). Prevents API over-disclosure (data minimisation). Operationalises GDPR/DPDP rights.</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KMS call overhead on every PII read. Tokenization vault dependency. Per-scope field-set configuration overhead. Batch infrastructure dependency for erasure.</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Adopted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Legacy: uniform RDS encryption, no field-level, no tokenization.</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Simple. No KMS call overhead. No tokenization vault dependency. Familiar operational model.</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Database dump exposes all PII in plaintext. APIs over-disclose PII. Direct identifiers enable correlation attacks. Cannot satisfy GDPR/DPDP encryption-at-rest guidance.</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Full homomorphic encryption for PII.</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Enables computation on ciphertext. Strongest privacy guarantee. No decryption needed for processing.</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100-1000x latency overhead. Not performant enough for interactive education platform. Immature ecosystem. Rejected in ADR-077.</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Data warehouse approach: PII only in a separate warehouse, never in the operational database.</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Strong isolation. PII not in the hot path. Warehouse can be heavily audited.</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Incompatible with operational need to access PII in real time (parent-teacher conference). Warehouse query latency (minutes) is unacceptable. Warehouse itself becomes a high-value target.</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We will adopt a multi-layer PII protection strategy. (1) Data classification: every PII field is classified into one of 4 tiers (public, internal, confidential, restricted) based on a taxonomy maintained by the legal and security teams; the classification is stored in the schema metadata. (2) Field-level encryption: confidential and restricted fields are encrypted with AES-256-GCM via KMS envelope (per ADR-077); restricted fields use per-object data keys, confidential fields use per-tenant data keys. (3) Tokenization: direct identifiers used as foreign keys (student ID, parent email) are tokenized via a Vault tokenization vault; the token is stable and can be used as a foreign key. (4) Data minimisation: APIs return only the fields the caller is authorised to see, enforced at the gateway (per ADR-076) based on scopes (per ADR-068). (5) Audit logging: every PII access is logged per ADR-086.</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The multi-layer strategy is selected because it is the only option that simultaneously satisfies the regulatory, security, and operational requirements. The legacy strategy (uniform RDS encryption) is rejected because RDS encryption protects only physical media; a database dump (e.g., via a SQL injection, a backup leak, or an insider) exposes all PII in plaintext. Field-level encryption with KMS envelope ensures that even a database dump does not reveal plaintext PII without the CMK.
Full homomorphic encryption was rejected in ADR-077 as not performant enough; the same reasoning applies here. The data warehouse approach (PII only in a separate warehouse) was rejected as incompatible with the operational need to access PII in real time (e.g., a teacher viewing a student's profile during a parent-teacher conference); the latency of a warehouse query (minutes) is unacceptable for interactive use.
The 4-tier classification (public, internal, confidential, restricted) is calibrated against the GDPR and DPDP definitions of personal and sensitive personal data. Public: data that is already publicly available (school name, course catalog). Internal: data shared within the tenant but not with the principal (e.g., internal notes). Confidential: data that identifies a principal but is not sensitive (e.g., student name, email). Restricted: sensitive personal data (e.g., date of birth, special-needs category, financial records). Each tier has a default protection policy, overridable per field for edge cases.
Tokenization for direct identifiers is the key innovation that enables both encryption and referential integrity. The Vault tokenization vault issues a stable, deterministic token for each direct identifier (e.g., the token for student@example.com is always the same); the token can be used as a foreign key, enabling joins without exposing the underlying identifier. The mapping from token to identifier is stored in the Vault tokenization vault (not in the application database), so a database dump does not reveal the identifiers. Erasure is a token-destruction operation in the Vault tokenization vault, which cascades to the application database (the foreign key becomes dangling, and the row is garbage-collected).
Data minimisation in APIs is enforced at the gateway based on the caller's scopes: a caller with the read:student:basic scope sees only public and internal fields; a caller with read:student:full sees all fields. This prevents the over-disclosure that the legacy APIs exhibited (returning all columns by default).</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PII PROTECTION SUBSYSTEM                   |
+-------------------------------------------------------------+
| DATA CLASSIFICATION (4 tiers)                               |
|   public | internal | confidential | restricted             |
|   stored in schema metadata (per-field)                     |
+-------------------------------------------------------------+
| FIELD-LEVEL ENCRYPTION (per ADR-077)                        |
|   confidential: per-tenant data key (AES-256-GCM)           |
|   restricted:  per-object data key (AES-256-GCM + KMS)      |
+-------------------------------------------------------------+
| TOKENIZATION (Vault tokenization vault)                     |
|   direct identifiers (student_id, parent_email) -&gt; token    |
|   token used as foreign key (stable, deterministic)         |
+-------------------------------------------------------------+
| DATA MINIMISATION (API gateway, per ADR-076)                |
|   scopes (per ADR-068) -&gt; field-set returned                |
|   read:student:basic -&gt; public + internal fields            |
|   read:student:full  -&gt; all fields                          |
+-------------------------------------------------------------+
| AUDIT LOGGING (per ADR-086)                                 |
|   every PII access: principal, resource, purpose            |
+-------------------------------------------------------------+
| DATA SUBJECT RIGHTS (automated pipelines)                   |
|   access: export principal's PII as JSON                    |
|   erasure: token destruction -&gt; cascade GC                  |
+-------------------------------------------------------------+</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Client -&gt; API Gateway: GET /students/123 (scope: read:student:basic)
API Gateway -&gt; Backend: forward (with scope context)
Backend -&gt; DB: SELECT * FROM students WHERE token_id = ?
DB -&gt; Backend: {token_id, name_enc, dob_enc, ...}
Backend -&gt; KMS: Decrypt(name_enc) -&gt; name (per ADR-077)
Backend -&gt; KMS: Decrypt(dob_enc) -&gt; dob
Backend -&gt; Vault: detokenize(token_id) -&gt; student_id
Backend -&gt; Data Minimiser: filter fields by scope
Data Minimiser -&gt; Backend: {name, student_id} (basic fields only)
Backend -&gt; Audit Log: PII access (principal, student 123, purpose)
Backend -&gt; API Gateway: 200 OK {name, student_id}
API Gateway -&gt; Client: 200 OK {name, student_id}</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ADR-079 — PII Protection  -  Component View            |
+-------------------------------------------------------------+
|                                                             |
|  +----------------+        +----------------------+         |
|  | App Service    |  read/ | PII Service          |         |
|  |                | write  | (encrypt/decrypt +   |         |
|  +----------------+        |  mask)               |         |
|                              +----------+-----------+         |
|                                         |                     |
|                                         | encrypt             |
|                                         v                     |
|  +----------------+        +----------------------+         |
|  | Field Encrypt  |  AES   | Postgres (encrypted  |         |
|  |                |-------&gt;|  PII columns)        |         |
|  +----------------+        +----------------------+         |
|                                                             |
|  Access Control:                                            |
|    - PII read requires explicit role grant                 |
|    - PII read logged to audit trail (ADR-086)              |
|    - PII export triggers DLP (ADR-089)                     |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PII Write Flow:
  App -&gt; PII Service: plaintext PII
  PII Service -&gt; Field Encryptor: encrypt (AES-256-GCM)
  PII Service -&gt; Postgres: store ciphertext
  PII Service -&gt; Audit: log 'PII_WRITE' (field, actor, tenant)
PII Read Flow:
  App -&gt; PII Service: read PII
  PII Service -&gt; Authorization: 'actor has PII read role?'
  (deny) PII Service -&gt; App: mask '***'
  (allow) PII Service -&gt; Postgres: SELECT ciphertext
  PII Service -&gt; Field Decryptor: decrypt
  PII Service -&gt; Audit: log 'PII_READ' (field, actor, tenant)
  PII Service -&gt; App: plaintext PII</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The students table gains encrypted columns (name_enc, dob_enc, etc.) replacing the legacy plaintext columns, and a token_id column (CHAR(64)) replacing the legacy student_id column as the primary key. The token_id is a stable token issued by the Vault tokenization vault. Foreign keys referencing students (e.g., assessments.student_id) are updated to reference token_id. A new table pii_access_log (per ADR-086) records every PII access. The data classification metadata is stored in a new table field_classification (table_name, column_name, tier). The tokenization vault stores the token-to-identifier mapping; the application database does not store this mapping. Expected storage overhead: ~5% (encrypted columns are slightly larger than plaintext; token_id is 64 bytes vs legacy student_id 16 bytes). The legacy plaintext columns are migrated per the migration plan and dropped after migration.</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All PII-returning APIs are updated to apply data minimisation based on the caller's scopes. The API contract is unchanged at the endpoint level (GET /students/123 still returns a student), but the field-set returned depends on the scope. A new endpoint GET /me/data-subject-access exports the principal's PII as JSON (for GDPR Article 15 access requests); a new endpoint POST /me/data-subject-erasure initiates the erasure pipeline (for GDPR Article 17 right to be forgotten). Both endpoints are rate-limited (per ADR-080) and audit-logged (per ADR-086). The data subject rights pipelines have an SLA of 30 days (access) and 60 days (erasure), enforced by the batch infrastructure (per ADR-029). Bulk-export endpoints (which return large PII datasets) are slower due to per-field KMS calls; this is mitigated by the DEK cache (per ADR-077) and batching.</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PII Protection surfaces in the UI as field-level masking and access controls. PII fields (student name, DOB, address, guardian info, health info) are masked ('***') for users without the PII-read role. Users with the role see a 'Reveal PII' button that, when clicked, logs the access to the audit trail and displays the plaintext for 30 seconds before re-masking. The admin UI includes a 'PII Access Log' page showing recent PII reads (actor, field, tenant, timestamp) for audit. The 'PII Protection' info panel on the Account page explains the masking and access-logging policy to users.</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The multi-layer strategy raises the PII security floor on three dimensions. First, field-level encryption ensures that a database dump does not reveal plaintext PII; an attacker with a database dump must also compromise the KMS CMK to decrypt, which requires AWS credentials (a separate attack surface). Second, tokenization breaks the correlation between direct identifiers and the rest of the PII; an attacker with a database dump sees tokens, not identifiers, preventing the linkage of student records to external databases. Third, data minimisation in APIs prevents over-disclosure; a compromised caller with a basic scope sees only public and internal fields, not the full PII record. The audit logging (per ADR-086) provides a complete record of every PII access, enabling anomaly detection (per ADR-088) and regulatory reporting. The data subject rights pipelines operationalise GDPR Articles 15 and 17, reducing the legal team's manual effort from days to hours per request.</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The PII protection overhead is dominated by the KMS calls for field-level encryption (per ADR-077: ~50ms p99 on write, ~3ms p99 on read with cache hit). For a typical student record (10 encrypted fields), the read overhead is ~30ms (10 fields × 3ms, with DEK cache), which is acceptable for the interactive use case. The tokenization vault lookup adds ~10ms p99 per identifier; for a typical API response with 1-5 identifiers, the overhead is 10-50ms. The data minimisation (field filtering at the gateway) is O(1) and adds negligible latency. The audit-logging write is asynchronous (per ADR-086) and does not affect response latency. Total PII-protection overhead on a typical read: ~50ms p99, within the 200ms p99 budget for PII-returning APIs. Bulk-export endpoints are slower (per-field KMS calls); this is mitigated by batching.</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The PII protection subsystem scales with the PII field count and the request rate. The KMS scaling is addressed in ADR-077 (per-object data keys, DEK cache). The tokenization vault (Vault HA) scales with the identifier count (~5M identifiers at steady state, ~50K detokenization calls per second at peak); Vault handles this with headroom. The audit-log write rate (~5,000 entries per second at peak) is handled by the async audit pipeline (per ADR-086). The data subject rights pipelines are batch jobs (per ADR-029) and do not affect the hot path. At the 5M-principal projection, the KMS call rate (per ADR-077) approaches the per-account limit; this is mitigated by the DEK cache and by the multi-region key support (per ADR-077 future evolution). No architectural change is anticipated before the 2027 horizon.</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The PII protection subsystem requires five operational artefacts. (1) A runbook for data classification updates: the legal and security teams review the classification taxonomy quarterly; the runbook covers the update and propagation. (2) A runbook for tokenization vault management: the vault is HA (3 nodes); the runbook covers failover and the token-destruction procedure for erasure. (3) A runbook for data subject rights requests: the runbook covers the access and erasure pipelines, the SLA tracking, and the legal-team handoff for edge cases. (4) A runbook for field-level encryption key rotation (per ADR-077): the runbook covers the annual CMK rotation and the lazy re-encryption. (5) A runbook for PII access audit review: the security team reviews the audit log weekly for anomalies (per ADR-088). Per-tenant classification overrides are propagated within 60 seconds via the configuration service.</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Tokenization vault outage breaks detokenization.</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Vault HA (3 nodes); in-memory token cache (5-min TTL) absorbs brief outage; sustained outage triggers incident response.</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Data classification taxonomy drift leaves new PII fields unprotected.</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Schema-lint CI check rejects new PII fields without classification; quarterly audit by legal and security teams.</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Data subject rights pipelines miss PII in legacy stores.</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PII inventory maintained by the legal team; pipelines tested quarterly with synthetic data; legacy-store scan job.</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KMS rate limit (per ADR-077) breached by PII-heavy bulk export.</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Bulk-export endpoints throttled; DEK cache; multi-region keys (future).</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Field-level encryption defeats database-dump attacks.</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KMS call overhead on every PII read (~30ms for 10 fields).</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Tokenization breaks identifier correlation.</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Tokenization vault dependency for detokenization.</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Data minimisation prevents API over-disclosure.</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Per-scope field-set configuration overhead.</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Data subject rights pipelines operationalise GDPR/DPDP.</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Batch infrastructure dependency for erasure.</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The legacy strategy (uniform RDS encryption, no field-level, no tokenization, no data minimisation) was rejected because RDS encryption protects only physical media; a database dump exposes all PII in plaintext, and the legacy APIs return all columns by default, over-disclosing PII to callers who need only a subset. Full homomorphic encryption was rejected in ADR-077 as not performant enough for production use; the same reasoning applies here. The data warehouse approach (PII only in a separate warehouse, never in the operational database) was rejected as incompatible with the operational need to access PII in real time (e.g., a teacher viewing a student's profile during a parent-teacher conference); the latency of a warehouse query (minutes) is unacceptable for interactive use, and the warehouse would itself become a high-value target. Pseudonymisation without encryption (replacing identifiers with hashes) was rejected because hashes are reversible via brute-force for low-entropy identifiers (e.g., dates of birth), and hashes do not provide the integrity guarantee of authenticated encryption. Per-tenant encryption keys (rather than per-object) were considered for confidential fields and adopted (per-tenant for confidential, per-object for restricted) as a performance optimisation; the trade-off is that a single confidential key compromise exposes all confidential fields in a tenant, which is acceptable given that confidential fields are less sensitive than restricted fields. The multi-layer strategy is the only one that satisfies all requirements; the full reasoning is captured in the Options Considered table.</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Migration is phased over one quarter alongside the encryption migration (per ADR-077). Phase 1 (weeks 1-3): deploy the data classification metadata table and the tokenization vault; classify all existing PII fields. Phase 2 (weeks 4-6): enable field-level encryption for restricted fields (per-object data keys); legacy plaintext data is re-encrypted lazily (per ADR-077). Phase 3 (weeks 7-9): enable tokenization for direct identifiers; foreign keys are migrated from student_id to token_id in a canary pattern (10% per day). Phase 4 (weeks 10-12): enable data minimisation in APIs (gateway scope-based field filtering); the legacy full-field responses are deprecated. Phase 5 (week 13): enable the data subject rights pipelines (access and erasure); the legacy plaintext columns are dropped. Rollback is possible at any point by reverting to the legacy strategy; the encrypted columns are decrypted lazily on read and re-written in plaintext. The tokenization vault is left in place but the tokens are mapped back to identifiers during rollback.</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The PII protection subsystem is tested at four levels. Unit tests cover the data classification lookup, the field-level encryption (per ADR-077), the tokenization (detokenize, tokenize, erasure), and the data minimisation (scope-based field filtering). Coverage target is 95%. Integration tests cover the full API response path with encryption, tokenization, and minimisation. End-to-end tests cover the data subject rights pipelines (access and erasure). Security tests cover the database-dump resistance (a dump must not reveal plaintext PII), the correlation resistance (tokens must not be linkable to identifiers without the vault), and the data minimisation enforcement (a caller must not see fields outside their scope). Performance tests cover the PII-protection overhead on typical read paths. The acceptance criterion is zero plaintext-PII exposure incidents in the post-cutover penetration test.</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Six golden signals are monitored. (1) Field-level encryption overhead p99: target under 50ms per record, alert above 100ms. (2) Tokenization vault lookup latency p99: target under 10ms, alert above 50ms. (3) Data subject rights pipeline SLA: target 100% within SLA (30 days access, 60 days erasure), alert on any breach. (4) PII access audit log completeness: target 100%, alert on any gap (per ADR-086). (5) Data classification coverage: target 100% of PII fields classified, alert on any unclassified PII field (schema-lint CI check). (6) Data minimisation rejection rate: target under 0.1% of API calls (callers requesting fields outside their scope), alert above 1% (possible misconfiguration or attack). A dedicated PII-protection dashboard surfaces these alongside the per-tier field distribution, the tokenization vault health, and the data subject rights pipeline backlog. Anomaly detection (per ADR-088) flags unusual PII access patterns.</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The PII protection subsystem is expected to evolve in three directions. First, the system may add differential privacy for analytics queries (aggregating PII with noise to prevent re-identification); this is monitored but not planned for v1 because of the complexity. Second, the system may integrate with the AWS Macie service for automated PII discovery (detecting unclassified PII fields via ML); this is planned for v2. Third, the system may add consent management (tracking per-principal consent for each PII processing purpose), supporting GDPR Article 7 consent requirements more explicitly; this is planned for v2 and is tracked as a follow-up. The trigger for revisiting this ADR is a regulatory change (e.g., EU AI Act requiring PII protection in AI training data) or a material change in the PII inventory.</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ADR-061 - Identity Model (PII fields belong to principals)</w:t>
      </w:r>
    </w:p>
    <w:p>
      <w:pPr>
        <w:pStyle w:val="ListParagraph"/>
        <w:numPr>
          <w:ilvl w:val="0"/>
          <w:numId w:val="1"/>
        </w:numPr>
        <w:spacing w:after="60" w:line="312"/>
        <w:ind w:left="720" w:hanging="360"/>
      </w:pPr>
      <w:r>
        <w:rPr>
          <w:rFonts w:ascii="Inter" w:eastAsia="Inter"/>
          <w:color w:val="1E293B"/>
          <w:sz w:val="22"/>
          <w:szCs w:val="22"/>
        </w:rPr>
        <w:t xml:space="preserve">ADR-076 - API Security (data minimisation enforced at gateway)</w:t>
      </w:r>
    </w:p>
    <w:p>
      <w:pPr>
        <w:pStyle w:val="ListParagraph"/>
        <w:numPr>
          <w:ilvl w:val="0"/>
          <w:numId w:val="1"/>
        </w:numPr>
        <w:spacing w:after="60" w:line="312"/>
        <w:ind w:left="720" w:hanging="360"/>
      </w:pPr>
      <w:r>
        <w:rPr>
          <w:rFonts w:ascii="Inter" w:eastAsia="Inter"/>
          <w:color w:val="1E293B"/>
          <w:sz w:val="22"/>
          <w:szCs w:val="22"/>
        </w:rPr>
        <w:t xml:space="preserve">ADR-077 - Encryption (field-level encryption via KMS envelope)</w:t>
      </w:r>
    </w:p>
    <w:p>
      <w:pPr>
        <w:pStyle w:val="ListParagraph"/>
        <w:numPr>
          <w:ilvl w:val="0"/>
          <w:numId w:val="1"/>
        </w:numPr>
        <w:spacing w:after="60" w:line="312"/>
        <w:ind w:left="720" w:hanging="360"/>
      </w:pPr>
      <w:r>
        <w:rPr>
          <w:rFonts w:ascii="Inter" w:eastAsia="Inter"/>
          <w:color w:val="1E293B"/>
          <w:sz w:val="22"/>
          <w:szCs w:val="22"/>
        </w:rPr>
        <w:t xml:space="preserve">ADR-078 - Secrets Management (tokenization vault in Vault)</w:t>
      </w:r>
    </w:p>
    <w:p>
      <w:pPr>
        <w:pStyle w:val="ListParagraph"/>
        <w:numPr>
          <w:ilvl w:val="0"/>
          <w:numId w:val="1"/>
        </w:numPr>
        <w:spacing w:after="60" w:line="312"/>
        <w:ind w:left="720" w:hanging="360"/>
      </w:pPr>
      <w:r>
        <w:rPr>
          <w:rFonts w:ascii="Inter" w:eastAsia="Inter"/>
          <w:color w:val="1E293B"/>
          <w:sz w:val="22"/>
          <w:szCs w:val="22"/>
        </w:rPr>
        <w:t xml:space="preserve">ADR-068 - Scope Model (scopes drive data minimisation field-set)</w:t>
      </w:r>
    </w:p>
    <w:p>
      <w:pPr>
        <w:pStyle w:val="ListParagraph"/>
        <w:numPr>
          <w:ilvl w:val="0"/>
          <w:numId w:val="1"/>
        </w:numPr>
        <w:spacing w:after="60" w:line="312"/>
        <w:ind w:left="720" w:hanging="360"/>
      </w:pPr>
      <w:r>
        <w:rPr>
          <w:rFonts w:ascii="Inter" w:eastAsia="Inter"/>
          <w:color w:val="1E293B"/>
          <w:sz w:val="22"/>
          <w:szCs w:val="22"/>
        </w:rPr>
        <w:t xml:space="preserve">ADR-086 - Audit Trail (PII access audit-logged)</w:t>
      </w:r>
    </w:p>
    <w:p>
      <w:pPr>
        <w:pStyle w:val="ListParagraph"/>
        <w:numPr>
          <w:ilvl w:val="0"/>
          <w:numId w:val="1"/>
        </w:numPr>
        <w:spacing w:after="60" w:line="312"/>
        <w:ind w:left="720" w:hanging="360"/>
      </w:pPr>
      <w:r>
        <w:rPr>
          <w:rFonts w:ascii="Inter" w:eastAsia="Inter"/>
          <w:color w:val="1E293B"/>
          <w:sz w:val="22"/>
          <w:szCs w:val="22"/>
        </w:rPr>
        <w:t xml:space="preserve">ADR-053 - Data Retention (PII retention policy)</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GDPR - General Data Protection Regulation. European Union. 2016.</w:t>
      </w:r>
    </w:p>
    <w:p>
      <w:pPr>
        <w:pStyle w:val="ListParagraph"/>
        <w:numPr>
          <w:ilvl w:val="0"/>
          <w:numId w:val="1"/>
        </w:numPr>
        <w:spacing w:after="60" w:line="312"/>
        <w:ind w:left="720" w:hanging="360"/>
      </w:pPr>
      <w:r>
        <w:rPr>
          <w:rFonts w:ascii="Inter" w:eastAsia="Inter"/>
          <w:color w:val="1E293B"/>
          <w:sz w:val="22"/>
          <w:szCs w:val="22"/>
        </w:rPr>
        <w:t xml:space="preserve">DPDP - Digital Personal Data Protection Act. India. 2023.</w:t>
      </w:r>
    </w:p>
    <w:p>
      <w:pPr>
        <w:pStyle w:val="ListParagraph"/>
        <w:numPr>
          <w:ilvl w:val="0"/>
          <w:numId w:val="1"/>
        </w:numPr>
        <w:spacing w:after="60" w:line="312"/>
        <w:ind w:left="720" w:hanging="360"/>
      </w:pPr>
      <w:r>
        <w:rPr>
          <w:rFonts w:ascii="Inter" w:eastAsia="Inter"/>
          <w:color w:val="1E293B"/>
          <w:sz w:val="22"/>
          <w:szCs w:val="22"/>
        </w:rPr>
        <w:t xml:space="preserve">COPPA - Children's Online Privacy Protection Act. US. 1998.</w:t>
      </w:r>
    </w:p>
    <w:p>
      <w:pPr>
        <w:pStyle w:val="ListParagraph"/>
        <w:numPr>
          <w:ilvl w:val="0"/>
          <w:numId w:val="1"/>
        </w:numPr>
        <w:spacing w:after="60" w:line="312"/>
        <w:ind w:left="720" w:hanging="360"/>
      </w:pPr>
      <w:r>
        <w:rPr>
          <w:rFonts w:ascii="Inter" w:eastAsia="Inter"/>
          <w:color w:val="1E293B"/>
          <w:sz w:val="22"/>
          <w:szCs w:val="22"/>
        </w:rPr>
        <w:t xml:space="preserve">NIST SP 800-122 - Guide to Protecting the Confidentiality of PII. NIST. 2010.</w:t>
      </w:r>
    </w:p>
    <w:p>
      <w:pPr>
        <w:pStyle w:val="ListParagraph"/>
        <w:numPr>
          <w:ilvl w:val="0"/>
          <w:numId w:val="1"/>
        </w:numPr>
        <w:spacing w:after="60" w:line="312"/>
        <w:ind w:left="720" w:hanging="360"/>
      </w:pPr>
      <w:r>
        <w:rPr>
          <w:rFonts w:ascii="Inter" w:eastAsia="Inter"/>
          <w:color w:val="1E293B"/>
          <w:sz w:val="22"/>
          <w:szCs w:val="22"/>
        </w:rPr>
        <w:t xml:space="preserve">PreOne Engineering Handbook, Section 4.19 - PII Protection. Internal. 2025.</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2025-08-01</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Platform Security Architect</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options enumerated; consultation with security and engineering teams</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2025-09-17</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Platform Security Architect</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Architecture Review Board after cross-team review</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2025-10-15</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published to architecture repository</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2026-07-15</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cross-references to Vol 1-3 ADRs added; 34-section template applied</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Platform Security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Authentication Platform Lead</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Architecture Review Board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ADR published to architecture repository (Done)</w:t>
      </w:r>
    </w:p>
    <w:p>
      <w:pPr>
        <w:pStyle w:val="ListParagraph"/>
        <w:numPr>
          <w:ilvl w:val="0"/>
          <w:numId w:val="1"/>
        </w:numPr>
        <w:spacing w:after="60" w:line="312"/>
        <w:ind w:left="720" w:hanging="360"/>
      </w:pPr>
      <w:r>
        <w:rPr>
          <w:rFonts w:ascii="Inter" w:eastAsia="Inter"/>
          <w:color w:val="1E293B"/>
          <w:sz w:val="22"/>
          <w:szCs w:val="22"/>
        </w:rPr>
        <w:t xml:space="preserve">Cross-references to upstream/downstream artefacts added (Done)</w:t>
      </w:r>
    </w:p>
    <w:p>
      <w:pPr>
        <w:pStyle w:val="ListParagraph"/>
        <w:numPr>
          <w:ilvl w:val="0"/>
          <w:numId w:val="1"/>
        </w:numPr>
        <w:spacing w:after="60" w:line="312"/>
        <w:ind w:left="720" w:hanging="360"/>
      </w:pPr>
      <w:r>
        <w:rPr>
          <w:rFonts w:ascii="Inter" w:eastAsia="Inter"/>
          <w:color w:val="1E293B"/>
          <w:sz w:val="22"/>
          <w:szCs w:val="22"/>
        </w:rPr>
        <w:t xml:space="preserve">Security team briefed in monthly architecture sync (Done)</w:t>
      </w:r>
    </w:p>
    <w:p>
      <w:pPr>
        <w:pStyle w:val="ListParagraph"/>
        <w:numPr>
          <w:ilvl w:val="0"/>
          <w:numId w:val="1"/>
        </w:numPr>
        <w:spacing w:after="60" w:line="312"/>
        <w:ind w:left="720" w:hanging="360"/>
      </w:pPr>
      <w:r>
        <w:rPr>
          <w:rFonts w:ascii="Inter" w:eastAsia="Inter"/>
          <w:color w:val="1E293B"/>
          <w:sz w:val="22"/>
          <w:szCs w:val="22"/>
        </w:rPr>
        <w:t xml:space="preserve">Code review checklist updated to enforce this ADR (Done)</w:t>
      </w:r>
    </w:p>
    <w:p>
      <w:pPr>
        <w:pStyle w:val="ListParagraph"/>
        <w:numPr>
          <w:ilvl w:val="0"/>
          <w:numId w:val="1"/>
        </w:numPr>
        <w:spacing w:after="60" w:line="312"/>
        <w:ind w:left="720" w:hanging="360"/>
      </w:pPr>
      <w:r>
        <w:rPr>
          <w:rFonts w:ascii="Inter" w:eastAsia="Inter"/>
          <w:color w:val="1E293B"/>
          <w:sz w:val="22"/>
          <w:szCs w:val="22"/>
        </w:rPr>
        <w:t xml:space="preserve">On-call runbook updated with operational procedures (Done)</w:t>
      </w:r>
    </w:p>
    <w:p>
      <w:pPr>
        <w:pStyle w:val="ListParagraph"/>
        <w:numPr>
          <w:ilvl w:val="0"/>
          <w:numId w:val="1"/>
        </w:numPr>
        <w:spacing w:after="60" w:line="312"/>
        <w:ind w:left="720" w:hanging="360"/>
      </w:pPr>
      <w:r>
        <w:rPr>
          <w:rFonts w:ascii="Inter" w:eastAsia="Inter"/>
          <w:color w:val="1E293B"/>
          <w:sz w:val="22"/>
          <w:szCs w:val="22"/>
        </w:rPr>
        <w:t xml:space="preserve">PII fields identified and classified (Done)</w:t>
      </w:r>
    </w:p>
    <w:p>
      <w:pPr>
        <w:pStyle w:val="ListParagraph"/>
        <w:numPr>
          <w:ilvl w:val="0"/>
          <w:numId w:val="1"/>
        </w:numPr>
        <w:spacing w:after="60" w:line="312"/>
        <w:ind w:left="720" w:hanging="360"/>
      </w:pPr>
      <w:r>
        <w:rPr>
          <w:rFonts w:ascii="Inter" w:eastAsia="Inter"/>
          <w:color w:val="1E293B"/>
          <w:sz w:val="22"/>
          <w:szCs w:val="22"/>
        </w:rPr>
        <w:t xml:space="preserve">Field-level encryption deployed (ADR-079) (Done)</w:t>
      </w:r>
    </w:p>
    <w:p>
      <w:pPr>
        <w:pStyle w:val="ListParagraph"/>
        <w:numPr>
          <w:ilvl w:val="0"/>
          <w:numId w:val="1"/>
        </w:numPr>
        <w:spacing w:after="60" w:line="312"/>
        <w:ind w:left="720" w:hanging="360"/>
      </w:pPr>
      <w:r>
        <w:rPr>
          <w:rFonts w:ascii="Inter" w:eastAsia="Inter"/>
          <w:color w:val="1E293B"/>
          <w:sz w:val="22"/>
          <w:szCs w:val="22"/>
        </w:rPr>
        <w:t xml:space="preserve">PII-read role + audit logging (Done)</w:t>
      </w:r>
    </w:p>
    <w:p>
      <w:pPr>
        <w:pStyle w:val="ListParagraph"/>
        <w:numPr>
          <w:ilvl w:val="0"/>
          <w:numId w:val="1"/>
        </w:numPr>
        <w:spacing w:after="60" w:line="312"/>
        <w:ind w:left="720" w:hanging="360"/>
      </w:pPr>
      <w:r>
        <w:rPr>
          <w:rFonts w:ascii="Inter" w:eastAsia="Inter"/>
          <w:color w:val="1E293B"/>
          <w:sz w:val="22"/>
          <w:szCs w:val="22"/>
        </w:rPr>
        <w:t xml:space="preserve">PII masking in UI for unauthorized users (Done)</w:t>
      </w:r>
    </w:p>
    <w:p>
      <w:pPr>
        <w:pStyle w:val="ListParagraph"/>
        <w:numPr>
          <w:ilvl w:val="0"/>
          <w:numId w:val="1"/>
        </w:numPr>
        <w:spacing w:after="60" w:line="312"/>
        <w:ind w:left="720" w:hanging="360"/>
      </w:pPr>
      <w:r>
        <w:rPr>
          <w:rFonts w:ascii="Inter" w:eastAsia="Inter"/>
          <w:color w:val="1E293B"/>
          <w:sz w:val="22"/>
          <w:szCs w:val="22"/>
        </w:rPr>
        <w:t xml:space="preserve">PII Access Log admin page (Done)</w:t>
      </w:r>
    </w:p>
    <w:p>
      <w:pPr>
        <w:pStyle w:val="ListParagraph"/>
        <w:numPr>
          <w:ilvl w:val="0"/>
          <w:numId w:val="1"/>
        </w:numPr>
        <w:spacing w:after="60" w:line="312"/>
        <w:ind w:left="720" w:hanging="360"/>
      </w:pPr>
      <w:r>
        <w:rPr>
          <w:rFonts w:ascii="Inter" w:eastAsia="Inter"/>
          <w:color w:val="1E293B"/>
          <w:sz w:val="22"/>
          <w:szCs w:val="22"/>
        </w:rPr>
        <w:t xml:space="preserve">Quarterly PII access review (Scheduled)</w:t>
      </w:r>
    </w:p>
    <w:p>
      <w:pPr>
        <w:spacing w:after="60" w:before="360" w:line="280"/>
      </w:pPr>
      <w:r>
        <w:rPr>
          <w:rFonts w:ascii="Inter" w:eastAsia="Inter"/>
          <w:b/>
          <w:bCs/>
          <w:color w:val="4F46E5"/>
          <w:spacing w:val="60"/>
          <w:sz w:val="22"/>
          <w:szCs w:val="22"/>
        </w:rPr>
        <w:t xml:space="preserve">ADR-080</w:t>
      </w:r>
    </w:p>
    <w:p>
      <w:pPr>
        <w:pStyle w:val="Heading1"/>
        <w:spacing w:after="200" w:before="60" w:line="312"/>
      </w:pPr>
      <w:r>
        <w:rPr>
          <w:rFonts w:ascii="Inter" w:eastAsia="Inter"/>
          <w:b/>
          <w:bCs/>
          <w:color w:val="0F172A"/>
          <w:sz w:val="36"/>
          <w:szCs w:val="36"/>
        </w:rPr>
        <w:t xml:space="preserve">Rate Limiting</w:t>
      </w:r>
    </w:p>
    <w:p>
      <w:pPr>
        <w:spacing w:after="120" w:line="280"/>
      </w:pPr>
      <w:r>
        <w:rPr>
          <w:rFonts w:ascii="Inter" w:eastAsia="Inter"/>
          <w:color w:val="64748B"/>
          <w:sz w:val="20"/>
          <w:szCs w:val="20"/>
        </w:rPr>
        <w:t xml:space="preserve">Volume 4 — Security Architecture  -  </w:t>
      </w:r>
      <w:r>
        <w:rPr>
          <w:rFonts w:ascii="Inter" w:eastAsia="Inter"/>
          <w:color w:val="64748B"/>
          <w:sz w:val="20"/>
          <w:szCs w:val="20"/>
        </w:rPr>
        <w:t xml:space="preserve">Identity &amp; Security</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Adopt a three-tier token-bucket rate limiter: per-IP (anonymisation tier, 100 req/min), per-user (authenticated tier, 1000 req/min), per-tenant (tenant tier, 10000 req/min). Limits are enforced at the API gateway (per ADR-076) via Redis token buckets, with per-tenant overrides and a burst allowance. Exceeding the limit returns HTTP 429 with a Retry-After header.</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Platform Security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review, or on performance target breach, or on traffic pattern change</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refreshes for series alignment and cross-references)</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The PreOne platform is exposed to several rate-limit-relevant threats. The first is credential stuffing: an attacker with a stolen credential list attempts high-volume login attempts. The second is scraping: a third party scrapes public course catalog data at high volume. The third is noisy-neighbour: a single tenant's bulk-export job saturates the API gateway, degrading service for other tenants. The fourth is abuse: a student scripts rapid API calls to game a leaderboard or an assessment system.
The 2025 Q3 security review found that the legacy platform has a single per-IP rate limit (100 req/min) implemented in nginx, which is insufficient on three grounds. First, per-IP only does not protect against authenticated abuse (a student with valid credentials scripting rapid calls). Second, the single tier does not protect against noisy-neighbour (a tenant's bulk export saturates the gateway). Third, the nginx implementation is hard to configure per-tenant.
The ARB considered four rate-limiting strategies. The first is the legacy strategy (single per-IP tier), which is rejected. The second is the three-tier token-bucket strategy selected here. The third is a request-queue strategy (all requests go through a queue with backpressure), which is rejected as adding latency to all requests. The fourth is a per-endpoint strategy (each endpoint has its own limit), which is rejected as operationally complex and brittle.
This ADR defines rate limiting. It depends on ADR-076 (API Security) for the gateway enforcement.</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The 2026 international expansion requires rate limiting aligned with each regulatory regime: GDPR Article 32 recommends rate limiting as a DoS defence; DPDP requires audit logs of rate-limit events; COPPA does not mandate but the parental-consent flow is vulnerable to scripted bypass, which rate limiting mitigates. The three-tier strategy satisfies all three. The business also requires that one tenant's bulk-export job not degrade service for other tenants (noisy-neighbour protection), which drives the per-tenant tier. Finally, the business requires that legitimate bursty traffic (e.g., a teacher loading a class roster) not be throttled, which drives the burst allowance in the token bucket.</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The legacy rate-limiting strategy (single per-IP tier in nginx) does not protect against authenticated abuse, noisy-neighbour, or scripted bypass. PreOne needs a three-tier token-bucket rate limiter (per-IP, per-user, per-tenant) enforced at the API gateway, with per-tenant overrides and a burst allowance, returning HTTP 429 with a Retry-After header.</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Rate-limit checks must complete within 2ms p99 to avoid adding latency.</w:t>
      </w:r>
    </w:p>
    <w:p>
      <w:pPr>
        <w:pStyle w:val="ListParagraph"/>
        <w:numPr>
          <w:ilvl w:val="0"/>
          <w:numId w:val="1"/>
        </w:numPr>
        <w:spacing w:after="60" w:line="312"/>
        <w:ind w:left="720" w:hanging="360"/>
      </w:pPr>
      <w:r>
        <w:rPr>
          <w:rFonts w:ascii="Inter" w:eastAsia="Inter"/>
          <w:color w:val="1E293B"/>
          <w:sz w:val="22"/>
          <w:szCs w:val="22"/>
        </w:rPr>
        <w:t xml:space="preserve">The rate limiter must be tenant-aware (per-tenant limits and overrides).</w:t>
      </w:r>
    </w:p>
    <w:p>
      <w:pPr>
        <w:pStyle w:val="ListParagraph"/>
        <w:numPr>
          <w:ilvl w:val="0"/>
          <w:numId w:val="1"/>
        </w:numPr>
        <w:spacing w:after="60" w:line="312"/>
        <w:ind w:left="720" w:hanging="360"/>
      </w:pPr>
      <w:r>
        <w:rPr>
          <w:rFonts w:ascii="Inter" w:eastAsia="Inter"/>
          <w:color w:val="1E293B"/>
          <w:sz w:val="22"/>
          <w:szCs w:val="22"/>
        </w:rPr>
        <w:t xml:space="preserve">The rate limiter must be user-aware (per-user limits for authenticated requests).</w:t>
      </w:r>
    </w:p>
    <w:p>
      <w:pPr>
        <w:pStyle w:val="ListParagraph"/>
        <w:numPr>
          <w:ilvl w:val="0"/>
          <w:numId w:val="1"/>
        </w:numPr>
        <w:spacing w:after="60" w:line="312"/>
        <w:ind w:left="720" w:hanging="360"/>
      </w:pPr>
      <w:r>
        <w:rPr>
          <w:rFonts w:ascii="Inter" w:eastAsia="Inter"/>
          <w:color w:val="1E293B"/>
          <w:sz w:val="22"/>
          <w:szCs w:val="22"/>
        </w:rPr>
        <w:t xml:space="preserve">The rate limiter must support a burst allowance (legitimate bursty traffic not throttled).</w:t>
      </w:r>
    </w:p>
    <w:p>
      <w:pPr>
        <w:pStyle w:val="ListParagraph"/>
        <w:numPr>
          <w:ilvl w:val="0"/>
          <w:numId w:val="1"/>
        </w:numPr>
        <w:spacing w:after="60" w:line="312"/>
        <w:ind w:left="720" w:hanging="360"/>
      </w:pPr>
      <w:r>
        <w:rPr>
          <w:rFonts w:ascii="Inter" w:eastAsia="Inter"/>
          <w:color w:val="1E293B"/>
          <w:sz w:val="22"/>
          <w:szCs w:val="22"/>
        </w:rPr>
        <w:t xml:space="preserve">Rate-limit events (429 responses) must be audit-logged per ADR-086.</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Redis (per ADR-046) provides sufficient throughput for the token-bucket operations (~10,000 ops/sec at peak).</w:t>
      </w:r>
    </w:p>
    <w:p>
      <w:pPr>
        <w:pStyle w:val="ListParagraph"/>
        <w:numPr>
          <w:ilvl w:val="0"/>
          <w:numId w:val="1"/>
        </w:numPr>
        <w:spacing w:after="60" w:line="312"/>
        <w:ind w:left="720" w:hanging="360"/>
      </w:pPr>
      <w:r>
        <w:rPr>
          <w:rFonts w:ascii="Inter" w:eastAsia="Inter"/>
          <w:color w:val="1E293B"/>
          <w:sz w:val="22"/>
          <w:szCs w:val="22"/>
        </w:rPr>
        <w:t xml:space="preserve">The API gateway (per ADR-076) supports Redis-based rate limiting via a Lua script.</w:t>
      </w:r>
    </w:p>
    <w:p>
      <w:pPr>
        <w:pStyle w:val="ListParagraph"/>
        <w:numPr>
          <w:ilvl w:val="0"/>
          <w:numId w:val="1"/>
        </w:numPr>
        <w:spacing w:after="60" w:line="312"/>
        <w:ind w:left="720" w:hanging="360"/>
      </w:pPr>
      <w:r>
        <w:rPr>
          <w:rFonts w:ascii="Inter" w:eastAsia="Inter"/>
          <w:color w:val="1E293B"/>
          <w:sz w:val="22"/>
          <w:szCs w:val="22"/>
        </w:rPr>
        <w:t xml:space="preserve">The default limits (100 req/min per-IP, 1000 req/min per-user, 10000 req/min per-tenant) are acceptable to the largest customers.</w:t>
      </w:r>
    </w:p>
    <w:p>
      <w:pPr>
        <w:pStyle w:val="ListParagraph"/>
        <w:numPr>
          <w:ilvl w:val="0"/>
          <w:numId w:val="1"/>
        </w:numPr>
        <w:spacing w:after="60" w:line="312"/>
        <w:ind w:left="720" w:hanging="360"/>
      </w:pPr>
      <w:r>
        <w:rPr>
          <w:rFonts w:ascii="Inter" w:eastAsia="Inter"/>
          <w:color w:val="1E293B"/>
          <w:sz w:val="22"/>
          <w:szCs w:val="22"/>
        </w:rPr>
        <w:t xml:space="preserve">Per-tenant overrides are configured by tenant administrators via the admin API.</w:t>
      </w:r>
    </w:p>
    <w:p>
      <w:pPr>
        <w:pStyle w:val="ListParagraph"/>
        <w:numPr>
          <w:ilvl w:val="0"/>
          <w:numId w:val="1"/>
        </w:numPr>
        <w:spacing w:after="60" w:line="312"/>
        <w:ind w:left="720" w:hanging="360"/>
      </w:pPr>
      <w:r>
        <w:rPr>
          <w:rFonts w:ascii="Inter" w:eastAsia="Inter"/>
          <w:color w:val="1E293B"/>
          <w:sz w:val="22"/>
          <w:szCs w:val="22"/>
        </w:rPr>
        <w:t xml:space="preserve">The 429 response with Retry-After header is honoured by the web and mobile clients.</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Three-tier token bucket (per-IP, per-user, per-tenant) at the gateway.</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Protects against unauthenticated abuse (per-IP), authenticated abuse (per-user), and noisy-neighbour (per-tenant). Burst allowance preserves legitimate bursty traffic. Per-tenant overrides allow market-specific calibration.</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2ms p99 added to every request. Redis dependency. Per-tenant override configuration drift risk.</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Adopted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Legacy: single per-IP tier in nginx.</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Simple. Single tier. No Redis dependency. Familiar nginx configuration.</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Does not protect against authenticated abuse. Does not protect against noisy-neighbour. Hard to configure per-tenant.</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Request queue with backpressure (all requests through a queue).</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Provides graceful degradation under load. Bounded queue depth. No request dropped silently.</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Adds latency to all requests, even when not under load. Complex queue management. Not suitable for interactive traffic.</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Per-endpoint limits (each endpoint has its own limit).</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Fine-grained control. Per-endpoint calibration. Specific endpoints (bulk-export) can have higher limits.</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Configuration grows quadratically with endpoint count. Brittle (misconfiguration throttles legitimate traffic or allows abuse). Operationally complex.</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We will adopt a three-tier token-bucket rate limiter enforced at the API gateway (per ADR-076). The three tiers are: per-IP (anonymisation tier, default 100 req/min, protects against unauthenticated abuse), per-user (authenticated tier, default 1000 req/min, protects against authenticated abuse), per-tenant (tenant tier, default 10000 req/min, protects against noisy-neighbour). The token bucket has a burst allowance equal to 2x the steady-state rate, allowing legitimate bursty traffic. Limits are stored in Redis as token-bucket keys with TTL; the gateway executes a Lua script that atomically decrements the bucket and returns the remaining tokens. Exceeding the limit returns HTTP 429 with a Retry-After header (in seconds). Per-tenant overrides are configurable via the admin API. Rate-limit events are audit-logged per ADR-086.</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The three-tier token-bucket strategy is selected because it is the only option that simultaneously protects against unauthenticated abuse, authenticated abuse, and noisy-neighbour, while preserving legitimate bursty traffic. The legacy strategy (single per-IP tier) is rejected because per-IP only does not protect against authenticated abuse (a student with valid credentials scripting rapid calls is not throttled by per-IP if they are behind a school NAT, which hundreds of students share). The request-queue strategy (all requests through a queue with backpressure) was rejected as adding latency to all requests, even when the system is not under load; the token bucket adds latency only when the limit is approached. The per-endpoint strategy (each endpoint has its own limit) was rejected as operationally complex and brittle: the limit configuration grows quadratically with the endpoint count, and a misconfiguration can either throttle legitimate traffic or allow abuse.
The token-bucket algorithm (rather than fixed-window or sliding-window) is selected because it naturally supports a burst allowance: the bucket fills at the steady-state rate and can accumulate up to the burst capacity, so a burst of requests is allowed if the bucket has accumulated tokens. This matches the traffic pattern of the PreOne platform (bursty page loads, periodic bulk exports). The Lua script executes atomically in Redis, ensuring that concurrent requests do not race on the bucket decrement.
The three tiers are enforced in order: per-IP first (cheapest, rejects unauthenticated abuse), per-user second (rejects authenticated abuse), per-tenant third (rejects noisy-neighbour). The most restrictive tier wins: if a request is under the per-IP limit but over the per-user limit, it is rejected with a 429. The 429 response includes a Retry-After header (in seconds) computed from the bucket fill rate, enabling clients to retry intelligently.
The per-tenant tier is the key innovation for noisy-neighbour protection: a tenant's bulk-export job is throttled at the tenant tier, preventing it from saturating the gateway and degrading service for other tenants. The per-tenant limit is configurable per tenant, allowing larger customers to negotiate higher limits. The audit logging of 429 responses enables anomaly detection (per ADR-088): a tenant with a sustained high 429 rate may be running an abusive integration, which the support team can investigate.</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RATE LIMITING SUBSYSTEM                      |
+-------------------------------------------------------------+
| API Gateway (per ADR-076)                                   |
|   on every request:                                         |
|     1. compute tier keys (ip, user, tenant)                 |
|     2. execute Lua script (atomic)                          |
|     3. if any tier exhausted -&gt; 429 + Retry-After           |
+-------------------------------------------------------------+
        |  Lua script (atomic)                                |
        v                                                     |
| Redis Token Buckets                                         |
|   key: rl:ip:{ip}        - bucket: 100/min, burst 200       |
|   key: rl:user:{user_id} - bucket: 1000/min, burst 2000     |
|   key: rl:tenant:{tid}   - bucket: 10000/min, burst 20000   |
|   val: {tokens, last_refill}                                |
|   TTL: 1 hour                                               |
+-------------------------------------------------------------+
| Per-Tenant Overrides (configuration service, per ADR-038)   |
|   tenant_id -&gt; {ip_limit, user_limit, tenant_limit}         |
+-------------------------------------------------------------+
| 429 Response                                                |
|   HTTP 429 Too Many Requests                                |
|   Retry-After: 30 (seconds)                                 |
|   audit-logged per ADR-086                                  |
+-------------------------------------------------------------+</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Client -&gt; API Gateway: GET /resource (Authorization: Bearer JWT)
API Gateway -&gt; Redis: EVAL lua_script (rl:ip, rl:user, rl:tenant)
Redis -&gt; API Gateway: {ip_tokens=80, user_tokens=950, tenant_tokens=9500}
Note over API Gateway: all tiers &gt; 0, allow
API Gateway -&gt; Backend: forward request
Backend -&gt; API Gateway: 200 OK {resource}
API Gateway -&gt; Client: 200 OK {resource}
---
Client -&gt; API Gateway: GET /resource (rapid burst)
API Gateway -&gt; Redis: EVAL lua_script
Redis -&gt; API Gateway: {ip_tokens=0} (exhausted)
API Gateway -&gt; Audit Log: 429 event (per ADR-086)
API Gateway -&gt; Client: 429 Too Many Requests, Retry-After: 30</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ADR-080 — Rate Limiting  -  Component View             |
+-------------------------------------------------------------+
|                                                             |
|  +----------------+        +----------------------+         |
|  | API Gateway    |  recv  | Rate Limiter         |         |
|  |                |  req   |                      |         |
|  +----------------+        +----------+-----------+         |
|                                       |                     |
|                                       | check (Redis)       |
|                                       v                     |
|  +----------------+        +----------------------+         |
|  | Redis          |  incr  | Sliding window       |         |
|  |                |-------&gt;| (per user + per IP)  |         |
|  +----------------+        +----------+-----------+         |
|                                       |                     |
|                                       | exceed?             |
|                                       v                     |
|  +----------------+        +----------------------+         |
|  | API Gateway    | 429    | Client               |         |
|  |                |-------&gt;| (Retry-After header) |         |
|  +----------------+        +----------------------+         |
|                                                             |
|  WAF (ADR-084) provides IP-based rate-limit at edge        |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Rate Limit Check Flow:
  Client -&gt; API Gateway: request
  API Gateway -&gt; Rate Limiter: 'check user X + IP Y'
  Rate Limiter -&gt; Redis: INCR (sliding window)
  Redis -&gt; Rate Limiter: current count
  (under limit) Rate Limiter -&gt; API Gateway: allow
  (over limit) Rate Limiter -&gt; API Gateway: deny + Retry-After
  API Gateway -&gt; Client: response or 429
Tiered Limits:
  - Login endpoint: 10/min per IP (brute force protection)
  - General API: 1000/min per user (normal usage)
  - Bulk export: 10/hour per user (data egress protection)</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No new tables are introduced. Rate-limit state lives entirely in Redis (per ADR-046), which is the canonical store for ephemeral rate-limit data. Per-tenant overrides are stored in the configuration service (per ADR-038) and propagated to the gateway within 60 seconds. Audit logs of 429 responses are written to audit_trail per ADR-086. Expected Redis memory at steady state: ~3M token-bucket keys (1M IPs + 500K users + 1K tenants × 3 tiers) × 100 bytes = 300MB, well within Redis Cluster capacity. The token-bucket keys have a 1-hour TTL, so the key count is bounded by the active-principal and active-IP counts, not the cumulative request count.</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The rate limiter is transparent to the API layer: the gateway enforces the limits before forwarding to the backend, so the backend sees only allowed requests. The only API-visible change is the 429 response (HTTP 429 Too Many Requests with a Retry-After header), which clients must handle gracefully (the web and mobile clients implement exponential backoff with jitter). A new endpoint GET /me/rate-limit-status allows principals to check their current rate-limit status (remaining tokens per tier) for the self-service UI. Administrative endpoints GET /admin/tenants/{id}/rate-limits and PUT allow tenant operators to view and configure per-tenant overrides. All rate-limit events (429 responses) are audit-logged per ADR-086. The rate limiter does not apply to the operator-API gateway (per ADR-076), which is low-traffic and MFA-gated.</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Rate Limiting surfaces in the UI as 429 (Too Many Requests) responses. When a user exceeds the rate limit, the UI displays a friendly 'You are doing that too quickly. Please wait X seconds and try again.' message with a countdown timer. The API client SDK includes automatic exponential backoff for 429 responses, so most users never see the message. For persistent abuse (e.g., a script hammering the login endpoint), the UI shows an 'Account temporarily locked' page with a 'contact admin' link. The admin UI includes a 'Rate Limit Activity' dashboard showing top rate-limited IPs and users, useful for identifying abuse patterns.</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The three-tier rate limiter raises the DoS and abuse security floor on three dimensions. First, the per-IP tier protects against unauthenticated credential stuffing: an attacker with a stolen credential list is throttled to 100 req/min per IP, making large-scale stuffing infeasible (a 1M-credential list would take 166 hours per IP). Second, the per-user tier protects against authenticated abuse: a student scripting rapid API calls is throttled to 1000 req/min, preventing leaderboard gaming and assessment-system abuse. Third, the per-tenant tier protects against noisy-neighbour: a tenant's bulk-export job is throttled at 10000 req/min, preventing it from saturating the gateway and degrading service for other tenants. The audit logging of 429 responses enables anomaly detection (per ADR-088): a tenant with a sustained high 429 rate is flagged for investigation. The Redis-based implementation is HA (3 nodes); on Redis outage, the rate limiter fails open (allows all requests) to avoid blocking legitimate traffic, with a high-severity alert.</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The rate-limit check adds 1-2ms p99 to every request, dominated by the Redis Lua-script execution (which is atomic and O(1)). At 5,000 requests per second (projected peak), this is 5,000 Redis operations per second, well within a single Redis node's capacity (~100K ops/sec). The Lua script is pre-loaded into Redis (SCRIPT LOAD) to avoid re-transmission on every call. The per-tier key computation (IP hashing, user_id extraction, tenant_id extraction) is O(1) and adds negligible latency. The 429 response path is faster than the 200 path (no backend call), so the rate limiter actually reduces backend load during abuse. The per-tenant override lookup is cached in the gateway (5-minute TTL), so it does not add per-request latency. Total rate-limit overhead: ~2ms p99, within the 100ms p99 API budget.</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The rate-limit subsystem scales with the request rate, not the principal count. At 5,000 requests per second, the Redis Lua-script execution rate is 5,000 ops/sec, well within a single Redis node's capacity. At 10,000 requests per second (2027 projection), the Redis Cluster is expanded to 3 shards (sharding by tenant_id), which is a configuration change. The token-bucket key count (~3M at steady state) is bounded by the 1-hour TTL; the Redis memory usage (~300MB) is well within capacity. The per-tenant override configuration is small (~1KB per tenant, ~1MB total) and is cached in the gateway. The audit-log write rate (~100 429 responses per second at peak) is handled by the async audit pipeline (per ADR-086). No architectural change is anticipated before the 2027 horizon.</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The rate-limiting subsystem requires four operational artefacts. (1) A runbook for per-tenant override requests: tenant administrators request limit increases via the admin API; the runbook covers the approval workflow and the audit logging. (2) A runbook for Redis outage: the on-call engineer must verify that the fail-open behaviour activates (legitimate traffic continues) and that the high-severity alert is raised; sustained outage triggers incident response per ADR-089. (3) A runbook for 429-rate anomaly investigation: a tenant with a sustained high 429 rate is flagged by ADR-088; the runbook covers the investigation and the possible integration-abuse response. (4) A runbook for default-limit tuning: the security team reviews the 429 rate monthly and adjusts the default limits if the rate exceeds 5% of requests (possible friction) or falls below 0.1% (possible insufficient protection). Per-tenant overrides are propagated within 60 seconds via the configuration service.</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Redis outage disables rate limiting.</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Fail-open behaviour (allows all requests); high-severity alert; Redis Cluster HA.</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Per-IP limit causes friction for school NAT egress IPs (hundreds of students share one IP).</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Per-IP limit is generous (100/min) and is overridden to higher values for known school IPs.</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Default limits are too restrictive for legitimate bulk-export jobs.</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Per-tenant overrides available; bulk-export endpoints have separate higher limits.</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429 audit log overwhelms the audit pipeline.</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429 events are sampled (1 in 100) for audit logging; aggregate counts are logged separately.</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Three-tier protection covers unauthenticated, authenticated, and noisy-neighbour abuse.</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2ms p99 added to every request.</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Per-tenant overrides allow market-specific calibration.</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Configuration drift complicates support.</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Burst allowance preserves legitimate bursty traffic.</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Burst allowance reduces the effective protection during sustained abuse.</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429 with Retry-After enables intelligent client retry.</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Clients must implement backoff correctly (SDK guidance required).</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The legacy strategy (single per-IP tier in nginx) was rejected because per-IP only does not protect against authenticated abuse (a student with valid credentials scripting rapid calls is not throttled by per-IP if they are behind a school NAT), the single tier does not protect against noisy-neighbour (a tenant's bulk export saturates the gateway), and the nginx implementation is hard to configure per-tenant. The request-queue strategy (all requests through a queue with backpressure) was rejected as adding latency to all requests, even when the system is not under load; the token bucket adds latency only when the limit is approached, which is the correct trade-off for an interactive education platform. The per-endpoint strategy (each endpoint has its own limit) was rejected as operationally complex and brittle: the limit configuration grows quadratically with the endpoint count, and a misconfiguration can either throttle legitimate traffic (causing user friction) or allow abuse (defeating the purpose). Fixed-window rate limiting (rather than token bucket) was rejected because it does not support a burst allowance, causing legitimate bursty traffic (e.g., a teacher loading a class roster) to be throttled. Sliding-window rate limiting was rejected as more expensive than token bucket without meaningful benefit at PreOne's traffic profile. The three-tier token-bucket strategy is the only one that satisfies all requirements; the full reasoning is captured in the Options Considered table.</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Migration is phased over two weeks alongside the API-gateway migration (per ADR-076). Phase 1 (days 1-3): deploy the rate-limiting subsystem (Redis token buckets, Lua script, gateway integration) in shadow mode (limits are computed and logged but not enforced). Phase 2 (days 4-6): enable per-IP enforcement (the legacy nginx per-IP limit is decommissioned); per-user and per-tenant limits remain in shadow mode. Phase 3 (days 7-9): enable per-user enforcement for authenticated endpoints. Phase 4 (days 10-12): enable per-tenant enforcement; configure per-tenant overrides for the largest customers. Phase 5 (days 13-14): the shadow-mode logging is removed; the legacy nginx per-IP limit configuration is deleted. Rollback is possible at any point by disabling the new rate limiter (the gateway reverts to no rate limiting, which is acceptable for a brief rollback window); the legacy nginx per-IP limit can be re-enabled as a fallback if needed.</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The rate-limiting subsystem is tested at four levels. Unit tests cover the token-bucket algorithm (refill, decrement, exhaustion), the Lua script (atomicity, correctness), and the per-tier key computation. Coverage target is 95%. Integration tests cover the gateway-to-Redis flow, the per-tenant override propagation, and the 429 response path. End-to-end tests cover the full request path under rate-limit pressure (a scripted burst of requests must be throttled correctly). Security tests cover the per-IP bypass attempt (using X-Forwarded-For spoofing, which must be rejected), the per-user bypass attempt (using multiple JWTs, which must be throttled per-user), and the noisy-neighbour simulation (a tenant's bulk export must not degrade other tenants). Performance tests cover the rate-limit check at projected peak (5,000 RPS). The acceptance criterion is zero rate-limit bypass incidents in the post-cutover penetration test.</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Six golden signals are monitored. (1) Rate-limit check latency p99: target under 2ms, alert above 5ms. (2) 429 response rate per tier: target under 1% of requests (per-IP, per-user), alert above 5% (possible attack or friction). (3) Per-tenant 429 rate: target under 0.5%, alert above 2% (possible noisy-neighbour or abusive integration). (4) Redis Lua-script execution rate: target under 5,000 ops/sec, alert above 10,000 (sizing problem). (5) Fail-open activation rate: target 0, alert on any activation (Redis issue). (6) Per-tenant override count: target under 10% of tenants (most use defaults), alert above 20% (possible default-limit tuning needed). A dedicated rate-limiting dashboard surfaces these alongside the per-tier token-bucket distribution, the top 429-source IPs and users, and the per-tenant override inventory. Anomaly detection (per ADR-088) flags unusual patterns such as a tenant-wide 429 burst (possible attack) or a single IP's 429 rate exceeding 1000/min (possible credential stuffing).</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The rate-limiting subsystem is expected to evolve in three directions. First, the system may add adaptive rate limiting that adjusts limits based on the backend health (lower limits when the backend is degraded), providing graceful degradation under load; this is monitored but not planned for v1. Second, the system may add per-endpoint overrides for specific high-volume endpoints (e.g., bulk-export), allowing finer-grained control without the per-endpoint strategy's complexity; this is planned for v2. Third, the system may integrate with the anomaly-detection service (per ADR-088) to dynamically lower limits for principals exhibiting abusive patterns, providing a real-time abuse response; this is tracked as a follow-up. The trigger for revisiting this ADR is a material change in the traffic profile (e.g., a new high-volume integration) or a regulatory change requiring stricter rate-limit auditing.</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ADR-046 - Caching (Redis is the rate-limit store)</w:t>
      </w:r>
    </w:p>
    <w:p>
      <w:pPr>
        <w:pStyle w:val="ListParagraph"/>
        <w:numPr>
          <w:ilvl w:val="0"/>
          <w:numId w:val="1"/>
        </w:numPr>
        <w:spacing w:after="60" w:line="312"/>
        <w:ind w:left="720" w:hanging="360"/>
      </w:pPr>
      <w:r>
        <w:rPr>
          <w:rFonts w:ascii="Inter" w:eastAsia="Inter"/>
          <w:color w:val="1E293B"/>
          <w:sz w:val="22"/>
          <w:szCs w:val="22"/>
        </w:rPr>
        <w:t xml:space="preserve">ADR-076 - API Security (rate limiter enforced at gateway)</w:t>
      </w:r>
    </w:p>
    <w:p>
      <w:pPr>
        <w:pStyle w:val="ListParagraph"/>
        <w:numPr>
          <w:ilvl w:val="0"/>
          <w:numId w:val="1"/>
        </w:numPr>
        <w:spacing w:after="60" w:line="312"/>
        <w:ind w:left="720" w:hanging="360"/>
      </w:pPr>
      <w:r>
        <w:rPr>
          <w:rFonts w:ascii="Inter" w:eastAsia="Inter"/>
          <w:color w:val="1E293B"/>
          <w:sz w:val="22"/>
          <w:szCs w:val="22"/>
        </w:rPr>
        <w:t xml:space="preserve">ADR-068 - Scope Model (scopes determine tier for authenticated requests)</w:t>
      </w:r>
    </w:p>
    <w:p>
      <w:pPr>
        <w:pStyle w:val="ListParagraph"/>
        <w:numPr>
          <w:ilvl w:val="0"/>
          <w:numId w:val="1"/>
        </w:numPr>
        <w:spacing w:after="60" w:line="312"/>
        <w:ind w:left="720" w:hanging="360"/>
      </w:pPr>
      <w:r>
        <w:rPr>
          <w:rFonts w:ascii="Inter" w:eastAsia="Inter"/>
          <w:color w:val="1E293B"/>
          <w:sz w:val="22"/>
          <w:szCs w:val="22"/>
        </w:rPr>
        <w:t xml:space="preserve">ADR-086 - Audit Trail (429 events audit-logged)</w:t>
      </w:r>
    </w:p>
    <w:p>
      <w:pPr>
        <w:pStyle w:val="ListParagraph"/>
        <w:numPr>
          <w:ilvl w:val="0"/>
          <w:numId w:val="1"/>
        </w:numPr>
        <w:spacing w:after="60" w:line="312"/>
        <w:ind w:left="720" w:hanging="360"/>
      </w:pPr>
      <w:r>
        <w:rPr>
          <w:rFonts w:ascii="Inter" w:eastAsia="Inter"/>
          <w:color w:val="1E293B"/>
          <w:sz w:val="22"/>
          <w:szCs w:val="22"/>
        </w:rPr>
        <w:t xml:space="preserve">ADR-088 - Security Monitoring (429 anomalies detected)</w:t>
      </w:r>
    </w:p>
    <w:p>
      <w:pPr>
        <w:pStyle w:val="ListParagraph"/>
        <w:numPr>
          <w:ilvl w:val="0"/>
          <w:numId w:val="1"/>
        </w:numPr>
        <w:spacing w:after="60" w:line="312"/>
        <w:ind w:left="720" w:hanging="360"/>
      </w:pPr>
      <w:r>
        <w:rPr>
          <w:rFonts w:ascii="Inter" w:eastAsia="Inter"/>
          <w:color w:val="1E293B"/>
          <w:sz w:val="22"/>
          <w:szCs w:val="22"/>
        </w:rPr>
        <w:t xml:space="preserve">ADR-038 - Configuration Service (per-tenant overrides)</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RFC 7231 - Hypertext Transfer Protocol (HTTP/1.1): Semantics and Content, Section 6.5.11 (429). IETF. 2014.</w:t>
      </w:r>
    </w:p>
    <w:p>
      <w:pPr>
        <w:pStyle w:val="ListParagraph"/>
        <w:numPr>
          <w:ilvl w:val="0"/>
          <w:numId w:val="1"/>
        </w:numPr>
        <w:spacing w:after="60" w:line="312"/>
        <w:ind w:left="720" w:hanging="360"/>
      </w:pPr>
      <w:r>
        <w:rPr>
          <w:rFonts w:ascii="Inter" w:eastAsia="Inter"/>
          <w:color w:val="1E293B"/>
          <w:sz w:val="22"/>
          <w:szCs w:val="22"/>
        </w:rPr>
        <w:t xml:space="preserve">Redis Documentation - Atomic Operations with Lua. Redis Labs. 2024.</w:t>
      </w:r>
    </w:p>
    <w:p>
      <w:pPr>
        <w:pStyle w:val="ListParagraph"/>
        <w:numPr>
          <w:ilvl w:val="0"/>
          <w:numId w:val="1"/>
        </w:numPr>
        <w:spacing w:after="60" w:line="312"/>
        <w:ind w:left="720" w:hanging="360"/>
      </w:pPr>
      <w:r>
        <w:rPr>
          <w:rFonts w:ascii="Inter" w:eastAsia="Inter"/>
          <w:color w:val="1E293B"/>
          <w:sz w:val="22"/>
          <w:szCs w:val="22"/>
        </w:rPr>
        <w:t xml:space="preserve">Cloudflare - Understanding Rate Limiting. Cloudflare. 2024.</w:t>
      </w:r>
    </w:p>
    <w:p>
      <w:pPr>
        <w:pStyle w:val="ListParagraph"/>
        <w:numPr>
          <w:ilvl w:val="0"/>
          <w:numId w:val="1"/>
        </w:numPr>
        <w:spacing w:after="60" w:line="312"/>
        <w:ind w:left="720" w:hanging="360"/>
      </w:pPr>
      <w:r>
        <w:rPr>
          <w:rFonts w:ascii="Inter" w:eastAsia="Inter"/>
          <w:color w:val="1E293B"/>
          <w:sz w:val="22"/>
          <w:szCs w:val="22"/>
        </w:rPr>
        <w:t xml:space="preserve">OWASP - Denial of Service Cheat Sheet. OWASP. 2024.</w:t>
      </w:r>
    </w:p>
    <w:p>
      <w:pPr>
        <w:pStyle w:val="ListParagraph"/>
        <w:numPr>
          <w:ilvl w:val="0"/>
          <w:numId w:val="1"/>
        </w:numPr>
        <w:spacing w:after="60" w:line="312"/>
        <w:ind w:left="720" w:hanging="360"/>
      </w:pPr>
      <w:r>
        <w:rPr>
          <w:rFonts w:ascii="Inter" w:eastAsia="Inter"/>
          <w:color w:val="1E293B"/>
          <w:sz w:val="22"/>
          <w:szCs w:val="22"/>
        </w:rPr>
        <w:t xml:space="preserve">PreOne Engineering Handbook, Section 4.20 - Rate Limiting. Internal. 2025.</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2025-08-01</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Platform Security Architect</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options enumerated; consultation with security and engineering teams</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2025-09-17</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Platform Security Architect</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Architecture Review Board after cross-team review</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2025-10-15</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published to architecture repository</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2026-07-15</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cross-references to Vol 1-3 ADRs added; 34-section template applied</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Platform Security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Authentication Platform Lead</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Architecture Review Board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ADR published to architecture repository (Done)</w:t>
      </w:r>
    </w:p>
    <w:p>
      <w:pPr>
        <w:pStyle w:val="ListParagraph"/>
        <w:numPr>
          <w:ilvl w:val="0"/>
          <w:numId w:val="1"/>
        </w:numPr>
        <w:spacing w:after="60" w:line="312"/>
        <w:ind w:left="720" w:hanging="360"/>
      </w:pPr>
      <w:r>
        <w:rPr>
          <w:rFonts w:ascii="Inter" w:eastAsia="Inter"/>
          <w:color w:val="1E293B"/>
          <w:sz w:val="22"/>
          <w:szCs w:val="22"/>
        </w:rPr>
        <w:t xml:space="preserve">Cross-references to upstream/downstream artefacts added (Done)</w:t>
      </w:r>
    </w:p>
    <w:p>
      <w:pPr>
        <w:pStyle w:val="ListParagraph"/>
        <w:numPr>
          <w:ilvl w:val="0"/>
          <w:numId w:val="1"/>
        </w:numPr>
        <w:spacing w:after="60" w:line="312"/>
        <w:ind w:left="720" w:hanging="360"/>
      </w:pPr>
      <w:r>
        <w:rPr>
          <w:rFonts w:ascii="Inter" w:eastAsia="Inter"/>
          <w:color w:val="1E293B"/>
          <w:sz w:val="22"/>
          <w:szCs w:val="22"/>
        </w:rPr>
        <w:t xml:space="preserve">Security team briefed in monthly architecture sync (Done)</w:t>
      </w:r>
    </w:p>
    <w:p>
      <w:pPr>
        <w:pStyle w:val="ListParagraph"/>
        <w:numPr>
          <w:ilvl w:val="0"/>
          <w:numId w:val="1"/>
        </w:numPr>
        <w:spacing w:after="60" w:line="312"/>
        <w:ind w:left="720" w:hanging="360"/>
      </w:pPr>
      <w:r>
        <w:rPr>
          <w:rFonts w:ascii="Inter" w:eastAsia="Inter"/>
          <w:color w:val="1E293B"/>
          <w:sz w:val="22"/>
          <w:szCs w:val="22"/>
        </w:rPr>
        <w:t xml:space="preserve">Code review checklist updated to enforce this ADR (Done)</w:t>
      </w:r>
    </w:p>
    <w:p>
      <w:pPr>
        <w:pStyle w:val="ListParagraph"/>
        <w:numPr>
          <w:ilvl w:val="0"/>
          <w:numId w:val="1"/>
        </w:numPr>
        <w:spacing w:after="60" w:line="312"/>
        <w:ind w:left="720" w:hanging="360"/>
      </w:pPr>
      <w:r>
        <w:rPr>
          <w:rFonts w:ascii="Inter" w:eastAsia="Inter"/>
          <w:color w:val="1E293B"/>
          <w:sz w:val="22"/>
          <w:szCs w:val="22"/>
        </w:rPr>
        <w:t xml:space="preserve">On-call runbook updated with operational procedures (Done)</w:t>
      </w:r>
    </w:p>
    <w:p>
      <w:pPr>
        <w:pStyle w:val="ListParagraph"/>
        <w:numPr>
          <w:ilvl w:val="0"/>
          <w:numId w:val="1"/>
        </w:numPr>
        <w:spacing w:after="60" w:line="312"/>
        <w:ind w:left="720" w:hanging="360"/>
      </w:pPr>
      <w:r>
        <w:rPr>
          <w:rFonts w:ascii="Inter" w:eastAsia="Inter"/>
          <w:color w:val="1E293B"/>
          <w:sz w:val="22"/>
          <w:szCs w:val="22"/>
        </w:rPr>
        <w:t xml:space="preserve">Redis-backed rate limiter deployed (Done)</w:t>
      </w:r>
    </w:p>
    <w:p>
      <w:pPr>
        <w:pStyle w:val="ListParagraph"/>
        <w:numPr>
          <w:ilvl w:val="0"/>
          <w:numId w:val="1"/>
        </w:numPr>
        <w:spacing w:after="60" w:line="312"/>
        <w:ind w:left="720" w:hanging="360"/>
      </w:pPr>
      <w:r>
        <w:rPr>
          <w:rFonts w:ascii="Inter" w:eastAsia="Inter"/>
          <w:color w:val="1E293B"/>
          <w:sz w:val="22"/>
          <w:szCs w:val="22"/>
        </w:rPr>
        <w:t xml:space="preserve">Tiered limits (login 10/min, API 1000/min, export 10/hr) (Done)</w:t>
      </w:r>
    </w:p>
    <w:p>
      <w:pPr>
        <w:pStyle w:val="ListParagraph"/>
        <w:numPr>
          <w:ilvl w:val="0"/>
          <w:numId w:val="1"/>
        </w:numPr>
        <w:spacing w:after="60" w:line="312"/>
        <w:ind w:left="720" w:hanging="360"/>
      </w:pPr>
      <w:r>
        <w:rPr>
          <w:rFonts w:ascii="Inter" w:eastAsia="Inter"/>
          <w:color w:val="1E293B"/>
          <w:sz w:val="22"/>
          <w:szCs w:val="22"/>
        </w:rPr>
        <w:t xml:space="preserve">Rate limit headers in API responses (Done)</w:t>
      </w:r>
    </w:p>
    <w:p>
      <w:pPr>
        <w:pStyle w:val="ListParagraph"/>
        <w:numPr>
          <w:ilvl w:val="0"/>
          <w:numId w:val="1"/>
        </w:numPr>
        <w:spacing w:after="60" w:line="312"/>
        <w:ind w:left="720" w:hanging="360"/>
      </w:pPr>
      <w:r>
        <w:rPr>
          <w:rFonts w:ascii="Inter" w:eastAsia="Inter"/>
          <w:color w:val="1E293B"/>
          <w:sz w:val="22"/>
          <w:szCs w:val="22"/>
        </w:rPr>
        <w:t xml:space="preserve">API client SDK with exponential backoff (Done)</w:t>
      </w:r>
    </w:p>
    <w:p>
      <w:pPr>
        <w:pStyle w:val="ListParagraph"/>
        <w:numPr>
          <w:ilvl w:val="0"/>
          <w:numId w:val="1"/>
        </w:numPr>
        <w:spacing w:after="60" w:line="312"/>
        <w:ind w:left="720" w:hanging="360"/>
      </w:pPr>
      <w:r>
        <w:rPr>
          <w:rFonts w:ascii="Inter" w:eastAsia="Inter"/>
          <w:color w:val="1E293B"/>
          <w:sz w:val="22"/>
          <w:szCs w:val="22"/>
        </w:rPr>
        <w:t xml:space="preserve">Rate Limit Activity dashboard (Done)</w:t>
      </w:r>
    </w:p>
    <w:p>
      <w:pPr>
        <w:pStyle w:val="ListParagraph"/>
        <w:numPr>
          <w:ilvl w:val="0"/>
          <w:numId w:val="1"/>
        </w:numPr>
        <w:spacing w:after="60" w:line="312"/>
        <w:ind w:left="720" w:hanging="360"/>
      </w:pPr>
      <w:r>
        <w:rPr>
          <w:rFonts w:ascii="Inter" w:eastAsia="Inter"/>
          <w:color w:val="1E293B"/>
          <w:sz w:val="22"/>
          <w:szCs w:val="22"/>
        </w:rPr>
        <w:t xml:space="preserve">Quarterly rate-limit tuning review (Scheduled)</w:t>
      </w:r>
    </w:p>
    <w:p>
      <w:pPr>
        <w:spacing w:after="60" w:before="360" w:line="280"/>
      </w:pPr>
      <w:r>
        <w:rPr>
          <w:rFonts w:ascii="Inter" w:eastAsia="Inter"/>
          <w:b/>
          <w:bCs/>
          <w:color w:val="4F46E5"/>
          <w:spacing w:val="60"/>
          <w:sz w:val="22"/>
          <w:szCs w:val="22"/>
        </w:rPr>
        <w:t xml:space="preserve">ADR-081</w:t>
      </w:r>
    </w:p>
    <w:p>
      <w:pPr>
        <w:pStyle w:val="Heading1"/>
        <w:spacing w:after="200" w:before="60" w:line="312"/>
      </w:pPr>
      <w:r>
        <w:rPr>
          <w:rFonts w:ascii="Inter" w:eastAsia="Inter"/>
          <w:b/>
          <w:bCs/>
          <w:color w:val="0F172A"/>
          <w:sz w:val="36"/>
          <w:szCs w:val="36"/>
        </w:rPr>
        <w:t xml:space="preserve">Security Headers</w:t>
      </w:r>
    </w:p>
    <w:p>
      <w:pPr>
        <w:spacing w:after="120" w:line="280"/>
      </w:pPr>
      <w:r>
        <w:rPr>
          <w:rFonts w:ascii="Inter" w:eastAsia="Inter"/>
          <w:color w:val="64748B"/>
          <w:sz w:val="20"/>
          <w:szCs w:val="20"/>
        </w:rPr>
        <w:t xml:space="preserve">Volume 4 — Security Architecture  -  </w:t>
      </w:r>
      <w:r>
        <w:rPr>
          <w:rFonts w:ascii="Inter" w:eastAsia="Inter"/>
          <w:color w:val="64748B"/>
          <w:sz w:val="20"/>
          <w:szCs w:val="20"/>
        </w:rPr>
        <w:t xml:space="preserve">Identity &amp; Security</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Adopt a comprehensive security-headers policy enforced at the API gateway (per ADR-076): Content-Security-Policy (with Trusted Types, per ADR-083), Strict-Transport-Security (max-age 1 year, preload), X-Frame-Options (DENY), X-Content-Type-Options (nosniff), Referrer-Policy (strict-origin-when-cross-origin), and Permissions-Policy (restrict camera, microphone, geolocation). Headers are tenant-configurable with safe defaults.</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Platform Security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review, or on regulatory update, or on OWASP Top 10 refresh</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refreshes for series alignment and cross-references)</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The PreOne platform serves a web frontend (React SPA) and a mobile app; the web frontend is the primary attack surface for browser-based attacks. The 2025 Q3 security review found that the legacy platform sets only two security headers (X-Frame-Options: SAMEORIGIN, X-Content-Type-Options: nosniff), which leaves the platform exposed to several attacks. First, the absence of Content-Security-Policy allows XSS attacks to execute arbitrary scripts (the 2024 incident involved an XSS in the assessment-feedback widget that exfiltrated session cookies). Second, the absence of Strict-Transport-Security allows SSL stripping on the first request to a new browser. Third, the absence of Referrer-Policy leaks PII in URL parameters via the Referer header to third-party integrations.
The ARB considered four security-headers strategies. The first is the legacy strategy (two headers), which is rejected. The second is the comprehensive strategy selected here. The third is a strict CSP (no inline scripts, no eval, no external domains), which is rejected as incompatible with the legacy third-party analytics and chat widgets. The fourth is a per-page CSP (different policy per route), which is rejected as operationally complex and brittle.
This ADR defines security headers. It depends on ADR-076 (API Security) for the gateway enforcement and ADR-083 (XSS Prevention) for the CSP and Trusted Types.</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The 2026 international expansion requires security headers aligned with each regulatory regime: GDPR Article 32 recommends HSTS; DPDP does not mandate but the parental-consent flow is vulnerable to clickjacking without X-Frame-Options; COPPA does not mandate but the minor-protection expectations effectively require CSP. The comprehensive strategy satisfies all three. The business also requires that the legacy third-party widgets (analytics, chat) continue to work, which drives the per-domain allow-list in the CSP. Finally, the business requires that the headers be tenant-configurable (e.g., a tenant may allow an embedded iframe for a specific integration), which drives the per-tenant override design.</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The legacy security-headers strategy (only X-Frame-Options and X-Content-Type-Options) leaves the platform exposed to XSS, SSL stripping, and Referer leakage. PreOne needs a comprehensive security-headers policy enforced at the gateway: CSP with Trusted Types, HSTS, X-Frame-Options, X-Content-Type-Options, Referrer-Policy, and Permissions-Policy, with per-tenant overrides.</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Headers must be enforced at the API gateway (per ADR-076) for all responses, including errors.</w:t>
      </w:r>
    </w:p>
    <w:p>
      <w:pPr>
        <w:pStyle w:val="ListParagraph"/>
        <w:numPr>
          <w:ilvl w:val="0"/>
          <w:numId w:val="1"/>
        </w:numPr>
        <w:spacing w:after="60" w:line="312"/>
        <w:ind w:left="720" w:hanging="360"/>
      </w:pPr>
      <w:r>
        <w:rPr>
          <w:rFonts w:ascii="Inter" w:eastAsia="Inter"/>
          <w:color w:val="1E293B"/>
          <w:sz w:val="22"/>
          <w:szCs w:val="22"/>
        </w:rPr>
        <w:t xml:space="preserve">CSP must allow the legacy third-party widgets (analytics, chat) via a per-domain allow-list.</w:t>
      </w:r>
    </w:p>
    <w:p>
      <w:pPr>
        <w:pStyle w:val="ListParagraph"/>
        <w:numPr>
          <w:ilvl w:val="0"/>
          <w:numId w:val="1"/>
        </w:numPr>
        <w:spacing w:after="60" w:line="312"/>
        <w:ind w:left="720" w:hanging="360"/>
      </w:pPr>
      <w:r>
        <w:rPr>
          <w:rFonts w:ascii="Inter" w:eastAsia="Inter"/>
          <w:color w:val="1E293B"/>
          <w:sz w:val="22"/>
          <w:szCs w:val="22"/>
        </w:rPr>
        <w:t xml:space="preserve">HSTS must include the preload directive and be submitted to the HSTS preload list.</w:t>
      </w:r>
    </w:p>
    <w:p>
      <w:pPr>
        <w:pStyle w:val="ListParagraph"/>
        <w:numPr>
          <w:ilvl w:val="0"/>
          <w:numId w:val="1"/>
        </w:numPr>
        <w:spacing w:after="60" w:line="312"/>
        <w:ind w:left="720" w:hanging="360"/>
      </w:pPr>
      <w:r>
        <w:rPr>
          <w:rFonts w:ascii="Inter" w:eastAsia="Inter"/>
          <w:color w:val="1E293B"/>
          <w:sz w:val="22"/>
          <w:szCs w:val="22"/>
        </w:rPr>
        <w:t xml:space="preserve">Headers must be tenant-configurable (e.g., a tenant may allow a specific iframe embed).</w:t>
      </w:r>
    </w:p>
    <w:p>
      <w:pPr>
        <w:pStyle w:val="ListParagraph"/>
        <w:numPr>
          <w:ilvl w:val="0"/>
          <w:numId w:val="1"/>
        </w:numPr>
        <w:spacing w:after="60" w:line="312"/>
        <w:ind w:left="720" w:hanging="360"/>
      </w:pPr>
      <w:r>
        <w:rPr>
          <w:rFonts w:ascii="Inter" w:eastAsia="Inter"/>
          <w:color w:val="1E293B"/>
          <w:sz w:val="22"/>
          <w:szCs w:val="22"/>
        </w:rPr>
        <w:t xml:space="preserve">Header changes must be tested in staging with a CSP report-only mode before enforcement.</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The web frontend (React SPA) can be refactored to comply with a strict CSP (no inline scripts) within the migration window.</w:t>
      </w:r>
    </w:p>
    <w:p>
      <w:pPr>
        <w:pStyle w:val="ListParagraph"/>
        <w:numPr>
          <w:ilvl w:val="0"/>
          <w:numId w:val="1"/>
        </w:numPr>
        <w:spacing w:after="60" w:line="312"/>
        <w:ind w:left="720" w:hanging="360"/>
      </w:pPr>
      <w:r>
        <w:rPr>
          <w:rFonts w:ascii="Inter" w:eastAsia="Inter"/>
          <w:color w:val="1E293B"/>
          <w:sz w:val="22"/>
          <w:szCs w:val="22"/>
        </w:rPr>
        <w:t xml:space="preserve">Trusted Types (per ADR-083) are supported by all modern browsers used by PreOne principals.</w:t>
      </w:r>
    </w:p>
    <w:p>
      <w:pPr>
        <w:pStyle w:val="ListParagraph"/>
        <w:numPr>
          <w:ilvl w:val="0"/>
          <w:numId w:val="1"/>
        </w:numPr>
        <w:spacing w:after="60" w:line="312"/>
        <w:ind w:left="720" w:hanging="360"/>
      </w:pPr>
      <w:r>
        <w:rPr>
          <w:rFonts w:ascii="Inter" w:eastAsia="Inter"/>
          <w:color w:val="1E293B"/>
          <w:sz w:val="22"/>
          <w:szCs w:val="22"/>
        </w:rPr>
        <w:t xml:space="preserve">The legacy third-party widgets (analytics, chat) provide their scripts via fixed domains that can be allow-listed.</w:t>
      </w:r>
    </w:p>
    <w:p>
      <w:pPr>
        <w:pStyle w:val="ListParagraph"/>
        <w:numPr>
          <w:ilvl w:val="0"/>
          <w:numId w:val="1"/>
        </w:numPr>
        <w:spacing w:after="60" w:line="312"/>
        <w:ind w:left="720" w:hanging="360"/>
      </w:pPr>
      <w:r>
        <w:rPr>
          <w:rFonts w:ascii="Inter" w:eastAsia="Inter"/>
          <w:color w:val="1E293B"/>
          <w:sz w:val="22"/>
          <w:szCs w:val="22"/>
        </w:rPr>
        <w:t xml:space="preserve">The HSTS preload list accepts the PreOne domain (the domain must satisfy the preload requirements).</w:t>
      </w:r>
    </w:p>
    <w:p>
      <w:pPr>
        <w:pStyle w:val="ListParagraph"/>
        <w:numPr>
          <w:ilvl w:val="0"/>
          <w:numId w:val="1"/>
        </w:numPr>
        <w:spacing w:after="60" w:line="312"/>
        <w:ind w:left="720" w:hanging="360"/>
      </w:pPr>
      <w:r>
        <w:rPr>
          <w:rFonts w:ascii="Inter" w:eastAsia="Inter"/>
          <w:color w:val="1E293B"/>
          <w:sz w:val="22"/>
          <w:szCs w:val="22"/>
        </w:rPr>
        <w:t xml:space="preserve">Per-tenant overrides are configured by tenant administrators via the admin API and reviewed quarterly.</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Comprehensive: CSP + HSTS + X-Frame-Options + X-Content-Type-Options + Referrer-Policy + Permissions-Policy.</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Defends against XSS (CSP), SSL stripping (HSTS), clickjacking (X-Frame-Options), MIME sniffing (nosniff), Referer leakage (Referrer-Policy), unwanted permissions (Permissions-Policy). Tenant-configurable. CSP report-only mode for safe rollout.</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Legacy frontend refactoring required (inline scripts to nonced). HSTS preload makes HTTP rollback infeasible. Per-tenant override management overhead.</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Adopted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Legacy: X-Frame-Options + X-Content-Type-Options only.</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Simple. Two headers. No frontend refactoring. No HSTS preload commitment.</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No CSP (XSS attacks not blocked). No HSTS (SSL stripping possible). No Referrer-Policy (PII leakage). 2024 XSS incident demonstrated the gap.</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Strict CSP (no inline, no eval, no external domains).</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Strongest XSS protection. No third-party domains allowed. Simple policy.</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Incompatible with legacy third-party widgets (analytics, chat loaded from external domains). Would require replacing widgets or building in-house equivalents. Business- unacceptable.</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Per-page CSP (different policy per route).</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Fine-grained control. Each route has minimal policy. Reduces attack surface per page.</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Configuration grows with route count. Brittle (misconfiguration blocks legitimate scripts). Operationally complex. Hard to audit.</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We will adopt a comprehensive security-headers policy enforced at the API gateway (per ADR-076). The headers are: Content-Security-Policy (default-src 'self'; script-src 'self' 'nonce-{random}' https://analytics.example https://chat.example; require-trusted-types-for 'script'; trusted-types default); Strict-Transport-Security (max-age=31536000; includeSubDomains; preload); X-Frame-Options (DENY); X-Content-Type-Options (nosniff); Referrer-Policy (strict-origin-when-cross-origin); Permissions-Policy (camera=(), microphone=(), geolocation=()). The CSP includes a per-request nonce for inline scripts (allowed only with the nonce) and a per-domain allow-list for third-party widgets. Headers are tenant-configurable via the admin API, with safe defaults. CSP changes are tested in report-only mode before enforcement, with violations logged to the SIEM (per ADR-088).</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The comprehensive strategy is selected because it is the only option that simultaneously protects against XSS, SSL stripping, clickjacking, MIME sniffing, Referer leakage, and unwanted permission grants. The legacy strategy (two headers) is rejected because the absence of CSP allows XSS attacks (the 2024 incident demonstrated this), the absence of HSTS allows SSL stripping, and the absence of Referrer-Policy leaks PII in URL parameters.
The strict CSP (no inline, no eval, no external domains) was rejected as incompatible with the legacy third-party analytics and chat widgets, which are loaded via external domains and use inline scripts. The business requires that these widgets continue to work, so the CSP must allow-list their domains. The per-page CSP (different policy per route) was rejected as operationally complex and brittle: the policy configuration grows with the route count, and a misconfiguration can either block legitimate scripts (causing user friction) or allow attacks (defeating the purpose).
The CSP uses a per-request nonce for inline scripts (rather than 'unsafe-inline') because nonces provide stronger security: an attacker who can inject an inline script cannot guess the nonce, whereas 'unsafe-inline' allows any inline script. The Trusted Types directive (per ADR-083) further hardens the CSP by requiring that all DOM sinks (innerHTML, etc.) receive only Trusted Types, preventing DOM-based XSS. The third-party widget domains are allow-listed explicitly (analytics.example, chat.example); adding a new widget requires a CSP change, which is reviewed by the security team.
HSTS with preload ensures that browsers always use HTTPS for the PreOne domain, even on the first request (the preload list is built into the browser). This defeats SSL stripping attacks. The max-age of 1 year is the recommended value; the preload directive opts the domain into the HSTS preload list, which is submitted once and reviewed annually.
X-Frame-Options: DENY prevents the PreOne pages from being embedded in iframes on any other site, defeating clickjacking attacks. The Permissions-Policy restricts the camera, microphone, and geolocation APIs, preventing third-party widgets from accessing them without explicit user consent. The Referrer-Policy (strict-origin-when-cross-origin) leaks only the origin (not the full URL) to third-party domains, preventing PII leakage via URL parameters.</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SECURITY HEADERS SUBSYSTEM                   |
+-------------------------------------------------------------+
| API Gateway (per ADR-076)                                   |
|   on every response (200, 4xx, 5xx):                        |
|     set Content-Security-Policy: ...                        |
|     set Strict-Transport-Security: max-age=31536000; ...    |
|     set X-Frame-Options: DENY                               |
|     set X-Content-Type-Options: nosniff                     |
|     set Referrer-Policy: strict-origin-when-cross-origin    |
|     set Permissions-Policy: camera=(), microphone=(), ...   |
+-------------------------------------------------------------+
| Per-Tenant Overrides (configuration service, per ADR-038)   |
|   tenant_id -&gt; {csp_allow_list, x_frame_options, ...}       |
+-------------------------------------------------------------+
| CSP Report-Only Mode (staging)                              |
|   Content-Security-Policy-Report-Only: ...                  |
|   violations logged to SIEM (per ADR-088)                   |
+-------------------------------------------------------------+
| HSTS Preload List                                           |
|   submitted once; reviewed annually                         |
+-------------------------------------------------------------+</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Browser -&gt; API Gateway: GET /dashboard (HTTPS)
API Gateway -&gt; Backend: forward request
Backend -&gt; API Gateway: 200 OK {html}
API Gateway -&gt; Browser: 200 OK {html} + headers
Note over Browser: CSP enforced (blocks inline without nonce)
Note over Browser: HSTS enforced (HTTPS-only)
Note over Browser: X-Frame-Options: DENY (no iframe embed)
---
Browser -&gt; SIEM: POST /csp-report {violation}
Note over SIEM: CSP violation flagged (per ADR-088)</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ADR-081 — Security Headers  -  Component View         |
+-------------------------------------------------------------+
|                                                             |
|  +----------------+        +----------------------+         |
|  | App Service    | render | Security Filter      |         |
|  |                |-------&gt;| (sets headers /      |         |
|  +----------------+        |  validates token)    |         |
|                              +----------+-----------+         |
|                                         |                     |
|                                         | set                 |
|                                         v                     |
|  +----------------+        +----------------------+         |
|  | HTTP Response  |  add   | Headers:             |         |
|  |                |-------&gt;| CSP, HSTS, X-Frame,  |         |
|  +----------------+        | X-Content-Type, Ref |         |
|                              +----------------------+         |
|                                                             |
|  CSRF: token in header, validated server-side              |
|  CSP: strict-dynamic with nonce                            |
|  Verified by SAST rules (ADR-083)                          |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Response Header Flow:
  App -&gt; Security Filter: response object
  Security Filter -&gt; Response: add headers
    - Content-Security-Policy: strict-dynamic + nonce
    - Strict-Transport-Security: max-age=31536000
    - X-Frame-Options: DENY
    - X-Content-Type-Options: nosniff
    - Referrer-Policy: strict-origin-when-cross-origin
  Security Filter -&gt; Client: response with headers
CSRF Flow:
  App -&gt; Client: CSRF token in meta tag (session-bound)
  Client -&gt; App: POST with X-CSRF-Token header
  App -&gt; CSRF Validator: compare token
  (mismatch) App -&gt; Client: 403
  (match) App -&gt; continue processing</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No new tables are introduced. Per-tenant header overrides are stored in the configuration service (per ADR-038) and propagated to the gateway within 60 seconds. CSP violation reports are sent to the SIEM (per ADR-088) via a dedicated endpoint POST /csp-report; the reports are not stored in the application database (the SIEM is the canonical store). The HSTS preload submission is a one-time operation (the domain is added to the public HSTS preload list); no database record is required. Expected storage overhead: negligible (the per-tenant overrides are small, ~1KB per tenant).</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The security headers are transparent to the API layer: the gateway sets the headers on all responses, including errors. The only API-visible change is the CSP report endpoint (POST /csp-report), which receives CSP violation reports from browsers and forwards them to the SIEM. The gateway generates a per-request nonce for the CSP (a 128-bit random value, base64-encoded), which is included in the CSP header and in the HTML's inline scripts (the nonce attribute). The per-tenant overrides allow a tenant to add a domain to the CSP allow-list (e.g., for a custom analytics integration) or to change X-Frame-Options from DENY to ALLOW-FROM (for a specific iframe embed); these overrides are reviewed quarterly by the security team. The headers are set on all responses, including 4xx and 5xx errors.</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Security Headers are invisible to end users — they are HTTP response headers interpreted by the browser. The UI benefits from CSP (Content-Security-Policy) by blocking XSS attacks in the browser; users may see a 'This page failed to load a resource' message if a CSP-violating script is attempted (rare). HSTS forces HTTPS, so users never see an 'insecure connection' warning. The admin UI includes a 'Security Headers' verification page (admin/operations/security/headers) that displays the current headers and validates them against the expected policy — useful for SRE verification after deployments.</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The comprehensive security-headers strategy raises the browser-security floor on six dimensions. First, CSP with Trusted Types (per ADR-083) prevents XSS attacks by restricting script sources and requiring Trusted Types for DOM sinks; the 2024 XSS incident would have been blocked by this CSP. Second, HSTS with preload prevents SSL stripping on the first request to a new browser, defeating man-in-the-middle attacks. Third, X-Frame-Options: DENY prevents clickjacking attacks where the PreOne pages are embedded in a malicious iframe. Fourth, X-Content-Type-Options: nosniff prevents MIME sniffing attacks where the browser interprets a non-script resource as a script. Fifth, Referrer-Policy (strict-origin-when-cross-origin) prevents PII leakage via the Referer header to third-party domains. Sixth, Permissions-Policy restricts the camera, microphone, and geolocation APIs, preventing third-party widgets from accessing them without explicit user consent. The CSP report-only mode in staging catches CSP violations before they reach production, enabling safe CSP changes.</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The security-headers overhead is negligible: the gateway sets the headers in the response, which is an O(1) operation. The per-request nonce generation (128-bit random) is sub-millisecond. The per-tenant override lookup is cached in the gateway (5-minute TTL), so it does not add per-request latency. The CSP report endpoint (POST /csp-report) is low-traffic (only on violations) and does not affect the hot path. The HSTS preload is a browser-side check (the browser consults its built-in preload list), so it adds no server-side overhead. Total security-headers overhead: &lt;1ms p99, well within the 100ms p99 API budget. The headers add ~500 bytes to every response, which is negligible.</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The security-headers subsystem scales trivially: the gateway sets headers on every response, and the overhead is O(1) per response. At 5,000 requests per second, the nonce generation rate is 5,000/sec, well within the JVM's SecureRandom capacity. The per-tenant override configuration is small (~1KB per tenant, ~1MB total) and is cached in the gateway. The CSP report endpoint is low-traffic (only on violations, typically &lt;10 per second). The HSTS preload list is consulted browser-side, so it does not scale with the request rate. At the 5M-principal projection, no scaling issue is anticipated; the security-headers subsystem is essentially stateless and adds fixed overhead per response.</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The security-headers subsystem requires four operational artefacts. (1) A runbook for CSP changes: the security team tests the change in report-only mode in staging, reviews the violation reports, and then enforces the change in production; the runbook covers the workflow. (2) A runbook for per-tenant override requests: tenant administrators request CSP or X-Frame-Options overrides via the admin API; the runbook covers the approval workflow (security team review) and the quarterly audit. (3) A runbook for HSTS preload list maintenance: the domain is submitted once; the runbook covers the annual review and the removal procedure (which is slow, ~3 months). (4) A runbook for CSP violation investigation: the SIEM aggregates CSP violation reports; the security team reviews them weekly for patterns indicating an attack or a misconfiguration. Per-tenant overrides are propagated within 60 seconds via the configuration service.</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Strict CSP blocks legitimate inline scripts in the legacy frontend.</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Report-only mode in staging catches violations; per-request nonce allows legitimate inline scripts.</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HSTS preload makes rollback to HTTP infeasible (browsers refuse HTTP for the domain).</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Rollback to HTTP is not anticipated; HSTS preload removal procedure documented (3-month wait).</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Per-tenant CSP overrides weaken the global policy.</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Overrides are reviewed quarterly; security team approval required; audit-logged.</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Third-party widget domain change breaks the CSP allow-list.</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Widget domains are monitored; CSP changes are tested in report-only mode before enforcement.</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CSP with Trusted Types prevents XSS attacks.</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Legacy frontend refactoring required (inline scripts to nonced).</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HSTS with preload prevents SSL stripping.</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Rollback to HTTP infeasible (3-month removal wait).</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X-Frame-Options: DENY prevents clickjacking.</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Legitimate iframe embeds require per-tenant override.</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Permissions-Policy restricts sensitive APIs.</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Third-party widgets requiring camera/mic need explicit consent flow.</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The legacy strategy (only X-Frame-Options and X-Content-Type-Options) was rejected because the absence of CSP allows XSS attacks (the 2024 incident demonstrated this), the absence of HSTS allows SSL stripping, and the absence of Referrer-Policy leaks PII in URL parameters. The strict CSP (no inline, no eval, no external domains) was rejected as incompatible with the legacy third-party analytics and chat widgets, which are loaded via external domains and use inline scripts; the business requires that these widgets continue to work, so the CSP must allow-list their domains. The per-page CSP (different policy per route) was rejected as operationally complex and brittle: the policy configuration grows with the route count, and a misconfiguration can either block legitimate scripts (causing user friction) or allow attacks (defeating the purpose). 'unsafe-inline' in the CSP (rather than per-request nonces) was rejected because it provides weaker security: an attacker who can inject an inline script can execute it, whereas per-request nonces require the attacker to guess the nonce. 'unsafe-eval' in the CSP was rejected because it allows eval(), which is a common XSS vector. The comprehensive strategy with per-request nonces and a per-domain allow-list is the only one that satisfies all requirements; the full reasoning is captured in the Options Considered table.</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Migration is phased over two weeks alongside the API-gateway migration (per ADR-076). Phase 1 (days 1-3): deploy the security-headers subsystem in the gateway with CSP in report-only mode (CSP violations are logged to the SIEM but not enforced); the other headers (HSTS, X-Frame-Options, etc.) are enforced immediately. Phase 2 (days 4-7): refactor the legacy frontend to comply with the CSP (inline scripts to nonced, external scripts to allow-listed domains); this is the bulk of the migration effort. Phase 3 (days 8-10): enforce the CSP in production; monitor the SIEM for violation spikes. Phase 4 (days 11-12): submit the domain to the HSTS preload list; configure per-tenant overrides for the largest customers. Phase 5 (days 13-14): the report-only mode is removed; the legacy frontend's inline scripts (without nonces) are blocked. Rollback is possible at any point by reverting the CSP to report-only mode; the other headers (HSTS, X-Frame-Options) can be reverted individually if needed.</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The security-headers subsystem is tested at four levels. Unit tests cover the header-setting logic (correct values for each header) and the per-request nonce generation (uniqueness, length). Coverage target is 95%. Integration tests cover the gateway-to-browser flow (headers are present on all responses, including errors). End-to-end tests cover the full request path with a real browser, verifying that the CSP blocks injected scripts and that the HSTS header is honoured. Security tests cover the XSS attack (must be blocked by CSP), the clickjacking attack (must be blocked by X-Frame-Options), and the SSL stripping attack (must be blocked by HSTS). The CSP report-only mode is tested with a synthetic violation to verify that the report endpoint forwards to the SIEM. The acceptance criterion is zero CSP-bypass incidents in the post-cutover penetration test.</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Six golden signals are monitored. (1) CSP violation rate: target under 10 per minute (legitimate violations during rollout), alert above 100 (possible attack or misconfiguration). (2) Per-tenant override count: target under 10% of tenants, alert above 20% (possible default-policy issue). (3) HSTS preload list status: target 'present', alert on 'absent' (possible list removal). (4) Header-set completeness: target 100% of responses include all headers, alert on any gap (possible gateway misconfiguration). (5) Per-request nonce uniqueness: target 100%, alert on any collision (possible RNG issue). (6) CSP report endpoint latency p99: target under 100ms, alert above 500ms (possible SIEM ingestion issue). A dedicated security-headers dashboard surfaces these alongside the per-header violation distribution, the per-tenant override inventory, and the top CSP-violation sources. Anomaly detection (per ADR-088) flags unusual patterns such as a tenant-wide CSP violation burst (possible attack).</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The security-headers subsystem is expected to evolve in three directions. First, the system may adopt the Reporting API (Report-To header) for more structured violation reporting, replacing the CSP report-only endpoint; this is monitored but not planned for v1. Second, the system may add Cross-Origin Embedder Policy (COEP) and Cross-Origin Opener Policy (COOP) for defence against Spectre-class attacks; this is planned for v2 but requires careful testing because it can break cross-origin embeds. Third, the system may integrate with the CSP-evaluator tool for automated CSP policy review, catching weak policies before deployment; this is tracked as a follow-up. The trigger for revisiting this ADR is a material change in the browser security-header landscape (e.g., a new header becoming standard) or a regulatory change requiring a specific header.</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ADR-076 - API Security (headers enforced at gateway)</w:t>
      </w:r>
    </w:p>
    <w:p>
      <w:pPr>
        <w:pStyle w:val="ListParagraph"/>
        <w:numPr>
          <w:ilvl w:val="0"/>
          <w:numId w:val="1"/>
        </w:numPr>
        <w:spacing w:after="60" w:line="312"/>
        <w:ind w:left="720" w:hanging="360"/>
      </w:pPr>
      <w:r>
        <w:rPr>
          <w:rFonts w:ascii="Inter" w:eastAsia="Inter"/>
          <w:color w:val="1E293B"/>
          <w:sz w:val="22"/>
          <w:szCs w:val="22"/>
        </w:rPr>
        <w:t xml:space="preserve">ADR-077 - Encryption (HSTS complements TLS 1.3)</w:t>
      </w:r>
    </w:p>
    <w:p>
      <w:pPr>
        <w:pStyle w:val="ListParagraph"/>
        <w:numPr>
          <w:ilvl w:val="0"/>
          <w:numId w:val="1"/>
        </w:numPr>
        <w:spacing w:after="60" w:line="312"/>
        <w:ind w:left="720" w:hanging="360"/>
      </w:pPr>
      <w:r>
        <w:rPr>
          <w:rFonts w:ascii="Inter" w:eastAsia="Inter"/>
          <w:color w:val="1E293B"/>
          <w:sz w:val="22"/>
          <w:szCs w:val="22"/>
        </w:rPr>
        <w:t xml:space="preserve">ADR-083 - XSS Prevention (CSP with Trusted Types)</w:t>
      </w:r>
    </w:p>
    <w:p>
      <w:pPr>
        <w:pStyle w:val="ListParagraph"/>
        <w:numPr>
          <w:ilvl w:val="0"/>
          <w:numId w:val="1"/>
        </w:numPr>
        <w:spacing w:after="60" w:line="312"/>
        <w:ind w:left="720" w:hanging="360"/>
      </w:pPr>
      <w:r>
        <w:rPr>
          <w:rFonts w:ascii="Inter" w:eastAsia="Inter"/>
          <w:color w:val="1E293B"/>
          <w:sz w:val="22"/>
          <w:szCs w:val="22"/>
        </w:rPr>
        <w:t xml:space="preserve">ADR-082 - CSRF Strategy (SameSite cookies complement CSP)</w:t>
      </w:r>
    </w:p>
    <w:p>
      <w:pPr>
        <w:pStyle w:val="ListParagraph"/>
        <w:numPr>
          <w:ilvl w:val="0"/>
          <w:numId w:val="1"/>
        </w:numPr>
        <w:spacing w:after="60" w:line="312"/>
        <w:ind w:left="720" w:hanging="360"/>
      </w:pPr>
      <w:r>
        <w:rPr>
          <w:rFonts w:ascii="Inter" w:eastAsia="Inter"/>
          <w:color w:val="1E293B"/>
          <w:sz w:val="22"/>
          <w:szCs w:val="22"/>
        </w:rPr>
        <w:t xml:space="preserve">ADR-088 - Security Monitoring (CSP violations forwarded to SIEM)</w:t>
      </w:r>
    </w:p>
    <w:p>
      <w:pPr>
        <w:pStyle w:val="ListParagraph"/>
        <w:numPr>
          <w:ilvl w:val="0"/>
          <w:numId w:val="1"/>
        </w:numPr>
        <w:spacing w:after="60" w:line="312"/>
        <w:ind w:left="720" w:hanging="360"/>
      </w:pPr>
      <w:r>
        <w:rPr>
          <w:rFonts w:ascii="Inter" w:eastAsia="Inter"/>
          <w:color w:val="1E293B"/>
          <w:sz w:val="22"/>
          <w:szCs w:val="22"/>
        </w:rPr>
        <w:t xml:space="preserve">ADR-038 - Configuration Service (per-tenant overrides)</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OWASP - Secure Headers Project. OWASP. 2024.</w:t>
      </w:r>
    </w:p>
    <w:p>
      <w:pPr>
        <w:pStyle w:val="ListParagraph"/>
        <w:numPr>
          <w:ilvl w:val="0"/>
          <w:numId w:val="1"/>
        </w:numPr>
        <w:spacing w:after="60" w:line="312"/>
        <w:ind w:left="720" w:hanging="360"/>
      </w:pPr>
      <w:r>
        <w:rPr>
          <w:rFonts w:ascii="Inter" w:eastAsia="Inter"/>
          <w:color w:val="1E293B"/>
          <w:sz w:val="22"/>
          <w:szCs w:val="22"/>
        </w:rPr>
        <w:t xml:space="preserve">MDN - Content-Security-Policy. Mozilla. 2024.</w:t>
      </w:r>
    </w:p>
    <w:p>
      <w:pPr>
        <w:pStyle w:val="ListParagraph"/>
        <w:numPr>
          <w:ilvl w:val="0"/>
          <w:numId w:val="1"/>
        </w:numPr>
        <w:spacing w:after="60" w:line="312"/>
        <w:ind w:left="720" w:hanging="360"/>
      </w:pPr>
      <w:r>
        <w:rPr>
          <w:rFonts w:ascii="Inter" w:eastAsia="Inter"/>
          <w:color w:val="1E293B"/>
          <w:sz w:val="22"/>
          <w:szCs w:val="22"/>
        </w:rPr>
        <w:t xml:space="preserve">HSTS Preload List - hstspreload.org. Google. 2024.</w:t>
      </w:r>
    </w:p>
    <w:p>
      <w:pPr>
        <w:pStyle w:val="ListParagraph"/>
        <w:numPr>
          <w:ilvl w:val="0"/>
          <w:numId w:val="1"/>
        </w:numPr>
        <w:spacing w:after="60" w:line="312"/>
        <w:ind w:left="720" w:hanging="360"/>
      </w:pPr>
      <w:r>
        <w:rPr>
          <w:rFonts w:ascii="Inter" w:eastAsia="Inter"/>
          <w:color w:val="1E293B"/>
          <w:sz w:val="22"/>
          <w:szCs w:val="22"/>
        </w:rPr>
        <w:t xml:space="preserve">W3C - Trusted Types. W3C. 2024.</w:t>
      </w:r>
    </w:p>
    <w:p>
      <w:pPr>
        <w:pStyle w:val="ListParagraph"/>
        <w:numPr>
          <w:ilvl w:val="0"/>
          <w:numId w:val="1"/>
        </w:numPr>
        <w:spacing w:after="60" w:line="312"/>
        <w:ind w:left="720" w:hanging="360"/>
      </w:pPr>
      <w:r>
        <w:rPr>
          <w:rFonts w:ascii="Inter" w:eastAsia="Inter"/>
          <w:color w:val="1E293B"/>
          <w:sz w:val="22"/>
          <w:szCs w:val="22"/>
        </w:rPr>
        <w:t xml:space="preserve">PreOne Engineering Handbook, Section 4.21 - Security Headers. Internal. 2025.</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2025-08-01</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Platform Security Architect</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options enumerated; consultation with security and engineering teams</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2025-09-17</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Platform Security Architect</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Architecture Review Board after cross-team review</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2025-10-15</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published to architecture repository</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2026-07-15</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cross-references to Vol 1-3 ADRs added; 34-section template applied</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Platform Security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Authentication Platform Lead</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Architecture Review Board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ADR published to architecture repository (Done)</w:t>
      </w:r>
    </w:p>
    <w:p>
      <w:pPr>
        <w:pStyle w:val="ListParagraph"/>
        <w:numPr>
          <w:ilvl w:val="0"/>
          <w:numId w:val="1"/>
        </w:numPr>
        <w:spacing w:after="60" w:line="312"/>
        <w:ind w:left="720" w:hanging="360"/>
      </w:pPr>
      <w:r>
        <w:rPr>
          <w:rFonts w:ascii="Inter" w:eastAsia="Inter"/>
          <w:color w:val="1E293B"/>
          <w:sz w:val="22"/>
          <w:szCs w:val="22"/>
        </w:rPr>
        <w:t xml:space="preserve">Cross-references to upstream/downstream artefacts added (Done)</w:t>
      </w:r>
    </w:p>
    <w:p>
      <w:pPr>
        <w:pStyle w:val="ListParagraph"/>
        <w:numPr>
          <w:ilvl w:val="0"/>
          <w:numId w:val="1"/>
        </w:numPr>
        <w:spacing w:after="60" w:line="312"/>
        <w:ind w:left="720" w:hanging="360"/>
      </w:pPr>
      <w:r>
        <w:rPr>
          <w:rFonts w:ascii="Inter" w:eastAsia="Inter"/>
          <w:color w:val="1E293B"/>
          <w:sz w:val="22"/>
          <w:szCs w:val="22"/>
        </w:rPr>
        <w:t xml:space="preserve">Security team briefed in monthly architecture sync (Done)</w:t>
      </w:r>
    </w:p>
    <w:p>
      <w:pPr>
        <w:pStyle w:val="ListParagraph"/>
        <w:numPr>
          <w:ilvl w:val="0"/>
          <w:numId w:val="1"/>
        </w:numPr>
        <w:spacing w:after="60" w:line="312"/>
        <w:ind w:left="720" w:hanging="360"/>
      </w:pPr>
      <w:r>
        <w:rPr>
          <w:rFonts w:ascii="Inter" w:eastAsia="Inter"/>
          <w:color w:val="1E293B"/>
          <w:sz w:val="22"/>
          <w:szCs w:val="22"/>
        </w:rPr>
        <w:t xml:space="preserve">Code review checklist updated to enforce this ADR (Done)</w:t>
      </w:r>
    </w:p>
    <w:p>
      <w:pPr>
        <w:pStyle w:val="ListParagraph"/>
        <w:numPr>
          <w:ilvl w:val="0"/>
          <w:numId w:val="1"/>
        </w:numPr>
        <w:spacing w:after="60" w:line="312"/>
        <w:ind w:left="720" w:hanging="360"/>
      </w:pPr>
      <w:r>
        <w:rPr>
          <w:rFonts w:ascii="Inter" w:eastAsia="Inter"/>
          <w:color w:val="1E293B"/>
          <w:sz w:val="22"/>
          <w:szCs w:val="22"/>
        </w:rPr>
        <w:t xml:space="preserve">On-call runbook updated with operational procedures (Done)</w:t>
      </w:r>
    </w:p>
    <w:p>
      <w:pPr>
        <w:pStyle w:val="ListParagraph"/>
        <w:numPr>
          <w:ilvl w:val="0"/>
          <w:numId w:val="1"/>
        </w:numPr>
        <w:spacing w:after="60" w:line="312"/>
        <w:ind w:left="720" w:hanging="360"/>
      </w:pPr>
      <w:r>
        <w:rPr>
          <w:rFonts w:ascii="Inter" w:eastAsia="Inter"/>
          <w:color w:val="1E293B"/>
          <w:sz w:val="22"/>
          <w:szCs w:val="22"/>
        </w:rPr>
        <w:t xml:space="preserve">Security Headers filter deployed (Done)</w:t>
      </w:r>
    </w:p>
    <w:p>
      <w:pPr>
        <w:pStyle w:val="ListParagraph"/>
        <w:numPr>
          <w:ilvl w:val="0"/>
          <w:numId w:val="1"/>
        </w:numPr>
        <w:spacing w:after="60" w:line="312"/>
        <w:ind w:left="720" w:hanging="360"/>
      </w:pPr>
      <w:r>
        <w:rPr>
          <w:rFonts w:ascii="Inter" w:eastAsia="Inter"/>
          <w:color w:val="1E293B"/>
          <w:sz w:val="22"/>
          <w:szCs w:val="22"/>
        </w:rPr>
        <w:t xml:space="preserve">CSP with strict-dynamic + nonce (Done)</w:t>
      </w:r>
    </w:p>
    <w:p>
      <w:pPr>
        <w:pStyle w:val="ListParagraph"/>
        <w:numPr>
          <w:ilvl w:val="0"/>
          <w:numId w:val="1"/>
        </w:numPr>
        <w:spacing w:after="60" w:line="312"/>
        <w:ind w:left="720" w:hanging="360"/>
      </w:pPr>
      <w:r>
        <w:rPr>
          <w:rFonts w:ascii="Inter" w:eastAsia="Inter"/>
          <w:color w:val="1E293B"/>
          <w:sz w:val="22"/>
          <w:szCs w:val="22"/>
        </w:rPr>
        <w:t xml:space="preserve">HSTS, X-Frame-Options, X-Content-Type-Options, Referrer-Policy (Done)</w:t>
      </w:r>
    </w:p>
    <w:p>
      <w:pPr>
        <w:pStyle w:val="ListParagraph"/>
        <w:numPr>
          <w:ilvl w:val="0"/>
          <w:numId w:val="1"/>
        </w:numPr>
        <w:spacing w:after="60" w:line="312"/>
        <w:ind w:left="720" w:hanging="360"/>
      </w:pPr>
      <w:r>
        <w:rPr>
          <w:rFonts w:ascii="Inter" w:eastAsia="Inter"/>
          <w:color w:val="1E293B"/>
          <w:sz w:val="22"/>
          <w:szCs w:val="22"/>
        </w:rPr>
        <w:t xml:space="preserve">CSRF token in meta tag + header validation (Done)</w:t>
      </w:r>
    </w:p>
    <w:p>
      <w:pPr>
        <w:pStyle w:val="ListParagraph"/>
        <w:numPr>
          <w:ilvl w:val="0"/>
          <w:numId w:val="1"/>
        </w:numPr>
        <w:spacing w:after="60" w:line="312"/>
        <w:ind w:left="720" w:hanging="360"/>
      </w:pPr>
      <w:r>
        <w:rPr>
          <w:rFonts w:ascii="Inter" w:eastAsia="Inter"/>
          <w:color w:val="1E293B"/>
          <w:sz w:val="22"/>
          <w:szCs w:val="22"/>
        </w:rPr>
        <w:t xml:space="preserve">SameSite=Strict cookies (Done)</w:t>
      </w:r>
    </w:p>
    <w:p>
      <w:pPr>
        <w:pStyle w:val="ListParagraph"/>
        <w:numPr>
          <w:ilvl w:val="0"/>
          <w:numId w:val="1"/>
        </w:numPr>
        <w:spacing w:after="60" w:line="312"/>
        <w:ind w:left="720" w:hanging="360"/>
      </w:pPr>
      <w:r>
        <w:rPr>
          <w:rFonts w:ascii="Inter" w:eastAsia="Inter"/>
          <w:color w:val="1E293B"/>
          <w:sz w:val="22"/>
          <w:szCs w:val="22"/>
        </w:rPr>
        <w:t xml:space="preserve">Quarterly security-header verification (Scheduled)</w:t>
      </w:r>
    </w:p>
    <w:p>
      <w:pPr>
        <w:spacing w:after="60" w:before="360" w:line="280"/>
      </w:pPr>
      <w:r>
        <w:rPr>
          <w:rFonts w:ascii="Inter" w:eastAsia="Inter"/>
          <w:b/>
          <w:bCs/>
          <w:color w:val="4F46E5"/>
          <w:spacing w:val="60"/>
          <w:sz w:val="22"/>
          <w:szCs w:val="22"/>
        </w:rPr>
        <w:t xml:space="preserve">ADR-082</w:t>
      </w:r>
    </w:p>
    <w:p>
      <w:pPr>
        <w:pStyle w:val="Heading1"/>
        <w:spacing w:after="200" w:before="60" w:line="312"/>
      </w:pPr>
      <w:r>
        <w:rPr>
          <w:rFonts w:ascii="Inter" w:eastAsia="Inter"/>
          <w:b/>
          <w:bCs/>
          <w:color w:val="0F172A"/>
          <w:sz w:val="36"/>
          <w:szCs w:val="36"/>
        </w:rPr>
        <w:t xml:space="preserve">CSRF Strategy</w:t>
      </w:r>
    </w:p>
    <w:p>
      <w:pPr>
        <w:spacing w:after="120" w:line="280"/>
      </w:pPr>
      <w:r>
        <w:rPr>
          <w:rFonts w:ascii="Inter" w:eastAsia="Inter"/>
          <w:color w:val="64748B"/>
          <w:sz w:val="20"/>
          <w:szCs w:val="20"/>
        </w:rPr>
        <w:t xml:space="preserve">Volume 4 — Security Architecture  -  </w:t>
      </w:r>
      <w:r>
        <w:rPr>
          <w:rFonts w:ascii="Inter" w:eastAsia="Inter"/>
          <w:color w:val="64748B"/>
          <w:sz w:val="20"/>
          <w:szCs w:val="20"/>
        </w:rPr>
        <w:t xml:space="preserve">Identity &amp; Security</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Adopt a dual-layer CSRF defence: SameSite=Lax cookies for all session cookies (the primary defence) and a double-submit cookie token for state-changing requests (the secondary defence). The double-submit token is a per-session random value stored in a cookie and submitted as a header on every state-changing request, verified server-side. CORS is configured restrictively to complement the strategy.</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Platform Security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review, or on regulatory update, or on OWASP Top 10 refresh</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refreshes for series alignment and cross-references)</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The PreOne platform uses cookie-based session authentication for the web frontend (the mobile app uses bearer JWTs, which are not vulnerable to CSRF). The 2025 Q3 security review found that the legacy platform relies solely on a CSRF token in a meta tag (synchroniser-token pattern), which is insufficient on three grounds. First, the token is stored in a meta tag, which is accessible to XSS (an attacker who can run JavaScript can read the token and forge a request). Second, the token is per-session, not per-request, so a stolen token is valid for the session duration. Third, the legacy cookies do not set SameSite, leaving them vulnerable to cross-site request forgery in browsers that do not enforce SameSite=Lax by default.
The ARB considered four CSRF strategies. The first is the legacy strategy (synchroniser-token in meta tag, no SameSite), which is rejected. The second is the dual-layer strategy selected here (SameSite=Lax + double-submit cookie). The third is SameSite=Strict only (no double-submit), which is rejected as breaking legitimate cross-site navigation (e.g., a teacher clicking a link from an email to a specific student record). The fourth is the synchroniser-token pattern with per-request tokens, which is rejected as operationally complex and still vulnerable to XSS.
This ADR defines the CSRF strategy. It depends on ADR-074 (Session Management) for the cookie and ADR-083 (XSS Prevention) for the CSP that prevents XSS from stealing tokens.</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The 2026 international expansion requires CSRF protection aligned with each regulatory regime: GDPR Article 32 recommends CSRF protection; DPDP does not mandate but the parental-consent flow is vulnerable to CSRF; COPPA does not mandate but the minor-protection flows are vulnerable. The dual-layer strategy satisfies all three. The business also requires that legitimate cross-site navigation (e.g., a teacher clicking a link from an email to a specific student record) continue to work, which drives the SameSite=Lax choice (rather than Strict). Finally, the business requires that the CSRF strategy be compatible with the existing cookie-based session model (per ADR-074), which rules out bearer-token-only strategies.</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The legacy CSRF strategy (synchroniser-token in meta tag, no SameSite) is vulnerable to XSS-based token theft and cross-site request forgery in non-SameSite-default browsers. PreOne needs a dual-layer CSRF strategy: SameSite=Lax cookies (primary) and a double-submit cookie token (secondary), with restrictive CORS, compatible with the cookie-based session model.</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The strategy must be compatible with the cookie-based session model (per ADR-074).</w:t>
      </w:r>
    </w:p>
    <w:p>
      <w:pPr>
        <w:pStyle w:val="ListParagraph"/>
        <w:numPr>
          <w:ilvl w:val="0"/>
          <w:numId w:val="1"/>
        </w:numPr>
        <w:spacing w:after="60" w:line="312"/>
        <w:ind w:left="720" w:hanging="360"/>
      </w:pPr>
      <w:r>
        <w:rPr>
          <w:rFonts w:ascii="Inter" w:eastAsia="Inter"/>
          <w:color w:val="1E293B"/>
          <w:sz w:val="22"/>
          <w:szCs w:val="22"/>
        </w:rPr>
        <w:t xml:space="preserve">SameSite=Lax must allow legitimate top-level navigation (GET requests from external links).</w:t>
      </w:r>
    </w:p>
    <w:p>
      <w:pPr>
        <w:pStyle w:val="ListParagraph"/>
        <w:numPr>
          <w:ilvl w:val="0"/>
          <w:numId w:val="1"/>
        </w:numPr>
        <w:spacing w:after="60" w:line="312"/>
        <w:ind w:left="720" w:hanging="360"/>
      </w:pPr>
      <w:r>
        <w:rPr>
          <w:rFonts w:ascii="Inter" w:eastAsia="Inter"/>
          <w:color w:val="1E293B"/>
          <w:sz w:val="22"/>
          <w:szCs w:val="22"/>
        </w:rPr>
        <w:t xml:space="preserve">The double-submit token must be per-session (not per-request) to avoid UX friction.</w:t>
      </w:r>
    </w:p>
    <w:p>
      <w:pPr>
        <w:pStyle w:val="ListParagraph"/>
        <w:numPr>
          <w:ilvl w:val="0"/>
          <w:numId w:val="1"/>
        </w:numPr>
        <w:spacing w:after="60" w:line="312"/>
        <w:ind w:left="720" w:hanging="360"/>
      </w:pPr>
      <w:r>
        <w:rPr>
          <w:rFonts w:ascii="Inter" w:eastAsia="Inter"/>
          <w:color w:val="1E293B"/>
          <w:sz w:val="22"/>
          <w:szCs w:val="22"/>
        </w:rPr>
        <w:t xml:space="preserve">The strategy must not block legitimate cross-origin requests from the mobile app (which uses bearer JWTs, not cookies).</w:t>
      </w:r>
    </w:p>
    <w:p>
      <w:pPr>
        <w:pStyle w:val="ListParagraph"/>
        <w:numPr>
          <w:ilvl w:val="0"/>
          <w:numId w:val="1"/>
        </w:numPr>
        <w:spacing w:after="60" w:line="312"/>
        <w:ind w:left="720" w:hanging="360"/>
      </w:pPr>
      <w:r>
        <w:rPr>
          <w:rFonts w:ascii="Inter" w:eastAsia="Inter"/>
          <w:color w:val="1E293B"/>
          <w:sz w:val="22"/>
          <w:szCs w:val="22"/>
        </w:rPr>
        <w:t xml:space="preserve">CORS must be configured to allow only the PreOne frontend origin for cookie-authenticated requests.</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Modern browsers support SameSite=Lax by default and enforce it correctly.</w:t>
      </w:r>
    </w:p>
    <w:p>
      <w:pPr>
        <w:pStyle w:val="ListParagraph"/>
        <w:numPr>
          <w:ilvl w:val="0"/>
          <w:numId w:val="1"/>
        </w:numPr>
        <w:spacing w:after="60" w:line="312"/>
        <w:ind w:left="720" w:hanging="360"/>
      </w:pPr>
      <w:r>
        <w:rPr>
          <w:rFonts w:ascii="Inter" w:eastAsia="Inter"/>
          <w:color w:val="1E293B"/>
          <w:sz w:val="22"/>
          <w:szCs w:val="22"/>
        </w:rPr>
        <w:t xml:space="preserve">The double-submit cookie pattern is sufficient for CSRF protection when combined with SameSite=Lax.</w:t>
      </w:r>
    </w:p>
    <w:p>
      <w:pPr>
        <w:pStyle w:val="ListParagraph"/>
        <w:numPr>
          <w:ilvl w:val="0"/>
          <w:numId w:val="1"/>
        </w:numPr>
        <w:spacing w:after="60" w:line="312"/>
        <w:ind w:left="720" w:hanging="360"/>
      </w:pPr>
      <w:r>
        <w:rPr>
          <w:rFonts w:ascii="Inter" w:eastAsia="Inter"/>
          <w:color w:val="1E293B"/>
          <w:sz w:val="22"/>
          <w:szCs w:val="22"/>
        </w:rPr>
        <w:t xml:space="preserve">The web frontend can be refactored to include the double-submit token header on every state-changing request.</w:t>
      </w:r>
    </w:p>
    <w:p>
      <w:pPr>
        <w:pStyle w:val="ListParagraph"/>
        <w:numPr>
          <w:ilvl w:val="0"/>
          <w:numId w:val="1"/>
        </w:numPr>
        <w:spacing w:after="60" w:line="312"/>
        <w:ind w:left="720" w:hanging="360"/>
      </w:pPr>
      <w:r>
        <w:rPr>
          <w:rFonts w:ascii="Inter" w:eastAsia="Inter"/>
          <w:color w:val="1E293B"/>
          <w:sz w:val="22"/>
          <w:szCs w:val="22"/>
        </w:rPr>
        <w:t xml:space="preserve">CORS preflight requests do not include cookies, so they are not vulnerable to CSRF.</w:t>
      </w:r>
    </w:p>
    <w:p>
      <w:pPr>
        <w:pStyle w:val="ListParagraph"/>
        <w:numPr>
          <w:ilvl w:val="0"/>
          <w:numId w:val="1"/>
        </w:numPr>
        <w:spacing w:after="60" w:line="312"/>
        <w:ind w:left="720" w:hanging="360"/>
      </w:pPr>
      <w:r>
        <w:rPr>
          <w:rFonts w:ascii="Inter" w:eastAsia="Inter"/>
          <w:color w:val="1E293B"/>
          <w:sz w:val="22"/>
          <w:szCs w:val="22"/>
        </w:rPr>
        <w:t xml:space="preserve">The mobile app uses bearer JWTs (not cookies), so it is not affected by the CSRF strategy.</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Dual-layer: SameSite=Lax + double-submit cookie + restrictive CORS.</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SameSite=Lax blocks primary CSRF vector at browser level. Double-submit provides defence in depth without server-side state. Restrictive CORS adds third layer. Compatible with cookie-based sessions.</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SameSite=Lax does not block top-level GET navigation (legitimate but reduces defence). csrf-token cookie is non-HttpOnly. Legacy browsers may not support SameSite.</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Adopted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Legacy: synchroniser-token in meta tag, no SameSite.</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Familiar. Per-session token. No SameSite compatibility concern.</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Token in meta tag accessible to XSS. No SameSite leaves cookies vulnerable in older browsers. Per-session token valid for session duration. Requires server-side state.</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SameSite=Strict only (no double-submit).</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Strongest SameSite protection. No double-submit cookie complexity. Stateless.</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Breaks legitimate cross-site navigation (teacher clicking email link must re-login). Unacceptable UX. Business-unacceptable.</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Synchroniser-token with per-request tokens.</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Strongest token protection. Per-request token expires after use. Defence in depth.</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Operationally complex (server-side token store, refresh mechanism). Still vulnerable to XSS (attacker reads current token, forges request in window). Not significantly stronger than double-submit with SameSite=Lax.</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We will adopt a dual-layer CSRF defence. (1) SameSite=Lax cookies: all session cookies (per ADR-074) are set with SameSite=Lax, Secure, and HttpOnly, which prevents the cookie from being sent on cross-site POST requests (the primary CSRF defence) while allowing legitimate top-level GET navigation. (2) Double-submit cookie token: a per-session random value (128-bit, base64-encoded) is stored in a non-HttpOnly cookie (csrf-token) and submitted as a header (X-CSRF-Token) on every state-changing request (POST, PUT, PATCH, DELETE); the server verifies that the cookie value matches the header value. (3) Restrictive CORS: the Access-Control-Allow-Origin header is set only for the PreOne frontend origin, and Access-Control-Allow-Credentials is true, preventing cross-origin cookie-authenticated requests from other origins.</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The dual-layer strategy is selected because it is the only option that simultaneously provides strong CSRF protection, preserves legitimate cross-site navigation, and is compatible with the cookie-based session model. The legacy strategy (synchroniser-token in meta tag, no SameSite) is rejected on three grounds. First, the token in a meta tag is accessible to XSS: an attacker who can run JavaScript (e.g., via the 2024 XSS incident) can read the token and forge a state-changing request. Second, the absence of SameSite leaves the cookies vulnerable to CSRF in browsers that do not enforce SameSite=Lax by default (older browsers, some embedded webviews). Third, the synchroniser-token pattern requires server-side state (the token must be stored and validated), which adds operational complexity.
SameSite=Strict only (no double-submit) was rejected as breaking legitimate cross-site navigation: a teacher clicking a link from an email to a specific student record would not send the session cookie (Strict blocks all cross-site requests), requiring a re-login. SameSite=Lax allows top-level GET navigation (the cookie is sent), which is the correct trade-off. The double-submit cookie provides defence in depth: even if a future browser bug weakens SameSite enforcement, the double-submit token still prevents CSRF (the attacker cannot read the token from the victim's browser due to the same-origin policy).
The synchroniser-token pattern with per-request tokens was rejected as operationally complex and still vulnerable to XSS: per-request tokens require server-side state (a token store) and a token-refresh mechanism, and they do not solve the XSS problem (an XSS can read the current token and forge a request within the request window). The double-submit cookie is preferred because it is stateless (no server-side token store) and provides equivalent protection when combined with SameSite=Lax.
The double-submit cookie is set as a non-HttpOnly cookie (so the frontend JavaScript can read it and submit it as a header) but with SameSite=Lax (so it is not sent on cross-site POST requests). The server verifies that the X-CSRF-Token header matches the csrf-token cookie; if they match, the request is authenticated. An attacker on a different origin cannot read the csrf-token cookie (same-origin policy) and cannot set the X-CSRF-Token header to match (they don't know the value), so the CSRF attack is blocked. The restrictive CORS configuration (only the PreOne frontend origin is allowed for cookie-authenticated requests) provides a third layer of defence.</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CSRF STRATEGY SUBSYSTEM                    |
+-------------------------------------------------------------+
| LAYER 1: SameSite=Lax Cookies (primary)                    |
|   Set-Cookie: session=...; SameSite=Lax; Secure; HttpOnly  |
|   - blocks cross-site POST (CSRF defence)                   |
|   - allows top-level GET navigation (legitimate)            |
+-------------------------------------------------------------+
| LAYER 2: Double-Submit Cookie Token (secondary)             |
|   Set-Cookie: csrf-token={random}; SameSite=Lax; Secure     |
|   - non-HttpOnly (frontend JS can read)                     |
|   - frontend submits X-CSRF-Token: {csrf-token} header      |
|   - server verifies header == cookie                        |
+-------------------------------------------------------------+
| LAYER 3: Restrictive CORS (complementary)                   |
|   Access-Control-Allow-Origin: https://app.preone.example   |
|   Access-Control-Allow-Credentials: true                    |
|   - blocks cross-origin cookie-authenticated requests       |
+-------------------------------------------------------------+
| State-Changing Request (POST/PUT/PATCH/DELETE)              |
|   1. SameSite=Lax blocks cross-site POST (cookie not sent)  |
|   2. double-submit: X-CSRF-Token header must match cookie   |
|   3. CORS: only PreOne origin allowed for credentialed      |
+-------------------------------------------------------------+</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Browser -&gt; Frontend: load app
Frontend -&gt; Browser: read csrf-token cookie
Browser -&gt; API Gateway: POST /resource (Cookie: session, csrf-token; X-CSRF-Token: {csrf-token})
API Gateway -&gt; CSRF Verifier: X-CSRF-Token == csrf-token cookie?
CSRF Verifier -&gt; API Gateway: match (valid)
API Gateway -&gt; Backend: forward request
Backend -&gt; API Gateway: 200 OK
API Gateway -&gt; Browser: 200 OK
---
Attacker -&gt; Browser: POST /resource (cross-site, no X-CSRF-Token)
Browser -&gt; API Gateway: POST (Cookie: session? - SameSite=Lax blocks)
Note over API Gateway: cookie not sent (SameSite=Lax); request unauthenticated
API Gateway -&gt; Attacker: 401 Unauthorized</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ADR-082 — CSRF Strategy  -  Component View         |
+-------------------------------------------------------------+
|                                                             |
|  +----------------+        +----------------------+         |
|  | App Service    | render | Security Filter      |         |
|  |                |-------&gt;| (sets headers /      |         |
|  +----------------+        |  validates token)    |         |
|                              +----------+-----------+         |
|                                         |                     |
|                                         | set                 |
|                                         v                     |
|  +----------------+        +----------------------+         |
|  | HTTP Response  |  add   | Headers:             |         |
|  |                |-------&gt;| CSP, HSTS, X-Frame,  |         |
|  +----------------+        | X-Content-Type, Ref |         |
|                              +----------------------+         |
|                                                             |
|  CSRF: token in header, validated server-side              |
|  CSP: strict-dynamic with nonce                            |
|  Verified by SAST rules (ADR-083)                          |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Response Header Flow:
  App -&gt; Security Filter: response object
  Security Filter -&gt; Response: add headers
    - Content-Security-Policy: strict-dynamic + nonce
    - Strict-Transport-Security: max-age=31536000
    - X-Frame-Options: DENY
    - X-Content-Type-Options: nosniff
    - Referrer-Policy: strict-origin-when-cross-origin
  Security Filter -&gt; Client: response with headers
CSRF Flow:
  App -&gt; Client: CSRF token in meta tag (session-bound)
  Client -&gt; App: POST with X-CSRF-Token header
  App -&gt; CSRF Validator: compare token
  (mismatch) App -&gt; Client: 403
  (match) App -&gt; continue processing</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No new tables are introduced. The CSRF token is stored entirely in the cookie (no server-side token store); the server verifies the header-cookie match statelessly. The session cookie (per ADR-074) is updated to include SameSite=Lax; this is a configuration change, not a schema change. Audit logs of CSRF-rejected requests (where the header-cookie match fails) are written to audit_trail per ADR-086. Expected storage overhead: negligible (the CSRF token is ~20 bytes per session, stored in the cookie). The legacy synchroniser-token table (legacy_csrf_tokens) is dropped after migration.</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All state-changing endpoints (POST, PUT, PATCH, DELETE) require the X-CSRF-Token header; GET, HEAD, and OPTIONS do not (they are not state-changing). The gateway (per ADR-076) verifies the header-cookie match before forwarding to the backend; on mismatch, it returns 403 Forbidden with a clear error message. The frontend (React SPA) is updated to include the X-CSRF-Token header on every state-changing request, reading the value from the csrf-token cookie. The CORS configuration (Access-Control-Allow-Origin) is set only for the PreOne frontend origin; cross-origin requests from other origins are rejected. The mobile app (which uses bearer JWTs, not cookies) is unaffected: the CSRF check is skipped for bearer-JWT-authenticated requests.</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CSRF protection is invisible to end users — the CSRF token is embedded in a meta tag and sent as a header on every POST/PUT/DELETE. If the token is missing or mismatched (e.g., a malicious site submits a form), the user sees a 'Your session has expired. Please refresh and try again.' message. The UI was updated in 2025 to use SameSite=Strict cookies for session, which provides additional CSRF protection at the browser level. The login flow uses double-submit CSRF tokens (token in both cookie and header) to prevent login CSRF attacks.</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The dual-layer strategy raises the CSRF security floor on three dimensions. First, SameSite=Lax blocks the primary CSRF vector (cross-site POST requests) at the browser level, without relying on application-layer checks. Second, the double-submit cookie provides defence in depth: even if a future browser bug weakens SameSite enforcement, the double-submit token still prevents CSRF (the attacker cannot read the token from the victim's browser due to the same-origin policy). Third, the restrictive CORS configuration blocks cross-origin cookie-authenticated requests from other origins, providing a third layer. The 2024 XSS incident would not have been able to forge a CSRF request under this strategy: even though the XSS could read the csrf-token cookie (it is non-HttpOnly), the XSS is already running in the victim's browser, so the forged request would be a same-origin request (not a CSRF attack); the XSS defence is handled by CSP and Trusted Types (per ADR-083). The strategy is compatible with the cookie-based session model (per ADR-074) and does not require bearer-token-only authentication.</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The CSRF check is O(1) (string comparison of the header and cookie values) and adds negligible latency (&lt;0.1ms). The CORS preflight (OPTIONS) request adds one round-trip for cross-origin state-changing requests, but this is a browser-side cost, not a server-side cost. The SameSite=Lax attribute is a browser-side enforcement, adding no server-side overhead. The double-submit cookie adds ~20 bytes to every response (the Set-Cookie header), which is negligible. Total CSRF-strategy overhead: &lt;1ms p99, well within the 100ms p99 API budget. The strategy does not require any server-side state, so it scales trivially.</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The CSRF-strategy subsystem scales trivially: the header-cookie check is O(1) and stateless, so it adds fixed overhead per request. At 5,000 requests per second, the CSRF check rate is ~1,000/sec (state-changing requests are ~20% of traffic), well within the gateway's capacity. The CORS configuration is static (set once at gateway startup). The double-submit cookie is set once per session (on login) and read on every state-changing request, so it does not add per-request server-side work. At the 5M-principal projection, no scaling issue is anticipated; the CSRF-strategy subsystem is essentially stateless and adds fixed overhead per request.</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The CSRF-strategy subsystem requires three operational artefacts. (1) A runbook for CORS configuration changes: adding a new frontend origin requires a CORS update; the runbook covers the security review and the propagation. (2) A runbook for CSRF-rejected request investigation: the SIEM aggregates CSRF-rejected requests (where the header-cookie match fails); the security team reviews them weekly for patterns indicating an attack or a misconfiguration. (3) A runbook for SameSite policy review: the SameSite=Lax choice is reviewed annually as browser defaults evolve; the runbook covers the review and the potential upgrade to SameSite=Strict for high-security tenants. Per-tenant SameSite overrides are not supported (the SameSite policy is global); per-tenant CORS overrides are supported for tenants with custom frontend domains.</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SameSite=Lax does not block top-level GET navigation, leaving GET-based state-changing endpoints vulnerable.</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GET endpoints are non-state-changing by convention (per ADR-091); the double-submit token provides defence in depth.</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XSS can read the csrf-token cookie (non-HttpOnly) and forge a same-origin request.</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CSP and Trusted Types (per ADR-083) prevent XSS; the XSS defence is the primary control.</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CORS misconfiguration allows a cross-origin cookie-authenticated request.</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CORS configuration is version-controlled; quarterly audit; automated conformance test.</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Legacy browsers do not support SameSite=Lax.</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The double-submit token provides defence in depth for legacy browsers; supported-browser policy documented.</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SameSite=Lax blocks the primary CSRF vector at the browser level.</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Top-level GET navigation is allowed (legitimate but reduces defence for GET-based state changes).</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Double-submit cookie provides defence in depth without server-side state.</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The csrf-token cookie is non-HttpOnly (frontend JS must read it).</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Restrictive CORS blocks cross-origin cookie-authenticated requests.</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Adding a new frontend origin requires a CORS update and security review.</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Stateless verification scales trivially.</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Per-session token (not per-request) is slightly weaker than per-request tokens.</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The legacy strategy (synchroniser-token in meta tag, no SameSite) was rejected on three grounds: the token in a meta tag is accessible to XSS (an attacker who can run JavaScript can read the token and forge a request); the absence of SameSite leaves the cookies vulnerable to CSRF in browsers that do not enforce SameSite=Lax by default; and the synchroniser-token pattern requires server-side state, adding operational complexity. SameSite=Strict only (no double-submit) was rejected as breaking legitimate cross-site navigation: a teacher clicking a link from an email to a specific student record would not send the session cookie (Strict blocks all cross-site requests), requiring a re-login, which is unacceptable UX. The synchroniser-token pattern with per-request tokens was rejected as operationally complex (requires server-side token store and a token-refresh mechanism) and still vulnerable to XSS (an XSS can read the current token and forge a request within the request window). Bearer-token-only authentication (no cookies) was rejected as incompatible with the cookie-based session model (per ADR-074); the business requires that the web frontend use cookies for session management. The Origin header check (rather than double-submit cookie) was considered as a secondary defence but rejected because the Origin header is not always present (some browsers omit it on same-origin requests), making it unreliable. The dual-layer strategy (SameSite=Lax + double-submit + restrictive CORS) is the only one that satisfies all requirements; the full reasoning is captured in the Options Considered table.</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Migration is phased over two weeks alongside the session-management migration (per ADR-074). Phase 1 (days 1-3): deploy the CSRF-strategy subsystem (SameSite=Lax cookie attribute, double-submit cookie, CORS configuration) in shadow mode (the CSRF check is logged but not enforced). Phase 2 (days 4-7): update the frontend (React SPA) to include the X-CSRF-Token header on every state-changing request; this is the bulk of the migration effort. Phase 3 (days 8-10): enable the CSRF check in enforcement mode; the legacy synchroniser-token check is kept as a fallback during this phase. Phase 4 (days 11-12): remove the legacy synchroniser-token check; the legacy_csrf_tokens table is dropped. Phase 5 (days 13-14): the shadow-mode logging is removed; the SameSite=Lax attribute is enforced on all session cookies. Rollback is possible at any point by disabling the CSRF check (the gateway reverts to the legacy synchroniser-token check); the SameSite=Lax attribute can be reverted to no-SameSite if needed.</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The CSRF-strategy subsystem is tested at four levels. Unit tests cover the header-cookie match verification, the SameSite attribute setting, and the CORS configuration. Coverage target is 95%. Integration tests cover the gateway-to-browser flow with cookies and headers. End-to-end tests cover the full state-changing request path with a real browser, verifying that the double-submit token is required and that the SameSite=Lax attribute is honoured. Security tests cover the CSRF attack (a cross-site POST must be blocked by SameSite=Lax), the double-submit bypass attempt (a request with a forged X-CSRF-Token header must be rejected), and the CORS attack (a cross-origin cookie-authenticated request must be rejected). The SameSite=Lax enforcement is tested across multiple browsers (Chrome, Firefox, Safari, Edge). The acceptance criterion is zero CSRF-bypass incidents in the post-cutover penetration test.</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Six golden signals are monitored. (1) CSRF-rejection rate: target under 0.1% of state-changing requests, alert above 1% (possible attack or misconfiguration). (2) SameSite-Lax enforcement rate: target 100% of session cookies, alert on any gap (possible gateway misconfiguration). (3) CORS-rejection rate: target under 0.1% of cross-origin requests, alert above 1% (possible misconfigured integration). (4) Double-submit cookie-set rate: target 100% of logins, alert on any gap. (5) CORS configuration drift: target 0, alert on any change (possible misconfiguration). (6) Legacy-browser rate (no SameSite support): target under 1% of traffic, alert above 5% (possible browser-fleet issue). A dedicated CSRF-strategy dashboard surfaces these alongside the per-endpoint CSRF-rejection distribution and the top CORS-rejection origins. Anomaly detection (per ADR-088) flags unusual patterns such as a tenant-wide CSRF-rejection burst (possible attack).</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The CSRF-strategy subsystem is expected to evolve in three directions. First, the system may upgrade to SameSite=Strict for high-security tenants (administrators, PII-access), providing stronger CSRF protection at the cost of breaking some cross-site navigation; this is monitored but not planned for v1. Second, the system may adopt the Fetch Metadata request headers (Sec-Fetch-Site, Sec-Fetch-Mode) for additional CSRF defence, providing a server-side check that complements SameSite; this is planned for v2. Third, the system may migrate fully to bearer-token authentication (no cookies), eliminating CSRF entirely; this is a larger change and would require its own ADR, and is tracked as a follow-up to ADR-073 (Device Binding) and ADR-075 (Password Policy) future evolution toward passwordless. The trigger for revisiting this ADR is a material change in the browser CSRF landscape or a migration away from cookie-based sessions.</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ADR-074 - Session Management (cookies are session-bearing)</w:t>
      </w:r>
    </w:p>
    <w:p>
      <w:pPr>
        <w:pStyle w:val="ListParagraph"/>
        <w:numPr>
          <w:ilvl w:val="0"/>
          <w:numId w:val="1"/>
        </w:numPr>
        <w:spacing w:after="60" w:line="312"/>
        <w:ind w:left="720" w:hanging="360"/>
      </w:pPr>
      <w:r>
        <w:rPr>
          <w:rFonts w:ascii="Inter" w:eastAsia="Inter"/>
          <w:color w:val="1E293B"/>
          <w:sz w:val="22"/>
          <w:szCs w:val="22"/>
        </w:rPr>
        <w:t xml:space="preserve">ADR-076 - API Security (CSRF check enforced at gateway)</w:t>
      </w:r>
    </w:p>
    <w:p>
      <w:pPr>
        <w:pStyle w:val="ListParagraph"/>
        <w:numPr>
          <w:ilvl w:val="0"/>
          <w:numId w:val="1"/>
        </w:numPr>
        <w:spacing w:after="60" w:line="312"/>
        <w:ind w:left="720" w:hanging="360"/>
      </w:pPr>
      <w:r>
        <w:rPr>
          <w:rFonts w:ascii="Inter" w:eastAsia="Inter"/>
          <w:color w:val="1E293B"/>
          <w:sz w:val="22"/>
          <w:szCs w:val="22"/>
        </w:rPr>
        <w:t xml:space="preserve">ADR-081 - Security Headers (CORS complements security headers)</w:t>
      </w:r>
    </w:p>
    <w:p>
      <w:pPr>
        <w:pStyle w:val="ListParagraph"/>
        <w:numPr>
          <w:ilvl w:val="0"/>
          <w:numId w:val="1"/>
        </w:numPr>
        <w:spacing w:after="60" w:line="312"/>
        <w:ind w:left="720" w:hanging="360"/>
      </w:pPr>
      <w:r>
        <w:rPr>
          <w:rFonts w:ascii="Inter" w:eastAsia="Inter"/>
          <w:color w:val="1E293B"/>
          <w:sz w:val="22"/>
          <w:szCs w:val="22"/>
        </w:rPr>
        <w:t xml:space="preserve">ADR-083 - XSS Prevention (CSP prevents XSS from stealing tokens)</w:t>
      </w:r>
    </w:p>
    <w:p>
      <w:pPr>
        <w:pStyle w:val="ListParagraph"/>
        <w:numPr>
          <w:ilvl w:val="0"/>
          <w:numId w:val="1"/>
        </w:numPr>
        <w:spacing w:after="60" w:line="312"/>
        <w:ind w:left="720" w:hanging="360"/>
      </w:pPr>
      <w:r>
        <w:rPr>
          <w:rFonts w:ascii="Inter" w:eastAsia="Inter"/>
          <w:color w:val="1E293B"/>
          <w:sz w:val="22"/>
          <w:szCs w:val="22"/>
        </w:rPr>
        <w:t xml:space="preserve">ADR-091 - REST Standards (GET endpoints are non-state-changing)</w:t>
      </w:r>
    </w:p>
    <w:p>
      <w:pPr>
        <w:pStyle w:val="ListParagraph"/>
        <w:numPr>
          <w:ilvl w:val="0"/>
          <w:numId w:val="1"/>
        </w:numPr>
        <w:spacing w:after="60" w:line="312"/>
        <w:ind w:left="720" w:hanging="360"/>
      </w:pPr>
      <w:r>
        <w:rPr>
          <w:rFonts w:ascii="Inter" w:eastAsia="Inter"/>
          <w:color w:val="1E293B"/>
          <w:sz w:val="22"/>
          <w:szCs w:val="22"/>
        </w:rPr>
        <w:t xml:space="preserve">ADR-088 - Security Monitoring (CSRF rejections forwarded to SIEM)</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OWASP - Cross-Site Request Forgery Prevention Cheat Sheet. OWASP. 2024.</w:t>
      </w:r>
    </w:p>
    <w:p>
      <w:pPr>
        <w:pStyle w:val="ListParagraph"/>
        <w:numPr>
          <w:ilvl w:val="0"/>
          <w:numId w:val="1"/>
        </w:numPr>
        <w:spacing w:after="60" w:line="312"/>
        <w:ind w:left="720" w:hanging="360"/>
      </w:pPr>
      <w:r>
        <w:rPr>
          <w:rFonts w:ascii="Inter" w:eastAsia="Inter"/>
          <w:color w:val="1E293B"/>
          <w:sz w:val="22"/>
          <w:szCs w:val="22"/>
        </w:rPr>
        <w:t xml:space="preserve">RFC 6265bis - HTTP State Management Mechanism (SameSite attribute). IETF. 2023.</w:t>
      </w:r>
    </w:p>
    <w:p>
      <w:pPr>
        <w:pStyle w:val="ListParagraph"/>
        <w:numPr>
          <w:ilvl w:val="0"/>
          <w:numId w:val="1"/>
        </w:numPr>
        <w:spacing w:after="60" w:line="312"/>
        <w:ind w:left="720" w:hanging="360"/>
      </w:pPr>
      <w:r>
        <w:rPr>
          <w:rFonts w:ascii="Inter" w:eastAsia="Inter"/>
          <w:color w:val="1E293B"/>
          <w:sz w:val="22"/>
          <w:szCs w:val="22"/>
        </w:rPr>
        <w:t xml:space="preserve">Barth, C. et al. - Robust Defenses for Cross-Site Request Forgery. CCS. 2008.</w:t>
      </w:r>
    </w:p>
    <w:p>
      <w:pPr>
        <w:pStyle w:val="ListParagraph"/>
        <w:numPr>
          <w:ilvl w:val="0"/>
          <w:numId w:val="1"/>
        </w:numPr>
        <w:spacing w:after="60" w:line="312"/>
        <w:ind w:left="720" w:hanging="360"/>
      </w:pPr>
      <w:r>
        <w:rPr>
          <w:rFonts w:ascii="Inter" w:eastAsia="Inter"/>
          <w:color w:val="1E293B"/>
          <w:sz w:val="22"/>
          <w:szCs w:val="22"/>
        </w:rPr>
        <w:t xml:space="preserve">MDN - SameSite cookies. Mozilla. 2024.</w:t>
      </w:r>
    </w:p>
    <w:p>
      <w:pPr>
        <w:pStyle w:val="ListParagraph"/>
        <w:numPr>
          <w:ilvl w:val="0"/>
          <w:numId w:val="1"/>
        </w:numPr>
        <w:spacing w:after="60" w:line="312"/>
        <w:ind w:left="720" w:hanging="360"/>
      </w:pPr>
      <w:r>
        <w:rPr>
          <w:rFonts w:ascii="Inter" w:eastAsia="Inter"/>
          <w:color w:val="1E293B"/>
          <w:sz w:val="22"/>
          <w:szCs w:val="22"/>
        </w:rPr>
        <w:t xml:space="preserve">PreOne Engineering Handbook, Section 4.22 - CSRF Strategy. Internal. 2025.</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2025-08-01</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Platform Security Architect</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options enumerated; consultation with security and engineering teams</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2025-09-17</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Platform Security Architect</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Architecture Review Board after cross-team review</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2025-10-15</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published to architecture repository</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2026-07-15</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cross-references to Vol 1-3 ADRs added; 34-section template applied</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Platform Security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Authentication Platform Lead</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Architecture Review Board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ADR published to architecture repository (Done)</w:t>
      </w:r>
    </w:p>
    <w:p>
      <w:pPr>
        <w:pStyle w:val="ListParagraph"/>
        <w:numPr>
          <w:ilvl w:val="0"/>
          <w:numId w:val="1"/>
        </w:numPr>
        <w:spacing w:after="60" w:line="312"/>
        <w:ind w:left="720" w:hanging="360"/>
      </w:pPr>
      <w:r>
        <w:rPr>
          <w:rFonts w:ascii="Inter" w:eastAsia="Inter"/>
          <w:color w:val="1E293B"/>
          <w:sz w:val="22"/>
          <w:szCs w:val="22"/>
        </w:rPr>
        <w:t xml:space="preserve">Cross-references to upstream/downstream artefacts added (Done)</w:t>
      </w:r>
    </w:p>
    <w:p>
      <w:pPr>
        <w:pStyle w:val="ListParagraph"/>
        <w:numPr>
          <w:ilvl w:val="0"/>
          <w:numId w:val="1"/>
        </w:numPr>
        <w:spacing w:after="60" w:line="312"/>
        <w:ind w:left="720" w:hanging="360"/>
      </w:pPr>
      <w:r>
        <w:rPr>
          <w:rFonts w:ascii="Inter" w:eastAsia="Inter"/>
          <w:color w:val="1E293B"/>
          <w:sz w:val="22"/>
          <w:szCs w:val="22"/>
        </w:rPr>
        <w:t xml:space="preserve">Security team briefed in monthly architecture sync (Done)</w:t>
      </w:r>
    </w:p>
    <w:p>
      <w:pPr>
        <w:pStyle w:val="ListParagraph"/>
        <w:numPr>
          <w:ilvl w:val="0"/>
          <w:numId w:val="1"/>
        </w:numPr>
        <w:spacing w:after="60" w:line="312"/>
        <w:ind w:left="720" w:hanging="360"/>
      </w:pPr>
      <w:r>
        <w:rPr>
          <w:rFonts w:ascii="Inter" w:eastAsia="Inter"/>
          <w:color w:val="1E293B"/>
          <w:sz w:val="22"/>
          <w:szCs w:val="22"/>
        </w:rPr>
        <w:t xml:space="preserve">Code review checklist updated to enforce this ADR (Done)</w:t>
      </w:r>
    </w:p>
    <w:p>
      <w:pPr>
        <w:pStyle w:val="ListParagraph"/>
        <w:numPr>
          <w:ilvl w:val="0"/>
          <w:numId w:val="1"/>
        </w:numPr>
        <w:spacing w:after="60" w:line="312"/>
        <w:ind w:left="720" w:hanging="360"/>
      </w:pPr>
      <w:r>
        <w:rPr>
          <w:rFonts w:ascii="Inter" w:eastAsia="Inter"/>
          <w:color w:val="1E293B"/>
          <w:sz w:val="22"/>
          <w:szCs w:val="22"/>
        </w:rPr>
        <w:t xml:space="preserve">On-call runbook updated with operational procedures (Done)</w:t>
      </w:r>
    </w:p>
    <w:p>
      <w:pPr>
        <w:pStyle w:val="ListParagraph"/>
        <w:numPr>
          <w:ilvl w:val="0"/>
          <w:numId w:val="1"/>
        </w:numPr>
        <w:spacing w:after="60" w:line="312"/>
        <w:ind w:left="720" w:hanging="360"/>
      </w:pPr>
      <w:r>
        <w:rPr>
          <w:rFonts w:ascii="Inter" w:eastAsia="Inter"/>
          <w:color w:val="1E293B"/>
          <w:sz w:val="22"/>
          <w:szCs w:val="22"/>
        </w:rPr>
        <w:t xml:space="preserve">Security Headers filter deployed (Done)</w:t>
      </w:r>
    </w:p>
    <w:p>
      <w:pPr>
        <w:pStyle w:val="ListParagraph"/>
        <w:numPr>
          <w:ilvl w:val="0"/>
          <w:numId w:val="1"/>
        </w:numPr>
        <w:spacing w:after="60" w:line="312"/>
        <w:ind w:left="720" w:hanging="360"/>
      </w:pPr>
      <w:r>
        <w:rPr>
          <w:rFonts w:ascii="Inter" w:eastAsia="Inter"/>
          <w:color w:val="1E293B"/>
          <w:sz w:val="22"/>
          <w:szCs w:val="22"/>
        </w:rPr>
        <w:t xml:space="preserve">CSP with strict-dynamic + nonce (Done)</w:t>
      </w:r>
    </w:p>
    <w:p>
      <w:pPr>
        <w:pStyle w:val="ListParagraph"/>
        <w:numPr>
          <w:ilvl w:val="0"/>
          <w:numId w:val="1"/>
        </w:numPr>
        <w:spacing w:after="60" w:line="312"/>
        <w:ind w:left="720" w:hanging="360"/>
      </w:pPr>
      <w:r>
        <w:rPr>
          <w:rFonts w:ascii="Inter" w:eastAsia="Inter"/>
          <w:color w:val="1E293B"/>
          <w:sz w:val="22"/>
          <w:szCs w:val="22"/>
        </w:rPr>
        <w:t xml:space="preserve">HSTS, X-Frame-Options, X-Content-Type-Options, Referrer-Policy (Done)</w:t>
      </w:r>
    </w:p>
    <w:p>
      <w:pPr>
        <w:pStyle w:val="ListParagraph"/>
        <w:numPr>
          <w:ilvl w:val="0"/>
          <w:numId w:val="1"/>
        </w:numPr>
        <w:spacing w:after="60" w:line="312"/>
        <w:ind w:left="720" w:hanging="360"/>
      </w:pPr>
      <w:r>
        <w:rPr>
          <w:rFonts w:ascii="Inter" w:eastAsia="Inter"/>
          <w:color w:val="1E293B"/>
          <w:sz w:val="22"/>
          <w:szCs w:val="22"/>
        </w:rPr>
        <w:t xml:space="preserve">CSRF token in meta tag + header validation (Done)</w:t>
      </w:r>
    </w:p>
    <w:p>
      <w:pPr>
        <w:pStyle w:val="ListParagraph"/>
        <w:numPr>
          <w:ilvl w:val="0"/>
          <w:numId w:val="1"/>
        </w:numPr>
        <w:spacing w:after="60" w:line="312"/>
        <w:ind w:left="720" w:hanging="360"/>
      </w:pPr>
      <w:r>
        <w:rPr>
          <w:rFonts w:ascii="Inter" w:eastAsia="Inter"/>
          <w:color w:val="1E293B"/>
          <w:sz w:val="22"/>
          <w:szCs w:val="22"/>
        </w:rPr>
        <w:t xml:space="preserve">SameSite=Strict cookies (Done)</w:t>
      </w:r>
    </w:p>
    <w:p>
      <w:pPr>
        <w:pStyle w:val="ListParagraph"/>
        <w:numPr>
          <w:ilvl w:val="0"/>
          <w:numId w:val="1"/>
        </w:numPr>
        <w:spacing w:after="60" w:line="312"/>
        <w:ind w:left="720" w:hanging="360"/>
      </w:pPr>
      <w:r>
        <w:rPr>
          <w:rFonts w:ascii="Inter" w:eastAsia="Inter"/>
          <w:color w:val="1E293B"/>
          <w:sz w:val="22"/>
          <w:szCs w:val="22"/>
        </w:rPr>
        <w:t xml:space="preserve">Quarterly security-header verification (Scheduled)</w:t>
      </w:r>
    </w:p>
    <w:p>
      <w:pPr>
        <w:spacing w:after="60" w:before="360" w:line="280"/>
      </w:pPr>
      <w:r>
        <w:rPr>
          <w:rFonts w:ascii="Inter" w:eastAsia="Inter"/>
          <w:b/>
          <w:bCs/>
          <w:color w:val="4F46E5"/>
          <w:spacing w:val="60"/>
          <w:sz w:val="22"/>
          <w:szCs w:val="22"/>
        </w:rPr>
        <w:t xml:space="preserve">ADR-083</w:t>
      </w:r>
    </w:p>
    <w:p>
      <w:pPr>
        <w:pStyle w:val="Heading1"/>
        <w:spacing w:after="200" w:before="60" w:line="312"/>
      </w:pPr>
      <w:r>
        <w:rPr>
          <w:rFonts w:ascii="Inter" w:eastAsia="Inter"/>
          <w:b/>
          <w:bCs/>
          <w:color w:val="0F172A"/>
          <w:sz w:val="36"/>
          <w:szCs w:val="36"/>
        </w:rPr>
        <w:t xml:space="preserve">Vulnerability Management</w:t>
      </w:r>
    </w:p>
    <w:p>
      <w:pPr>
        <w:spacing w:after="120" w:line="280"/>
      </w:pPr>
      <w:r>
        <w:rPr>
          <w:rFonts w:ascii="Inter" w:eastAsia="Inter"/>
          <w:color w:val="64748B"/>
          <w:sz w:val="20"/>
          <w:szCs w:val="20"/>
        </w:rPr>
        <w:t xml:space="preserve">Volume 4 — Security Architecture  -  </w:t>
      </w:r>
      <w:r>
        <w:rPr>
          <w:rFonts w:ascii="Inter" w:eastAsia="Inter"/>
          <w:color w:val="64748B"/>
          <w:sz w:val="20"/>
          <w:szCs w:val="20"/>
        </w:rPr>
        <w:t xml:space="preserve">Identity &amp; Security</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Adopt a defense-in-depth vulnerability management program spanning SAST, SCA, DAST, secret scanning, IaC scanning, and container image scanning. SAST runs on every pull request via Semgrep; SCA runs on every PR via Dependabot with auto-merge for patch-version updates; DAST runs nightly against staging via OWASP ZAP; secret scanning via GitGuardian runs pre-receive on every push; IaC scanning via Checkov validates Terraform and CloudFormation; container images scanned via Trivy at build time. Critical findings block deployment; high findings trigger a 7-day SLA; medium findings a 30-day SLA; low findings are tracked in the backlog.</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2025-11-20</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Security Engineering Lead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review, or on threat landscape shift, or on tooling vendor change</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refreshes for series alignment and cross-references)</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PreOne processes regulated student data across multiple geographies (India DPDP, EU GDPR, US FERPA, COPPA). Each regulation imposes vulnerability-management obligations that, while not prescriptive about tooling, require demonstrable due diligence. The legacy platform relied on quarterly manual penetration tests and an annual Nessus scan — a cadence that left 90+ day windows for exploitation and produced findings that were stale by the time they reached remediation.
The 2025 security audit by Bishop Fox identified the vulnerability management program as the highest-priority gap, citing four incidents in the prior 18 months where known CVEs in dependencies were exploited before the quarterly scan would have caught them. The recommendation was to shift vulnerability detection left — into the developer workflow — and to automate remediation tracking.
PreOne's CI/CD pipeline (GitHub Actions) and IaC (Terraform + AWS CloudFormation) provide natural insertion points for scanning. The container-based deployment model (ECS Fargate) means every deployment artifact can be scanned before it reaches production. The engineering organization's adoption of trunk-based development (ADR-118) means PRs are small and frequent — ideal for fast SAST feedback.
The threat model (ADR-0XX) identifies the top vectors as: dependency CVEs (high), misconfigured IaC (medium), leaked secrets (medium), and application logic flaws (low, because SAST coverage is partial). The vulnerability management program addresses each vector with a dedicated tool.</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The primary driver is regulatory compliance. India DPDP requires 'reasonable security practices' including vulnerability management; GDPR Article 32 requires 'a process for regularly testing, assessing, and evaluating the effectiveness of technical and organisational measures'; FERPA requires safeguards against unauthorized disclosure. A documented vulnerability management program with automated tooling is the standard evidence auditors expect.
A secondary driver is risk reduction. The 2025 audit correlated CVE remediation time directly with incident frequency: teams that remediated within 7 days had 4x fewer incidents than teams that took 30+ days. Automated PR-time scanning reduces the median time-to-remediation from 21 days (quarterly scan cadence) to under 24 hours.
A tertiary driver is developer experience. Catching vulnerabilities at PR time, with actionable remediation guidance (e.g., 'upgrade lodash from 4.17.20 to 4.17.21'), is dramatically cheaper than catching them at deployment, where the developer has context-switched to other work. The friction cost of late remediation is well-documented in DORA research.</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PreOne requires a defense-in-depth vulnerability management program that detects vulnerabilities at the earliest possible stage — in the developer's PR, at build time, in IaC, in container images, and in running infrastructure — with enforceable remediation SLAs and full audit trail for compliance evidence.</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All scanning tools must integrate into GitHub Actions; no separate CI for security</w:t>
      </w:r>
    </w:p>
    <w:p>
      <w:pPr>
        <w:pStyle w:val="ListParagraph"/>
        <w:numPr>
          <w:ilvl w:val="0"/>
          <w:numId w:val="1"/>
        </w:numPr>
        <w:spacing w:after="60" w:line="312"/>
        <w:ind w:left="720" w:hanging="360"/>
      </w:pPr>
      <w:r>
        <w:rPr>
          <w:rFonts w:ascii="Inter" w:eastAsia="Inter"/>
          <w:color w:val="1E293B"/>
          <w:sz w:val="22"/>
          <w:szCs w:val="22"/>
        </w:rPr>
        <w:t xml:space="preserve">SAST must complete in under 5 minutes per PR (or it gets bypassed)</w:t>
      </w:r>
    </w:p>
    <w:p>
      <w:pPr>
        <w:pStyle w:val="ListParagraph"/>
        <w:numPr>
          <w:ilvl w:val="0"/>
          <w:numId w:val="1"/>
        </w:numPr>
        <w:spacing w:after="60" w:line="312"/>
        <w:ind w:left="720" w:hanging="360"/>
      </w:pPr>
      <w:r>
        <w:rPr>
          <w:rFonts w:ascii="Inter" w:eastAsia="Inter"/>
          <w:color w:val="1E293B"/>
          <w:sz w:val="22"/>
          <w:szCs w:val="22"/>
        </w:rPr>
        <w:t xml:space="preserve">SCA must use a vendored vulnerability database (no runtime API calls to a vendor that could fail)</w:t>
      </w:r>
    </w:p>
    <w:p>
      <w:pPr>
        <w:pStyle w:val="ListParagraph"/>
        <w:numPr>
          <w:ilvl w:val="0"/>
          <w:numId w:val="1"/>
        </w:numPr>
        <w:spacing w:after="60" w:line="312"/>
        <w:ind w:left="720" w:hanging="360"/>
      </w:pPr>
      <w:r>
        <w:rPr>
          <w:rFonts w:ascii="Inter" w:eastAsia="Inter"/>
          <w:color w:val="1E293B"/>
          <w:sz w:val="22"/>
          <w:szCs w:val="22"/>
        </w:rPr>
        <w:t xml:space="preserve">Secret scanning must run pre-receive (before the secret lands in git history)</w:t>
      </w:r>
    </w:p>
    <w:p>
      <w:pPr>
        <w:pStyle w:val="ListParagraph"/>
        <w:numPr>
          <w:ilvl w:val="0"/>
          <w:numId w:val="1"/>
        </w:numPr>
        <w:spacing w:after="60" w:line="312"/>
        <w:ind w:left="720" w:hanging="360"/>
      </w:pPr>
      <w:r>
        <w:rPr>
          <w:rFonts w:ascii="Inter" w:eastAsia="Inter"/>
          <w:color w:val="1E293B"/>
          <w:sz w:val="22"/>
          <w:szCs w:val="22"/>
        </w:rPr>
        <w:t xml:space="preserve">Container image scans must block deployment on CRITICAL findings, not just warn</w:t>
      </w:r>
    </w:p>
    <w:p>
      <w:pPr>
        <w:pStyle w:val="ListParagraph"/>
        <w:numPr>
          <w:ilvl w:val="0"/>
          <w:numId w:val="1"/>
        </w:numPr>
        <w:spacing w:after="60" w:line="312"/>
        <w:ind w:left="720" w:hanging="360"/>
      </w:pPr>
      <w:r>
        <w:rPr>
          <w:rFonts w:ascii="Inter" w:eastAsia="Inter"/>
          <w:color w:val="1E293B"/>
          <w:sz w:val="22"/>
          <w:szCs w:val="22"/>
        </w:rPr>
        <w:t xml:space="preserve">IaC scanning must run on every Terraform plan, not just on merge to main</w:t>
      </w:r>
    </w:p>
    <w:p>
      <w:pPr>
        <w:pStyle w:val="ListParagraph"/>
        <w:numPr>
          <w:ilvl w:val="0"/>
          <w:numId w:val="1"/>
        </w:numPr>
        <w:spacing w:after="60" w:line="312"/>
        <w:ind w:left="720" w:hanging="360"/>
      </w:pPr>
      <w:r>
        <w:rPr>
          <w:rFonts w:ascii="Inter" w:eastAsia="Inter"/>
          <w:color w:val="1E293B"/>
          <w:sz w:val="22"/>
          <w:szCs w:val="22"/>
        </w:rPr>
        <w:t xml:space="preserve">All findings must be exported to a central SIEM (Splunk) for audit evidence</w:t>
      </w:r>
    </w:p>
    <w:p>
      <w:pPr>
        <w:pStyle w:val="ListParagraph"/>
        <w:numPr>
          <w:ilvl w:val="0"/>
          <w:numId w:val="1"/>
        </w:numPr>
        <w:spacing w:after="60" w:line="312"/>
        <w:ind w:left="720" w:hanging="360"/>
      </w:pPr>
      <w:r>
        <w:rPr>
          <w:rFonts w:ascii="Inter" w:eastAsia="Inter"/>
          <w:color w:val="1E293B"/>
          <w:sz w:val="22"/>
          <w:szCs w:val="22"/>
        </w:rPr>
        <w:t xml:space="preserve">Remediation SLAs must be enforceable via GitHub branch protection (no override without security team approval)</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GitHub Actions runner capacity is sufficient for 5,000+ PRs per month with security scans</w:t>
      </w:r>
    </w:p>
    <w:p>
      <w:pPr>
        <w:pStyle w:val="ListParagraph"/>
        <w:numPr>
          <w:ilvl w:val="0"/>
          <w:numId w:val="1"/>
        </w:numPr>
        <w:spacing w:after="60" w:line="312"/>
        <w:ind w:left="720" w:hanging="360"/>
      </w:pPr>
      <w:r>
        <w:rPr>
          <w:rFonts w:ascii="Inter" w:eastAsia="Inter"/>
          <w:color w:val="1E293B"/>
          <w:sz w:val="22"/>
          <w:szCs w:val="22"/>
        </w:rPr>
        <w:t xml:space="preserve">Dependabot's vulnerability database covers &gt;= 95% of our dependency tree</w:t>
      </w:r>
    </w:p>
    <w:p>
      <w:pPr>
        <w:pStyle w:val="ListParagraph"/>
        <w:numPr>
          <w:ilvl w:val="0"/>
          <w:numId w:val="1"/>
        </w:numPr>
        <w:spacing w:after="60" w:line="312"/>
        <w:ind w:left="720" w:hanging="360"/>
      </w:pPr>
      <w:r>
        <w:rPr>
          <w:rFonts w:ascii="Inter" w:eastAsia="Inter"/>
          <w:color w:val="1E293B"/>
          <w:sz w:val="22"/>
          <w:szCs w:val="22"/>
        </w:rPr>
        <w:t xml:space="preserve">Semgrep rules cover the OWASP Top 10 and PreOne-specific patterns (auth, crypto, SQL)</w:t>
      </w:r>
    </w:p>
    <w:p>
      <w:pPr>
        <w:pStyle w:val="ListParagraph"/>
        <w:numPr>
          <w:ilvl w:val="0"/>
          <w:numId w:val="1"/>
        </w:numPr>
        <w:spacing w:after="60" w:line="312"/>
        <w:ind w:left="720" w:hanging="360"/>
      </w:pPr>
      <w:r>
        <w:rPr>
          <w:rFonts w:ascii="Inter" w:eastAsia="Inter"/>
          <w:color w:val="1E293B"/>
          <w:sz w:val="22"/>
          <w:szCs w:val="22"/>
        </w:rPr>
        <w:t xml:space="preserve">OWASP ZAP can authenticate against staging without manual intervention</w:t>
      </w:r>
    </w:p>
    <w:p>
      <w:pPr>
        <w:pStyle w:val="ListParagraph"/>
        <w:numPr>
          <w:ilvl w:val="0"/>
          <w:numId w:val="1"/>
        </w:numPr>
        <w:spacing w:after="60" w:line="312"/>
        <w:ind w:left="720" w:hanging="360"/>
      </w:pPr>
      <w:r>
        <w:rPr>
          <w:rFonts w:ascii="Inter" w:eastAsia="Inter"/>
          <w:color w:val="1E293B"/>
          <w:sz w:val="22"/>
          <w:szCs w:val="22"/>
        </w:rPr>
        <w:t xml:space="preserve">Trivy's CVE database updates at least daily</w:t>
      </w:r>
    </w:p>
    <w:p>
      <w:pPr>
        <w:pStyle w:val="ListParagraph"/>
        <w:numPr>
          <w:ilvl w:val="0"/>
          <w:numId w:val="1"/>
        </w:numPr>
        <w:spacing w:after="60" w:line="312"/>
        <w:ind w:left="720" w:hanging="360"/>
      </w:pPr>
      <w:r>
        <w:rPr>
          <w:rFonts w:ascii="Inter" w:eastAsia="Inter"/>
          <w:color w:val="1E293B"/>
          <w:sz w:val="22"/>
          <w:szCs w:val="22"/>
        </w:rPr>
        <w:t xml:space="preserve">Engineering teams will accept PR-time scan feedback as constructive, not adversarial</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Defense-in-depth: SAST (Semgrep) + SCA (Dependabot) + DAST (OWASP ZAP) + secret scan (GitGuardian) + IaC scan (Checkov) + container scan (Trivy), all in GitHub Actions, with central SIEM export.</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Covers every layer of the stack; integrates into existing CI; centralised evidence for audits; each tool is best-of-breed for its layer; minimal operational overhead (all SaaS or open-source).</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Six tools to manage and tune; potential for false-positive fatigue if rules are not curated; cost is ~$8K/month for SaaS tiers; requires a security engineer to maintain rules.</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Adopted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Single-vendor suite: Snyk Code (SAST + SCA + container) as the single tool.</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One vendor to manage; unified findings dashboard; one integration point; potentially lower total cost.</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Weaker than Semgrep for custom rules; weaker than Dependabot for PR-native experience (Dependabot opens PRs, Snyk requires a separate review); Snyk's DAST offering is immature; lock-in to one vendor's roadmap.</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Outsource to a managed service: a security vendor runs all scans and provides a dashboard.</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Zero engineering overhead; vendor handles tool maintenance; SLA-backed.</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Loss of control over rule tuning; findings latency (vendor may batch daily, not real-time); cost is $25K+/month; does not integrate into PR-time feedback loop (defeats shift-left goal).</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Continue with quarterly Nessus scans + annual pentest, no shift-left tooling.</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Minimal cost; familiar process; no new tooling to learn.</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90+ day detection windows; fails regulatory due-diligence expectations; 2025 audit explicitly flagged this as a gap; unacceptable risk for a regulated education platform.</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Adopt a defense-in-depth vulnerability management program with six specialised tools integrated into GitHub Actions: Semgrep (SAST) on every PR with a 5-minute SLA; Dependabot (SCA) on every PR with auto-merge for patch updates; OWASP ZAP (DAST) nightly against staging; GitGuardian (secret scanning) pre-receive on every push; Checkov (IaC) on every Terraform plan; Trivy (container) at build time. Critical findings block deployment via GitHub branch protection; high findings trigger a 7-day SLA enforced via a Jira automation; medium findings 30-day SLA; low findings tracked in the backlog. All findings exported to Splunk for audit evidence. The Security Engineering Lead owns rule tuning and false-positive reduction.</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The defense-in-depth approach was chosen over the single-vendor suite because no single vendor is best-of-breed across all six layers. Semgrep's custom-rule capability is unmatched — PreOne's security team can write rules for PreOne-specific patterns (e.g., 'every Student.find() call must be wrapped in a tenant-scope check') that Snyk Code cannot express. Dependabot is native to GitHub, opens PRs automatically, and is free for the tier we need; Snyk's equivalent requires a separate review workflow that adds friction. OWASP ZAP is the only open-source DAST with credible coverage; Snyk's DAST offering is a 2024 acquisition and not yet production-grade. Trivy is the de facto standard for container scanning, with the best CVE database coverage for Alpine-based images (which ECS Fargate uses).
The managed-service option was attractive on operational grounds but fails the shift-left goal. The whole point of vulnerability management in 2026 is to catch findings at PR time, where the developer has context and the fix is small. A managed service that batches findings daily defeats this — the developer has moved on, the fix is larger, and the SLA clock starts later. The cost difference ($8K vs $25K per month) is also significant, but the operational argument alone is decisive.
The status-quo option was rejected because the 2025 Bishop Fox audit explicitly flagged quarterly Nessus scans as inadequate for a regulated education platform. The audit cited four incidents in 18 months where known CVEs were exploited between scans; the remediation cost of those incidents ($1.2M total) exceeded the annual cost of the defense-in-depth tooling ($96K). The audit also noted that the FERPA compliance officer had begun questioning the vulnerability management program — a signal that the regulatory risk was becoming material.
The remediation SLAs (Critical=block, High=7d, Medium=30d, Low=backlog) were calibrated against industry benchmarks (NIST SP 800-40, SANS Vulnerability Management Survey 2024) and against PreOne's incident history. The 7-day high SLA is tighter than the industry median of 14 days because PreOne's regulated-data exposure justifies a higher bar. The SLAs are enforced via GitHub branch protection (Critical) and Jira automation (High/Medium); the Jira automation creates a ticket on finding, escalates to the team lead at 50% of SLA, and escalates to the Security Engineering Lead at 100% of SLA. SLA breaches are reported in the monthly security scorecard.
The Splunk export is critical for audit evidence. Every finding — including false positives and dismissed findings — is logged with the dismissal reason and the approver. Auditors can query Splunk for 'all CRITICAL findings in Q3 2026 and their remediation time' and get a complete answer in seconds. This audit trail is the difference between a smooth compliance review and a multi-week evidence-gathering exercise.</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PreOne Vulnerability Management Program                  |
+------------------------------------------------------------------+
|                                                                  |
|  Developer Pushes PR                                             |
|       |                                                          |
|       v                                                          |
|  +------------------+  +-----------------+  +-----------------+  |
|  | Semgrep (SAST)   |  | Dependabot(SCA) |  | GitGuardian     |  |
|  | 5-min SLA        |  | auto-PR patch   |  | (secrets)       |  |
|  +--------+---------+  +--------+--------+  +--------+--------+  |
|           |                     |                    |           |
|           +----------+----------+--------+-----------+           |
|                      |                   |                       |
|                      v                   v                       |
|              +---------------+   +----------------+              |
|              | GitHub Branch |   | Splunk (audit  |              |
|              | Protection    |   |  trail)        |              |
|              | (block merge) |   +----------------+              |
|              +---------------+                                   |
|                                                                  |
|  Nightly:                                                        |
|  +------------------+                                            |
|  | OWASP ZAP (DAST) |  -- against staging --&gt; Splunk             |
|  +------------------+                                            |
|                                                                  |
|  Build:                                                          |
|  +------------------+    +------------------+                    |
|  | Checkov (IaC)    |    | Trivy (container)|                    |
|  +--------+---------+    +--------+---------+                    |
|           |                       |                              |
|           v                       v                              |
|      Block deploy            Block deploy                        |
|      (CRITICAL)              (CRITICAL)                          |
+------------------------------------------------------------------+</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Dev -&gt; GitHub: push branch
GitHub -&gt; GitGuardian: pre-receive hook
GitGuardian -&gt; GitHub: OK / blocked (secret found)
GitHub -&gt; Actions: PR opened
Actions -&gt; Semgrep: SAST scan (5min SLA)
Actions -&gt; Dependabot: SCA scan
Semgrep -&gt; Actions: findings (CRITICAL/HIGH/MED/LOW)
Dependabot -&gt; Actions: findings + auto-PR patch updates
Actions -&gt; GitHub: status check (pass/fail)
Actions -&gt; Splunk: export all findings
Nightly 02:00:
Scheduler -&gt; ZAP: scan staging
ZAP -&gt; Staging: spider + active scan
ZAP -&gt; Splunk: export findings
Build time:
Builder -&gt; Checkov: scan Terraform plan
Builder -&gt; Trivy: scan container image
Checkov -&gt; Builder: pass / fail (CRITICAL)
Trivy -&gt; Builder: pass / fail (CRITICAL)
Builder -&gt; ECS: deploy (if pass) / block (if fail)</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ADR-083 — Vulnerability Management  -  Component View  |
+-------------------------------------------------------------+
|                                                             |
|  +----------------+        +----------------------+         |
|  | GitHub Actions |  PR    | Scanners (6 tools):  |         |
|  |                |-------&gt;|  Semgrep (SAST)      |         |
|  +----------------+        |  Dependabot (SCA)    |         |
|                              |  ZAP (DAST)          |         |
|                              |  GitGuardian (secret)|         |
|                              |  Checkov (IaC)       |         |
|                              |  Trivy (container)   |         |
|                              +----------+-----------+         |
|                                         |                     |
|                                         | findings            |
|                                         v                     |
|  +----------------+        +----------------------+         |
|  | Branch Protect | block  | CRITICAL findings    |         |
|  |                |-------&gt;|                      |         |
|  +----------------+        +----------+-----------+         |
|                                       |                     |
|                                       | export              |
|                                       v                     |
|  +----------------+        +----------------------+         |
|  | Splunk         |  audit | Findings Registry    |         |
|  |                |-------&gt;|                      |         |
|  +----------------+        +----------------------+         |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PR-Time Scan Flow:
  Dev -&gt; GitHub: push branch
  GitHub -&gt; GitGuardian: pre-receive (secrets)
  GitHub -&gt; Actions: PR opened
  Actions -&gt; Semgrep: SAST (5min SLA)
  Actions -&gt; Dependabot: SCA
  Semgrep/Dependabot -&gt; Actions: findings
  Actions -&gt; Branch Protection: pass/fail
  Actions -&gt; Splunk: export all findings
Build-Time Scan Flow:
  Builder -&gt; Checkov: scan Terraform plan
  Builder -&gt; Trivy: scan container image
  Checkov/Trivy -&gt; Builder: CRITICAL? block : pass
Nightly DAST Flow:
  Scheduler -&gt; ZAP: scan staging
  ZAP -&gt; Splunk: export findings</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Vulnerability management has minimal direct database impact. Findings are stored in the source-of-truth tool (Semgrep dashboard, Dependabot alerts, ZAP reports) and exported to Splunk for audit. A single Postgres table (security.findings_summary) materialises a weekly rollup for the security scorecard dashboard, populated by a scheduled ETL job that queries each tool's API. The table holds ~50K rows per quarter and is partitioned by quarter. Read-only access is granted to the security team and engineering managers.</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No public API changes. The vulnerability management program is internal to engineering. The security scorecard is surfaced in an internal admin dashboard (admin/operations/security) that queries the findings_summary table. The dashboard exposes a 'vulnerability trend' API endpoint (GET /internal/security/vulnerability-trend) used by the executive scorecard; the endpoint is admin-only and rate-limited to 10 requests per minute.</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Vulnerability Management has no direct UI surface for end users. For engineering, the admin UI includes a 'Vulnerability Dashboard' (admin/operations/security/vulnerabilities) showing open findings by severity, SLA compliance rate, and time-to-remediation trends. The dashboard is updated daily from Splunk. PR-time scan results appear as GitHub status checks ('Semgrep: 3 findings' / 'Dependabot: 1 finding'), with links to the findings detail. Engineering managers receive a weekly email summary of their team's open findings and SLA status. No end-user UI changes were required.</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This ADR is itself a security control. The defense-in-depth program directly addresses the 2025 audit finding on vulnerability management and reduces the mean-time-to-remediation from 21 days to under 24 hours for PR-time findings. The program also provides the audit evidence required by FERPA, GDPR, and DPDP. The pre-receive secret scan prevents credentials from entering git history, eliminating the expensive history-rewrite remediation that leaked secrets previously required (3 incidents in 2024, average remediation cost $15K each).</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SAST on every PR adds 3-5 minutes to CI time. To mitigate, Semgrep runs incrementally (only changed files) and uses the Semgrep Pro Engine (compiled, faster than the OSS engine). SCA runs in parallel with SAST. The combined security-scan overhead is ~6 minutes per PR, which is acceptable given that the average PR takes 18 minutes total in CI. DAST runs nightly (off-peak) and does not affect developer workflow. Container scanning adds ~30 seconds per image build, negligible against the 4-minute average build time.</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The program scales linearly with PR volume. GitHub Actions runners handle 5,000+ PRs per month currently, projected to grow to 8,000 by end-2026. The bottleneck is runner concurrency; we provision 20 self-hosted runners (ECS-based) to handle peak load. Splunk ingestion scales with finding volume; we ingest ~2GB/day of security findings, well within the Splunk license. The Security Engineering Lead handles rule tuning; as the rule library grows (currently 240 rules), a second security engineer may be needed by mid-2027.</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The Security Engineering Lead is on-call for vulnerability-related escalations. The team maintains a #security-findings Slack channel where high-priority findings are posted automatically. The monthly security scorecard tracks: (a) mean-time-to-remediation by severity; (b) SLA compliance rate; (c) false-positive rate per tool; (d) coverage rate (% of repos with each scanner enabled). Rule tuning is a weekly activity — the security team reviews the top 10 false positives and adjusts rules. Quarterly, the team reviews new CVEs in the dependency tree and prioritises major-version upgrades.</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False-positive fatigue leads developers to bypass or ignore findings</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Weekly false-positive review; one-click dismiss with mandatory reason; dismissals audited; SLA exemption requires Security Engineering Lead approval</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 scanner's API outage blocks PRs (availability dependency)</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GitHub branch protection allows manual override with Security Engineering Lead approval; SCA uses vendored DB (no API dependency); SAST runs on self-hosted runner (no vendor API)</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Scan time exceeds 5-minute SLA as codebase grows</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Incremental Semgrep scans (changed files only); rule pruning; Semgrep Pro Engine upgrade; if needed, SAST-on-main (nightly full scan) as fallback</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Critical finding in a third-party library has no patch available</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Virtual patch via WAF (ADR-084); network isolation; documented risk acceptance with Security Engineering Lead signoff; weekly review of open critical findings</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Auditor challenges the program (e.g., 'why not Snyk?')</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Documented rationale in this ADR; annual program review; quarterly threat-model refresh</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Defense-in-depth with best-of-breed per layer</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Six tools to manage and tune (operational complexity)</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PR-time feedback loop (shift left)</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5-6 minutes added to every PR's CI time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Audit evidence via Splunk export</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Splunk ingestion cost (~$2K/month for security findings)</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Enforceable SLAs via branch protection</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Developer friction when critical findings block merge (rare but disruptive)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Open-source tools (Semgrep, ZAP, Checkov, Trivy) reduce vendor lock-in</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Open-source tools require more rule tuning than commercial equivalents</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The Snyk single-vendor suite was piloted in Q2 2025 across two repositories. The pilot revealed three issues: (1) Snyk Code missed custom patterns that Semgrep caught (e.g., a PreOne-specific rule about tenant-scope wrapping); (2) Snyk's PR-native experience was inferior to Dependabot (Snyk opened a single 'review your vulnerabilities' comment, while Dependabot opened actionable upgrade PRs); (3) Snyk's DAST was in beta and produced 30% false positives. The managed-service option was costed at $25K/month with a 24-hour findings latency — incompatible with the shift-left goal. The status-quo option was explicitly rejected by the ARB after the 2025 audit made it clear that quarterly scans were inadequate for a regulated platform.</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Phase 1 (Q4 2025, complete): Semgrep, Dependabot, and GitGuardian rolled out to all repositories. Phase 2 (Q4 2025, complete): Checkov and Trivy integrated into CI/CD pipeline. Phase 3 (Q1 2026, complete): OWASP ZAP nightly scans against staging. Phase 4 (Q1 2026, complete): Splunk export configured for all tools. Phase 5 (Q2 2026, in progress): Remediation SLAs enforced via Jira automation. Phase 6 (Q3 2026, planned): Security scorecard dashboard for engineering managers. The migration was non-disruptive because each tool was rolled out independently with a one-week observation period before SLA enforcement.</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Vulnerability management tools are tested via synthetic findings. Each tool has a test repository (security-tool-test) with known vulnerabilities (e.g., a deliberately vulnerable dependency, a deliberately hardcoded secret, a deliberately vulnerable SQL query). The test repository is scanned nightly and the expected findings are verified against a checklist. Missed findings or false positives trigger a ticket to the Security Engineering Lead. The synthetic tests catch rule regressions (e.g., a Semgrep rule update that stops matching a known pattern). Quarterly, the security team performs a manual review of 10 random findings per tool to verify accuracy.</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The security scorecard (admin/operations/security) surfaces the following metrics: (a) findings opened/closed per week by severity; (b) mean-time-to-remediation by severity; (c) SLA compliance rate by team; (d) false-positive rate per tool; (e) scanner coverage (% of repos with each scanner enabled). Anomalies (e.g., a sudden spike in CRITICAL findings) trigger a Slack alert to #security-findings. Splunk dashboards provide the audit-evidence view, with filters by tool, severity, repository, and date range. The Splunk data is retained for 7 years per FERPA requirements.</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Three evolutions are likely. First, the program may expand to include runtime vulnerability detection (e.g., Falco for runtime container security) — currently out of scope because container runtime is AWS-managed (Fargate). Second, the program may integrate with a bug-bounty platform (HackerOne) to crowdsource external findings; this is planned for 2027 once the internal program is mature. Third, the program may adopt AI-assisted vulnerability remediation (e.g., GitHub Copilot Autofix) to reduce developer remediation effort; this is gated on the AI tooling ADR (ADR-148) maturity.</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ADR-002 — Modular Monolith Strategy (vulnerability management covers the monolith and its modules)</w:t>
      </w:r>
    </w:p>
    <w:p>
      <w:pPr>
        <w:pStyle w:val="ListParagraph"/>
        <w:numPr>
          <w:ilvl w:val="0"/>
          <w:numId w:val="1"/>
        </w:numPr>
        <w:spacing w:after="60" w:line="312"/>
        <w:ind w:left="720" w:hanging="360"/>
      </w:pPr>
      <w:r>
        <w:rPr>
          <w:rFonts w:ascii="Inter" w:eastAsia="Inter"/>
          <w:color w:val="1E293B"/>
          <w:sz w:val="22"/>
          <w:szCs w:val="22"/>
        </w:rPr>
        <w:t xml:space="preserve">ADR-041 — PostgreSQL Strategy (DB-layer vulnerability scanning via Trivy in the Postgres container build)</w:t>
      </w:r>
    </w:p>
    <w:p>
      <w:pPr>
        <w:pStyle w:val="ListParagraph"/>
        <w:numPr>
          <w:ilvl w:val="0"/>
          <w:numId w:val="1"/>
        </w:numPr>
        <w:spacing w:after="60" w:line="312"/>
        <w:ind w:left="720" w:hanging="360"/>
      </w:pPr>
      <w:r>
        <w:rPr>
          <w:rFonts w:ascii="Inter" w:eastAsia="Inter"/>
          <w:color w:val="1E293B"/>
          <w:sz w:val="22"/>
          <w:szCs w:val="22"/>
        </w:rPr>
        <w:t xml:space="preserve">ADR-077 — Encryption (encryption-at-rest and in-transit reduces the impact of CVE exploitation)</w:t>
      </w:r>
    </w:p>
    <w:p>
      <w:pPr>
        <w:pStyle w:val="ListParagraph"/>
        <w:numPr>
          <w:ilvl w:val="0"/>
          <w:numId w:val="1"/>
        </w:numPr>
        <w:spacing w:after="60" w:line="312"/>
        <w:ind w:left="720" w:hanging="360"/>
      </w:pPr>
      <w:r>
        <w:rPr>
          <w:rFonts w:ascii="Inter" w:eastAsia="Inter"/>
          <w:color w:val="1E293B"/>
          <w:sz w:val="22"/>
          <w:szCs w:val="22"/>
        </w:rPr>
        <w:t xml:space="preserve">ADR-078 — Secrets Management (integrates with GitGuardian secret scanning)</w:t>
      </w:r>
    </w:p>
    <w:p>
      <w:pPr>
        <w:pStyle w:val="ListParagraph"/>
        <w:numPr>
          <w:ilvl w:val="0"/>
          <w:numId w:val="1"/>
        </w:numPr>
        <w:spacing w:after="60" w:line="312"/>
        <w:ind w:left="720" w:hanging="360"/>
      </w:pPr>
      <w:r>
        <w:rPr>
          <w:rFonts w:ascii="Inter" w:eastAsia="Inter"/>
          <w:color w:val="1E293B"/>
          <w:sz w:val="22"/>
          <w:szCs w:val="22"/>
        </w:rPr>
        <w:t xml:space="preserve">ADR-082 — CSRF Strategy (CSRF tokens verified by SAST rules)</w:t>
      </w:r>
    </w:p>
    <w:p>
      <w:pPr>
        <w:pStyle w:val="ListParagraph"/>
        <w:numPr>
          <w:ilvl w:val="0"/>
          <w:numId w:val="1"/>
        </w:numPr>
        <w:spacing w:after="60" w:line="312"/>
        <w:ind w:left="720" w:hanging="360"/>
      </w:pPr>
      <w:r>
        <w:rPr>
          <w:rFonts w:ascii="Inter" w:eastAsia="Inter"/>
          <w:color w:val="1E293B"/>
          <w:sz w:val="22"/>
          <w:szCs w:val="22"/>
        </w:rPr>
        <w:t xml:space="preserve">ADR-084 — Web Application Firewall (virtual patching for unpatchable CVEs)</w:t>
      </w:r>
    </w:p>
    <w:p>
      <w:pPr>
        <w:pStyle w:val="ListParagraph"/>
        <w:numPr>
          <w:ilvl w:val="0"/>
          <w:numId w:val="1"/>
        </w:numPr>
        <w:spacing w:after="60" w:line="312"/>
        <w:ind w:left="720" w:hanging="360"/>
      </w:pPr>
      <w:r>
        <w:rPr>
          <w:rFonts w:ascii="Inter" w:eastAsia="Inter"/>
          <w:color w:val="1E293B"/>
          <w:sz w:val="22"/>
          <w:szCs w:val="22"/>
        </w:rPr>
        <w:t xml:space="preserve">ADR-086 — Audit Trail (correlates vulnerability findings to security events)</w:t>
      </w:r>
    </w:p>
    <w:p>
      <w:pPr>
        <w:pStyle w:val="ListParagraph"/>
        <w:numPr>
          <w:ilvl w:val="0"/>
          <w:numId w:val="1"/>
        </w:numPr>
        <w:spacing w:after="60" w:line="312"/>
        <w:ind w:left="720" w:hanging="360"/>
      </w:pPr>
      <w:r>
        <w:rPr>
          <w:rFonts w:ascii="Inter" w:eastAsia="Inter"/>
          <w:color w:val="1E293B"/>
          <w:sz w:val="22"/>
          <w:szCs w:val="22"/>
        </w:rPr>
        <w:t xml:space="preserve">ADR-087 — Penetration Testing Program (manual pentests complement automated scanning)</w:t>
      </w:r>
    </w:p>
    <w:p>
      <w:pPr>
        <w:pStyle w:val="ListParagraph"/>
        <w:numPr>
          <w:ilvl w:val="0"/>
          <w:numId w:val="1"/>
        </w:numPr>
        <w:spacing w:after="60" w:line="312"/>
        <w:ind w:left="720" w:hanging="360"/>
      </w:pPr>
      <w:r>
        <w:rPr>
          <w:rFonts w:ascii="Inter" w:eastAsia="Inter"/>
          <w:color w:val="1E293B"/>
          <w:sz w:val="22"/>
          <w:szCs w:val="22"/>
        </w:rPr>
        <w:t xml:space="preserve">ADR-090 — Incident Response (vulnerability findings feed incident triage)</w:t>
      </w:r>
    </w:p>
    <w:p>
      <w:pPr>
        <w:pStyle w:val="ListParagraph"/>
        <w:numPr>
          <w:ilvl w:val="0"/>
          <w:numId w:val="1"/>
        </w:numPr>
        <w:spacing w:after="60" w:line="312"/>
        <w:ind w:left="720" w:hanging="360"/>
      </w:pPr>
      <w:r>
        <w:rPr>
          <w:rFonts w:ascii="Inter" w:eastAsia="Inter"/>
          <w:color w:val="1E293B"/>
          <w:sz w:val="22"/>
          <w:szCs w:val="22"/>
        </w:rPr>
        <w:t xml:space="preserve">ADR-118 — Trunk-Based Development (small PRs ideal for shift-left scanning)</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Upstream PRD: PRD-007 (Security Requirements — vulnerability management section)</w:t>
      </w:r>
    </w:p>
    <w:p>
      <w:pPr>
        <w:pStyle w:val="ListParagraph"/>
        <w:numPr>
          <w:ilvl w:val="0"/>
          <w:numId w:val="1"/>
        </w:numPr>
        <w:spacing w:after="60" w:line="312"/>
        <w:ind w:left="720" w:hanging="360"/>
      </w:pPr>
      <w:r>
        <w:rPr>
          <w:rFonts w:ascii="Inter" w:eastAsia="Inter"/>
          <w:color w:val="1E293B"/>
          <w:sz w:val="22"/>
          <w:szCs w:val="22"/>
        </w:rPr>
        <w:t xml:space="preserve">Upstream DDD: DDD-006 (Security Bounded Context — vulnerability findings are an entity)</w:t>
      </w:r>
    </w:p>
    <w:p>
      <w:pPr>
        <w:pStyle w:val="ListParagraph"/>
        <w:numPr>
          <w:ilvl w:val="0"/>
          <w:numId w:val="1"/>
        </w:numPr>
        <w:spacing w:after="60" w:line="312"/>
        <w:ind w:left="720" w:hanging="360"/>
      </w:pPr>
      <w:r>
        <w:rPr>
          <w:rFonts w:ascii="Inter" w:eastAsia="Inter"/>
          <w:color w:val="1E293B"/>
          <w:sz w:val="22"/>
          <w:szCs w:val="22"/>
        </w:rPr>
        <w:t xml:space="preserve">Downstream ERD: ERD-083 (security.findings_summary table)</w:t>
      </w:r>
    </w:p>
    <w:p>
      <w:pPr>
        <w:pStyle w:val="ListParagraph"/>
        <w:numPr>
          <w:ilvl w:val="0"/>
          <w:numId w:val="1"/>
        </w:numPr>
        <w:spacing w:after="60" w:line="312"/>
        <w:ind w:left="720" w:hanging="360"/>
      </w:pPr>
      <w:r>
        <w:rPr>
          <w:rFonts w:ascii="Inter" w:eastAsia="Inter"/>
          <w:color w:val="1E293B"/>
          <w:sz w:val="22"/>
          <w:szCs w:val="22"/>
        </w:rPr>
        <w:t xml:space="preserve">Downstream API Spec: API-083 (internal security scorecard endpoints)</w:t>
      </w:r>
    </w:p>
    <w:p>
      <w:pPr>
        <w:pStyle w:val="ListParagraph"/>
        <w:numPr>
          <w:ilvl w:val="0"/>
          <w:numId w:val="1"/>
        </w:numPr>
        <w:spacing w:after="60" w:line="312"/>
        <w:ind w:left="720" w:hanging="360"/>
      </w:pPr>
      <w:r>
        <w:rPr>
          <w:rFonts w:ascii="Inter" w:eastAsia="Inter"/>
          <w:color w:val="1E293B"/>
          <w:sz w:val="22"/>
          <w:szCs w:val="22"/>
        </w:rPr>
        <w:t xml:space="preserve">Downstream Test Cases: TC-083 (synthetic vulnerability test repository)</w:t>
      </w:r>
    </w:p>
    <w:p>
      <w:pPr>
        <w:pStyle w:val="ListParagraph"/>
        <w:numPr>
          <w:ilvl w:val="0"/>
          <w:numId w:val="1"/>
        </w:numPr>
        <w:spacing w:after="60" w:line="312"/>
        <w:ind w:left="720" w:hanging="360"/>
      </w:pPr>
      <w:r>
        <w:rPr>
          <w:rFonts w:ascii="Inter" w:eastAsia="Inter"/>
          <w:color w:val="1E293B"/>
          <w:sz w:val="22"/>
          <w:szCs w:val="22"/>
        </w:rPr>
        <w:t xml:space="preserve">External: NIST SP 800-40 (Vulnerability Management)</w:t>
      </w:r>
    </w:p>
    <w:p>
      <w:pPr>
        <w:pStyle w:val="ListParagraph"/>
        <w:numPr>
          <w:ilvl w:val="0"/>
          <w:numId w:val="1"/>
        </w:numPr>
        <w:spacing w:after="60" w:line="312"/>
        <w:ind w:left="720" w:hanging="360"/>
      </w:pPr>
      <w:r>
        <w:rPr>
          <w:rFonts w:ascii="Inter" w:eastAsia="Inter"/>
          <w:color w:val="1E293B"/>
          <w:sz w:val="22"/>
          <w:szCs w:val="22"/>
        </w:rPr>
        <w:t xml:space="preserve">External: OWASP DevSecOps Maturity Model</w:t>
      </w:r>
    </w:p>
    <w:p>
      <w:pPr>
        <w:pStyle w:val="ListParagraph"/>
        <w:numPr>
          <w:ilvl w:val="0"/>
          <w:numId w:val="1"/>
        </w:numPr>
        <w:spacing w:after="60" w:line="312"/>
        <w:ind w:left="720" w:hanging="360"/>
      </w:pPr>
      <w:r>
        <w:rPr>
          <w:rFonts w:ascii="Inter" w:eastAsia="Inter"/>
          <w:color w:val="1E293B"/>
          <w:sz w:val="22"/>
          <w:szCs w:val="22"/>
        </w:rPr>
        <w:t xml:space="preserve">External: SANS Vulnerability Management Survey 2024</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2025-09-06</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Security Engineering Lead</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options enumerated; consultation with security and engineering teams</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2025-10-23</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Security Engineering Lead</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Architecture Review Board after cross-team review</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2025-11-20</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published to architecture repository</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2026-07-15</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cross-references to Vol 1-3 ADRs added; 34-section template applied</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Chief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Security Engineering Lead</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ARB Chair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2025-11-20</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ADR published to architecture repository (Done)</w:t>
      </w:r>
    </w:p>
    <w:p>
      <w:pPr>
        <w:pStyle w:val="ListParagraph"/>
        <w:numPr>
          <w:ilvl w:val="0"/>
          <w:numId w:val="1"/>
        </w:numPr>
        <w:spacing w:after="60" w:line="312"/>
        <w:ind w:left="720" w:hanging="360"/>
      </w:pPr>
      <w:r>
        <w:rPr>
          <w:rFonts w:ascii="Inter" w:eastAsia="Inter"/>
          <w:color w:val="1E293B"/>
          <w:sz w:val="22"/>
          <w:szCs w:val="22"/>
        </w:rPr>
        <w:t xml:space="preserve">Cross-references to upstream/downstream artefacts added (Done)</w:t>
      </w:r>
    </w:p>
    <w:p>
      <w:pPr>
        <w:pStyle w:val="ListParagraph"/>
        <w:numPr>
          <w:ilvl w:val="0"/>
          <w:numId w:val="1"/>
        </w:numPr>
        <w:spacing w:after="60" w:line="312"/>
        <w:ind w:left="720" w:hanging="360"/>
      </w:pPr>
      <w:r>
        <w:rPr>
          <w:rFonts w:ascii="Inter" w:eastAsia="Inter"/>
          <w:color w:val="1E293B"/>
          <w:sz w:val="22"/>
          <w:szCs w:val="22"/>
        </w:rPr>
        <w:t xml:space="preserve">Security team briefed in monthly architecture sync (Done)</w:t>
      </w:r>
    </w:p>
    <w:p>
      <w:pPr>
        <w:pStyle w:val="ListParagraph"/>
        <w:numPr>
          <w:ilvl w:val="0"/>
          <w:numId w:val="1"/>
        </w:numPr>
        <w:spacing w:after="60" w:line="312"/>
        <w:ind w:left="720" w:hanging="360"/>
      </w:pPr>
      <w:r>
        <w:rPr>
          <w:rFonts w:ascii="Inter" w:eastAsia="Inter"/>
          <w:color w:val="1E293B"/>
          <w:sz w:val="22"/>
          <w:szCs w:val="22"/>
        </w:rPr>
        <w:t xml:space="preserve">Code review checklist updated to enforce this ADR (Done)</w:t>
      </w:r>
    </w:p>
    <w:p>
      <w:pPr>
        <w:pStyle w:val="ListParagraph"/>
        <w:numPr>
          <w:ilvl w:val="0"/>
          <w:numId w:val="1"/>
        </w:numPr>
        <w:spacing w:after="60" w:line="312"/>
        <w:ind w:left="720" w:hanging="360"/>
      </w:pPr>
      <w:r>
        <w:rPr>
          <w:rFonts w:ascii="Inter" w:eastAsia="Inter"/>
          <w:color w:val="1E293B"/>
          <w:sz w:val="22"/>
          <w:szCs w:val="22"/>
        </w:rPr>
        <w:t xml:space="preserve">On-call runbook updated with operational procedures (Done)</w:t>
      </w:r>
    </w:p>
    <w:p>
      <w:pPr>
        <w:pStyle w:val="ListParagraph"/>
        <w:numPr>
          <w:ilvl w:val="0"/>
          <w:numId w:val="1"/>
        </w:numPr>
        <w:spacing w:after="60" w:line="312"/>
        <w:ind w:left="720" w:hanging="360"/>
      </w:pPr>
      <w:r>
        <w:rPr>
          <w:rFonts w:ascii="Inter" w:eastAsia="Inter"/>
          <w:color w:val="1E293B"/>
          <w:sz w:val="22"/>
          <w:szCs w:val="22"/>
        </w:rPr>
        <w:t xml:space="preserve">Semgrep (SAST) on every PR (Done)</w:t>
      </w:r>
    </w:p>
    <w:p>
      <w:pPr>
        <w:pStyle w:val="ListParagraph"/>
        <w:numPr>
          <w:ilvl w:val="0"/>
          <w:numId w:val="1"/>
        </w:numPr>
        <w:spacing w:after="60" w:line="312"/>
        <w:ind w:left="720" w:hanging="360"/>
      </w:pPr>
      <w:r>
        <w:rPr>
          <w:rFonts w:ascii="Inter" w:eastAsia="Inter"/>
          <w:color w:val="1E293B"/>
          <w:sz w:val="22"/>
          <w:szCs w:val="22"/>
        </w:rPr>
        <w:t xml:space="preserve">Dependabot (SCA) on every PR (Done)</w:t>
      </w:r>
    </w:p>
    <w:p>
      <w:pPr>
        <w:pStyle w:val="ListParagraph"/>
        <w:numPr>
          <w:ilvl w:val="0"/>
          <w:numId w:val="1"/>
        </w:numPr>
        <w:spacing w:after="60" w:line="312"/>
        <w:ind w:left="720" w:hanging="360"/>
      </w:pPr>
      <w:r>
        <w:rPr>
          <w:rFonts w:ascii="Inter" w:eastAsia="Inter"/>
          <w:color w:val="1E293B"/>
          <w:sz w:val="22"/>
          <w:szCs w:val="22"/>
        </w:rPr>
        <w:t xml:space="preserve">GitGuardian (secret scan) pre-receive (Done)</w:t>
      </w:r>
    </w:p>
    <w:p>
      <w:pPr>
        <w:pStyle w:val="ListParagraph"/>
        <w:numPr>
          <w:ilvl w:val="0"/>
          <w:numId w:val="1"/>
        </w:numPr>
        <w:spacing w:after="60" w:line="312"/>
        <w:ind w:left="720" w:hanging="360"/>
      </w:pPr>
      <w:r>
        <w:rPr>
          <w:rFonts w:ascii="Inter" w:eastAsia="Inter"/>
          <w:color w:val="1E293B"/>
          <w:sz w:val="22"/>
          <w:szCs w:val="22"/>
        </w:rPr>
        <w:t xml:space="preserve">OWASP ZAP (DAST) nightly (Done)</w:t>
      </w:r>
    </w:p>
    <w:p>
      <w:pPr>
        <w:pStyle w:val="ListParagraph"/>
        <w:numPr>
          <w:ilvl w:val="0"/>
          <w:numId w:val="1"/>
        </w:numPr>
        <w:spacing w:after="60" w:line="312"/>
        <w:ind w:left="720" w:hanging="360"/>
      </w:pPr>
      <w:r>
        <w:rPr>
          <w:rFonts w:ascii="Inter" w:eastAsia="Inter"/>
          <w:color w:val="1E293B"/>
          <w:sz w:val="22"/>
          <w:szCs w:val="22"/>
        </w:rPr>
        <w:t xml:space="preserve">Checkov (IaC scan) on every Terraform plan (Done)</w:t>
      </w:r>
    </w:p>
    <w:p>
      <w:pPr>
        <w:pStyle w:val="ListParagraph"/>
        <w:numPr>
          <w:ilvl w:val="0"/>
          <w:numId w:val="1"/>
        </w:numPr>
        <w:spacing w:after="60" w:line="312"/>
        <w:ind w:left="720" w:hanging="360"/>
      </w:pPr>
      <w:r>
        <w:rPr>
          <w:rFonts w:ascii="Inter" w:eastAsia="Inter"/>
          <w:color w:val="1E293B"/>
          <w:sz w:val="22"/>
          <w:szCs w:val="22"/>
        </w:rPr>
        <w:t xml:space="preserve">Trivy (container scan) at build (Done)</w:t>
      </w:r>
    </w:p>
    <w:p>
      <w:pPr>
        <w:pStyle w:val="ListParagraph"/>
        <w:numPr>
          <w:ilvl w:val="0"/>
          <w:numId w:val="1"/>
        </w:numPr>
        <w:spacing w:after="60" w:line="312"/>
        <w:ind w:left="720" w:hanging="360"/>
      </w:pPr>
      <w:r>
        <w:rPr>
          <w:rFonts w:ascii="Inter" w:eastAsia="Inter"/>
          <w:color w:val="1E293B"/>
          <w:sz w:val="22"/>
          <w:szCs w:val="22"/>
        </w:rPr>
        <w:t xml:space="preserve">Splunk findings export + dashboard (Done)</w:t>
      </w:r>
    </w:p>
    <w:p>
      <w:pPr>
        <w:pStyle w:val="ListParagraph"/>
        <w:numPr>
          <w:ilvl w:val="0"/>
          <w:numId w:val="1"/>
        </w:numPr>
        <w:spacing w:after="60" w:line="312"/>
        <w:ind w:left="720" w:hanging="360"/>
      </w:pPr>
      <w:r>
        <w:rPr>
          <w:rFonts w:ascii="Inter" w:eastAsia="Inter"/>
          <w:color w:val="1E293B"/>
          <w:sz w:val="22"/>
          <w:szCs w:val="22"/>
        </w:rPr>
        <w:t xml:space="preserve">Jira SLA automation (critical=block, high=7d, med=30d) (Done)</w:t>
      </w:r>
    </w:p>
    <w:p>
      <w:pPr>
        <w:spacing w:after="60" w:before="360" w:line="280"/>
      </w:pPr>
      <w:r>
        <w:rPr>
          <w:rFonts w:ascii="Inter" w:eastAsia="Inter"/>
          <w:b/>
          <w:bCs/>
          <w:color w:val="4F46E5"/>
          <w:spacing w:val="60"/>
          <w:sz w:val="22"/>
          <w:szCs w:val="22"/>
        </w:rPr>
        <w:t xml:space="preserve">ADR-084</w:t>
      </w:r>
    </w:p>
    <w:p>
      <w:pPr>
        <w:pStyle w:val="Heading1"/>
        <w:spacing w:after="200" w:before="60" w:line="312"/>
      </w:pPr>
      <w:r>
        <w:rPr>
          <w:rFonts w:ascii="Inter" w:eastAsia="Inter"/>
          <w:b/>
          <w:bCs/>
          <w:color w:val="0F172A"/>
          <w:sz w:val="36"/>
          <w:szCs w:val="36"/>
        </w:rPr>
        <w:t xml:space="preserve">Web Application Firewall</w:t>
      </w:r>
    </w:p>
    <w:p>
      <w:pPr>
        <w:spacing w:after="120" w:line="280"/>
      </w:pPr>
      <w:r>
        <w:rPr>
          <w:rFonts w:ascii="Inter" w:eastAsia="Inter"/>
          <w:color w:val="64748B"/>
          <w:sz w:val="20"/>
          <w:szCs w:val="20"/>
        </w:rPr>
        <w:t xml:space="preserve">Volume 4 — Security Architecture  -  </w:t>
      </w:r>
      <w:r>
        <w:rPr>
          <w:rFonts w:ascii="Inter" w:eastAsia="Inter"/>
          <w:color w:val="64748B"/>
          <w:sz w:val="20"/>
          <w:szCs w:val="20"/>
        </w:rPr>
        <w:t xml:space="preserve">Identity &amp; Security</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Adopt AWS WAF v2 with the AWS Managed Core Rule Set and AWS Managed Known Bad Inputs Rule Set as the primary WAF, attached to the CloudFront distribution and Application Load Balancer. Custom rules block geographic restrictions (per data residency), rate-limit abusive IPs, and virtual-patch known CVEs awaiting upstream fixes. WAF logs ship to S3 + Splunk for analysis. The WAF runs in 'count' mode for one week before any new rule is promoted to 'block' mode, ensuring zero false-positive blockpages for legitimate users.</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2025-12-02</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Security Engineering Lead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review, or on trigger event (incident, major version upgrade, or strategic shift)</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refreshes for series alignment and cross-references)</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PreOne's public-facing surface includes the web application (CloudFront + ALB + ECS Fargate), the public API (API Gateway + Lambda), and the parent mobile app's backend API. The 2025 Bishop Fox penetration test identified the application layer as the second-highest risk area (after dependency CVEs), citing specific OWASP Top 10 categories: A01 Broken Access Control, A03 Injection, and A05 Security Misconfiguration. While SAST (ADR-083) catches code-level vulnerabilities, it cannot catch runtime attacks against running infrastructure — that is the WAF's job.
The legacy platform used Cloudflare's free-tier WAF, which provided limited customisation and no integration with the AWS-native tooling. The migration to AWS-native infrastructure (ADR-002 modular monolith on ECS Fargate) made AWS WAF the natural choice for consistency. AWS WAF v2 (released 2019, GA 2020) is production-mature, integrates natively with CloudFront and ALB, and supports the AWS Managed Rules that cover OWASP Top 10.
The WAF's role is defense-in-depth: it is not the primary defense (which is secure coding + SAST + dependency scanning), but it provides a runtime layer that can block attacks the primary defenses miss, and can virtual-patch known CVEs while the upstream fix is being developed. The WAF also provides rate-limiting, which is critical for the public API (ADR-076) to prevent credential-stuffing and brute-force attacks.</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The primary driver is runtime defense. SAST catches code vulnerabilities at PR time, but a CVE in a production dependency may not be patched for days; the WAF provides immediate runtime protection via a virtual patch. In 2025, three CVEs in production dependencies were exploited before patches were available; the WAF (had it been deployed) would have blocked all three. The estimated incident-cost avoidance is $200K per year.
A secondary driver is rate-limiting. The public API (parent app, third-party integrations) is subject to credential-stuffing attacks (3-5 per month, each with 10K-100K attempts) and occasional DDoS attempts. The WAF's rate-based rules throttle abusive IPs, protecting backend services from load spikes. Without WAF rate-limiting, the API Gateway throttle (10K RPS) is the only protection — too coarse for sophisticated attacks.
A tertiary driver is compliance. PCI DSS Requirement 6.6 mandates either code review or a WAF for public-facing applications; while PreOne is not PCI-regulated, the same control is expected by FERPA auditors as a 'reasonable security practice'. The WAF provides documentary evidence of runtime application-layer defense.</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PreOne requires a Web Application Firewall in front of all public-facing surfaces to provide runtime defense against OWASP Top 10 attacks, rate-limiting against credential stuffing and brute force, and virtual patching for CVEs awaiting upstream fixes — with zero false-positive blockpages for legitimate users.</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WAF must integrate natively with AWS CloudFront and ALB (no separate proxy tier)</w:t>
      </w:r>
    </w:p>
    <w:p>
      <w:pPr>
        <w:pStyle w:val="ListParagraph"/>
        <w:numPr>
          <w:ilvl w:val="0"/>
          <w:numId w:val="1"/>
        </w:numPr>
        <w:spacing w:after="60" w:line="312"/>
        <w:ind w:left="720" w:hanging="360"/>
      </w:pPr>
      <w:r>
        <w:rPr>
          <w:rFonts w:ascii="Inter" w:eastAsia="Inter"/>
          <w:color w:val="1E293B"/>
          <w:sz w:val="22"/>
          <w:szCs w:val="22"/>
        </w:rPr>
        <w:t xml:space="preserve">Managed Rules must be AWS-curated (no third-party rule subscriptions to reduce operational burden)</w:t>
      </w:r>
    </w:p>
    <w:p>
      <w:pPr>
        <w:pStyle w:val="ListParagraph"/>
        <w:numPr>
          <w:ilvl w:val="0"/>
          <w:numId w:val="1"/>
        </w:numPr>
        <w:spacing w:after="60" w:line="312"/>
        <w:ind w:left="720" w:hanging="360"/>
      </w:pPr>
      <w:r>
        <w:rPr>
          <w:rFonts w:ascii="Inter" w:eastAsia="Inter"/>
          <w:color w:val="1E293B"/>
          <w:sz w:val="22"/>
          <w:szCs w:val="22"/>
        </w:rPr>
        <w:t xml:space="preserve">Every new rule must run in 'count' mode for one week before promotion to 'block' mode</w:t>
      </w:r>
    </w:p>
    <w:p>
      <w:pPr>
        <w:pStyle w:val="ListParagraph"/>
        <w:numPr>
          <w:ilvl w:val="0"/>
          <w:numId w:val="1"/>
        </w:numPr>
        <w:spacing w:after="60" w:line="312"/>
        <w:ind w:left="720" w:hanging="360"/>
      </w:pPr>
      <w:r>
        <w:rPr>
          <w:rFonts w:ascii="Inter" w:eastAsia="Inter"/>
          <w:color w:val="1E293B"/>
          <w:sz w:val="22"/>
          <w:szCs w:val="22"/>
        </w:rPr>
        <w:t xml:space="preserve">WAF logs must ship to S3 (90-day retention) and Splunk (1-year retention for audit)</w:t>
      </w:r>
    </w:p>
    <w:p>
      <w:pPr>
        <w:pStyle w:val="ListParagraph"/>
        <w:numPr>
          <w:ilvl w:val="0"/>
          <w:numId w:val="1"/>
        </w:numPr>
        <w:spacing w:after="60" w:line="312"/>
        <w:ind w:left="720" w:hanging="360"/>
      </w:pPr>
      <w:r>
        <w:rPr>
          <w:rFonts w:ascii="Inter" w:eastAsia="Inter"/>
          <w:color w:val="1E293B"/>
          <w:sz w:val="22"/>
          <w:szCs w:val="22"/>
        </w:rPr>
        <w:t xml:space="preserve">Custom rules must be version-controlled in Terraform (no console-only changes)</w:t>
      </w:r>
    </w:p>
    <w:p>
      <w:pPr>
        <w:pStyle w:val="ListParagraph"/>
        <w:numPr>
          <w:ilvl w:val="0"/>
          <w:numId w:val="1"/>
        </w:numPr>
        <w:spacing w:after="60" w:line="312"/>
        <w:ind w:left="720" w:hanging="360"/>
      </w:pPr>
      <w:r>
        <w:rPr>
          <w:rFonts w:ascii="Inter" w:eastAsia="Inter"/>
          <w:color w:val="1E293B"/>
          <w:sz w:val="22"/>
          <w:szCs w:val="22"/>
        </w:rPr>
        <w:t xml:space="preserve">Blockpage must be branded (PreOne logo + support contact) and HTTP 403 with JSON body</w:t>
      </w:r>
    </w:p>
    <w:p>
      <w:pPr>
        <w:pStyle w:val="ListParagraph"/>
        <w:numPr>
          <w:ilvl w:val="0"/>
          <w:numId w:val="1"/>
        </w:numPr>
        <w:spacing w:after="60" w:line="312"/>
        <w:ind w:left="720" w:hanging="360"/>
      </w:pPr>
      <w:r>
        <w:rPr>
          <w:rFonts w:ascii="Inter" w:eastAsia="Inter"/>
          <w:color w:val="1E293B"/>
          <w:sz w:val="22"/>
          <w:szCs w:val="22"/>
        </w:rPr>
        <w:t xml:space="preserve">False-positive blockpage must be revertible within 5 minutes (Terraform apply)</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AWS Managed Core Rule Set covers &gt;= 90% of OWASP Top 10 attacks at acceptable false-positive rate</w:t>
      </w:r>
    </w:p>
    <w:p>
      <w:pPr>
        <w:pStyle w:val="ListParagraph"/>
        <w:numPr>
          <w:ilvl w:val="0"/>
          <w:numId w:val="1"/>
        </w:numPr>
        <w:spacing w:after="60" w:line="312"/>
        <w:ind w:left="720" w:hanging="360"/>
      </w:pPr>
      <w:r>
        <w:rPr>
          <w:rFonts w:ascii="Inter" w:eastAsia="Inter"/>
          <w:color w:val="1E293B"/>
          <w:sz w:val="22"/>
          <w:szCs w:val="22"/>
        </w:rPr>
        <w:t xml:space="preserve">CloudFront + ALB can sustain the additional WAF inspection latency (&lt;10ms p99)</w:t>
      </w:r>
    </w:p>
    <w:p>
      <w:pPr>
        <w:pStyle w:val="ListParagraph"/>
        <w:numPr>
          <w:ilvl w:val="0"/>
          <w:numId w:val="1"/>
        </w:numPr>
        <w:spacing w:after="60" w:line="312"/>
        <w:ind w:left="720" w:hanging="360"/>
      </w:pPr>
      <w:r>
        <w:rPr>
          <w:rFonts w:ascii="Inter" w:eastAsia="Inter"/>
          <w:color w:val="1E293B"/>
          <w:sz w:val="22"/>
          <w:szCs w:val="22"/>
        </w:rPr>
        <w:t xml:space="preserve">WAF logs to S3 are sufficiently timely for incident response (5-minute delivery)</w:t>
      </w:r>
    </w:p>
    <w:p>
      <w:pPr>
        <w:pStyle w:val="ListParagraph"/>
        <w:numPr>
          <w:ilvl w:val="0"/>
          <w:numId w:val="1"/>
        </w:numPr>
        <w:spacing w:after="60" w:line="312"/>
        <w:ind w:left="720" w:hanging="360"/>
      </w:pPr>
      <w:r>
        <w:rPr>
          <w:rFonts w:ascii="Inter" w:eastAsia="Inter"/>
          <w:color w:val="1E293B"/>
          <w:sz w:val="22"/>
          <w:szCs w:val="22"/>
        </w:rPr>
        <w:t xml:space="preserve">The engineering team will respect the count-mode -&gt; block-mode promotion workflow</w:t>
      </w:r>
    </w:p>
    <w:p>
      <w:pPr>
        <w:pStyle w:val="ListParagraph"/>
        <w:numPr>
          <w:ilvl w:val="0"/>
          <w:numId w:val="1"/>
        </w:numPr>
        <w:spacing w:after="60" w:line="312"/>
        <w:ind w:left="720" w:hanging="360"/>
      </w:pPr>
      <w:r>
        <w:rPr>
          <w:rFonts w:ascii="Inter" w:eastAsia="Inter"/>
          <w:color w:val="1E293B"/>
          <w:sz w:val="22"/>
          <w:szCs w:val="22"/>
        </w:rPr>
        <w:t xml:space="preserve">AWS WAF pricing ($5/rule/month + $1/million requests) is acceptable against the security budget</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AWS WAF v2 with AWS Managed Rules, attached to CloudFront + ALB, count-mode promotion workflow.</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Native AWS integration; managed rules reduce operational burden; Terraform-managed for audit; integrates with Splunk; consistent with AWS-native architecture (ADR-002).</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AWS Managed Rules are less comprehensive than Cloudflare's equivalent; no bot-management out-of-the-box; cost scales with request volume.</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Adopted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Cloudflare WAF on the free/pro plan, with Cloudflare as the edge proxy.</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Best-in-class managed rules; bot management included; global edge network (faster than CloudFront for some regions); generous free tier.</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Introduces a non-AWS dependency; Cloudflare's WAF rules are not Terraform-managed (console-driven); log export to Splunk requires Cloudflare Enterprise ($5K+/month); conflicts with the AWS-native architecture (ADR-002).</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Open-source ModSecurity WAF on a self-managed EC2 proxy tier.</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Free (open-source); OWASP Core Rule Set is comprehensive; full control over rules.</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Self-managed infrastructure (operational overhead); single point of failure if proxy tier fails; ModSecurity performance is poor under high load; requires a dedicated engineer to maintain.</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No WAF; rely on SAST + DAST + secure coding alone.</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Zero cost; no operational overhead; no false-positive risk.</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No runtime defense; cannot virtual-patch CVEs; fails FERPA 'reasonable security practice' expectation; 2025 audit explicitly recommended WAF adoption.</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Adopt AWS WAF v2 with the AWS Managed Core Rule Set and AWS Managed Known Bad Inputs Rule Set, attached to the CloudFront distribution (web application) and Application Load Balancer (public API). Custom rules enforce: (1) geographic restrictions per data residency (India, EU, US only — other countries blocked with a 403); (2) rate-limiting (100 requests/minute per IP for the login endpoint, 1000/minute for general API); (3) virtual patches for known CVEs awaiting upstream fixes. Every new rule runs in 'count' mode for one week; the security team reviews counts and false-positive indicators before promoting to 'block' mode. WAF logs ship to S3 (90-day retention, Athena-queryable) and Splunk (1-year retention for audit). All rules are Terraform-managed.</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AWS WAF v2 was chosen over Cloudflare because of architectural consistency. PreOne's infrastructure is AWS-native (ADR-002: ECS Fargate, RDS, S3, CloudFront); introducing Cloudflare as the edge proxy would split the operational model, complicate Terraform, and require a separate log pipeline. The AWS WAF's tighter integration with CloudFront and ALB (one-click attach, native log destination) outweighs Cloudflare's marginally better rule set. The Cloudflare Enterprise tier ($5K+/month) required for Splunk log export would have negated the cost advantage.
The AWS Managed Rules were chosen over self-written rules because the AWS security team maintains them against the evolving threat landscape (CVE feeds, OWASP updates). PreOne's security team is two engineers; writing and maintaining custom rules against 10,000+ daily attack signatures is infeasible. The Managed Core Rule Set covers OWASP Top 10 with documented false-positive rates under 0.1% for typical web traffic — acceptable given the count-mode promotion workflow.
The count-mode -&gt; block-mode promotion workflow is the critical design choice. WAF false positives that block legitimate users are worse than no WAF at all — they generate customer support tickets, churn, and reputational damage. The one-week count-mode period allows the security team to verify that a rule blocks attacks without blocking legitimate traffic. Rules that show any false positives in count mode are tuned (e.g., exclude a specific path or user agent) before promotion. The workflow is enforced via Terraform: a rule's 'action' attribute is set to 'count' for one week, then a PR promotes it to 'block' after review.
The geographic restriction rule is mandated by data residency requirements. PreOne's Indian customers' data must not be accessed from outside India (DPDP); EU customers' data must not be accessed from outside the EU (GDPR). The WAF blocks requests from non-allowed countries at the edge, before they reach the application. This is a defense-in-depth control — the application also enforces residency via IP-based geolocation (ADR-043) — but the WAF block is faster (no application processing) and cheaper (no compute cost for blocked requests).
Rate-limiting is the second critical custom rule. The login endpoint is the most-attacked (credential stuffing); a 100/minute per-IP limit blocks automated stuffing tools without affecting legitimate users (who attempt &lt;5 logins per minute). The general API limit (1000/minute per IP) is generous enough for legitimate integrations but blocks simple DDoS attempts. Sophisticated DDoS attacks with distributed IPs are handled by AWS Shield (standard, included with CloudFront) and AWS Shield Advanced (ADR-085) for the largest attacks.
Virtual patching is the WAF's highest-value feature. When a CVE is announced in a production dependency (e.g., a Struts-style RCE), the WAF can block the exploit signature within hours, while the upstream patch may take days to develop and deploy. In 2025, three such CVEs were exploited before patches were available; the WAF would have blocked all three. The virtual patch is a temporary rule, removed when the upstream patch is deployed and verified. The security team maintains a runbook for virtual patching: monitor CVE feeds, evaluate exploitability, write WAF rule, deploy in count mode for 24 hours (faster than the standard one-week), promote to block mode.</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PreOne WAF Topology                                 |
+------------------------------------------------------------------+
|                                                                  |
|  Client Request                                                  |
|       |                                                          |
|       v                                                          |
|  +-------------------+                                           |
|  | AWS CloudFront    |  (edge location, global)                 |
|  | + AWS WAF v2      |                                           |
|  |   - Managed Core  |                                           |
|  |   - Known Bad     |                                           |
|  |     Inputs        |                                           |
|  |   - Geo restrict  |                                           |
|  |   - Rate limit    |                                           |
|  |   - Virtual patch |                                           |
|  +---------+---------+                                           |
|            |                                                     |
|            v                                                     |
|  +-------------------+                                           |
|  | Application Load  |                                           |
|  | Balancer (ALB)    |                                           |
|  | + AWS WAF v2      |  (defense-in-depth, same rules)          |
|  +---------+---------+                                           |
|            |                                                     |
|            v                                                     |
|  +-------------------+                                           |
|  | ECS Fargate       |                                           |
|  | (Modular Monolith)|                                           |
|  +-------------------+                                           |
|                                                                  |
|  Logging:                                                        |
|  WAF -&gt; S3 (90-day, Athena-queryable)                            |
|  WAF -&gt; Splunk (1-year, audit)                                   |
|                                                                  |
|  Terraform:                                                      |
|  All rules version-controlled;                                   |
|  count-mode -&gt; block-mode promotion enforced via PR review       |
+------------------------------------------------------------------+</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Client -&gt; CloudFront: HTTPS request
CloudFront -&gt; WAF: inspect request
WAF -&gt; WAF: check managed rules
WAF -&gt; WAF: check custom rules (geo, rate, virtual patch)
alt rule matches in 'count' mode
  WAF -&gt; S3: log (counted, not blocked)
  WAF -&gt; CloudFront: allow
else rule matches in 'block' mode
  WAF -&gt; Client: 403 + JSON body
  WAF -&gt; S3: log (blocked)
else no rule matches
  WAF -&gt; CloudFront: allow
end
CloudFront -&gt; ALB: forward (if allowed)
ALB -&gt; WAF: inspect (defense-in-depth)
WAF -&gt; ALB: allow / block
ALB -&gt; ECS: forward (if allowed)
ECS -&gt; ALB: response</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ADR-084 — Web Application Firewall  -  Component View  |
+-------------------------------------------------------------+
|                                                             |
|  +----------------+        +----------------------+         |
|  | CloudFront     |  recv  | AWS WAF v2           |         |
|  |                |  req   |  - Managed Core Rule |         |
|  +----------------+        |  - Known Bad Inputs  |         |
|                              |  - Geo restrict      |         |
|                              |  - Rate limit        |         |
|                              |  - Virtual patch     |         |
|                              +----------+-----------+         |
|                                         |                     |
|                                         | match?              |
|                                         v                     |
|  +----------------+        +----------------------+         |
|  | WAF Action     | block/ | 403 JSON response    |         |
|  |                | count  | + log to S3/Splunk   |         |
|  +----------------+        +----------------------+         |
|                                                             |
|  Rules: Terraform-managed; count-mode -&gt; block-mode promo  |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Data Flow:
  Producer -&gt; App Service -&gt; Security Component -&gt; Audit
  Security Component -&gt; Splunk (logs)
  Security Component -&gt; Alert (if anomaly)
Read Flow:
  Consumer -&gt; App Service -&gt; Security Component -&gt; allow/deny</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WAF has no direct database impact. WAF logs are written to S3 (object storage, not Postgres). The security.findings_summary table (from ADR-083) includes a row for WAF-blocked requests aggregated daily, populated by a Splunk-to-Postgres ETL job. The WAF logs in S3 are queryable via Athena for ad-hoc analysis (e.g., 'show me all blocked requests from IP X in the last 24 hours'). No schema changes are required.</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No API changes. WAF is transparent to the application. Blocked requests receive an HTTP 403 with a JSON body: { error: 'request_blocked', reason: 'waf_rule_matched', rule_id: '...', support_contact: 'security@preone.com' }. The error response is branded (PreOne logo in the HTML variant for browser requests). The application's error handler logs the WAF block ID for correlation with WAF logs in Splunk. Legitimate API consumers are unaffected unless they trigger a rule (e.g., a third-party integration that sends a suspicious payload) — in which case the security team works with the consumer to whitelist their traffic via a WAF exclusion.</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The UI surface for this ADR is minimal — the decision is primarily a security-layer concern. Where the decision affects the user experience, it is through indirect mechanisms (authentication flow, authorization visibility, performance, latency) rather than direct UI elements. The admin UI may include a read-only status page showing the relevant security configuration or health metrics for SRE visibility; end-user-facing changes are limited to incidental security or reliability improvements.</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The WAF is a critical security control. It provides runtime defense against OWASP Top 10 attacks, rate-limits credential stuffing and brute force, and virtual-patches known CVEs. The 2025 audit cited three CVE-exploitation incidents that the WAF would have blocked; the estimated annual incident-cost avoidance is $200K. The geographic restriction rule enforces data residency at the edge, before any application processing — a defense-in-depth complement to the application-layer residency enforcement (ADR-043). The WAF also provides documentary evidence of application-layer defense for FERPA/GDPR/DPDP audits.</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WAF inspection adds 5-10ms p99 latency to every request. This is acceptable given CloudFront's typical 30-50ms edge latency. The WAF runs at the edge (CloudFront) and at the ALB, providing defense-in-depth without doubling latency (the ALB WAF only runs for requests that bypass CloudFront, e.g., direct ALB access for internal API consumers). Rate-limiting rules have negligible performance impact (constant-time lookup in a sliding window). WAF log delivery to S3 is asynchronous and does not affect request latency.</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AWS WAF scales with the AWS edge network (no PreOne-managed capacity). The WAF has handled peak traffic of 50K RPS (back-to-school enrollment peak in August 2025) with no degradation. Cost scales linearly with request volume: at 200M requests/month (current), WAF cost is ~$1,500/month for rules + $200 for requests = $1,700/month. Projected 2027 traffic (500M requests/month) increases cost to ~$3,500/month — well within the security budget.</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The Security Engineering Lead is on-call for WAF-related escalations. The team monitors a #waf-alerts Slack channel where WAF block spikes (e.g., a 10x increase in blocked requests in a 5-minute window) are posted automatically. Weekly, the team reviews the top 10 blocked IPs and the top 10 triggered rules; recurring false-positive indicators (e.g., a rule that blocks a legitimate API consumer) are tuned. Monthly, the team reviews the count-mode rules and promotes qualified rules to block mode. The WAF Terraform module is reviewed annually for rule coverage and false-positive rate.</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False-positive block disrupts legitimate users (e.g., a managed rule update blocks a valid user agent)</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Count-mode promotion workflow; 5-minute revert via Terraform; branded blockpage with support contact;Splunk dashboard for false-positive detection</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WAF rule bypass (attacker crafts request that evades the rule)</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Defense-in-depth (SAST, DAST, secure coding); AWS Managed Rules updated quarterly; annual penetration test (ADR-087) tests WAF bypass</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WAF outage blocks all traffic (availability impact)</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AWS WAF is a managed service with 99.95% SLA; failover path bypasses WAF (direct ALB) via Route53 health check; documented runbook</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Geographic restriction blocks legitimate users (e.g., a teacher traveling abroad)</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Support-ticket-driven whitelist process (5-minute Terraform apply); VPN-based access for traveling staff; documented in user guide</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Cost overrun from request-volume spike (e.g., a viral moment drives 10x traffic)</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AWS budget alert at 80% of monthly WAF budget; rate-limiting rules cap abusive traffic; monthly cost review</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Runtime defense against OWASP Top 10 + virtual patching</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5-10ms added latency per request</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Native AWS integration (CloudFront + ALB + Splunk)</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AWS Managed Rules are less comprehensive than Cloudflare's</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Terraform-managed rules for audit and version control</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Console-driven rule tuning is faster but not auditable</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Count-mode promotion workflow prevents false-positive blocks</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One-week delay before new rules enforce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Geographic restriction enforces data residency at edge</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Legitimate traveling users require manual whitelist</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Cloudflare WAF was piloted in Q3 2025 on the staging environment. The pilot found Cloudflare's managed rules marginally better than AWS's (caught 95% vs 92% of OWASP test cases), but the operational overhead of managing a non-AWS edge proxy (separate Terraform provider, separate log pipeline, separate on-call runbook) outweighed the marginal rule-quality advantage. The ModSecurity self-hosted option was rejected after a capacity-planning exercise showed it would require 4 dedicated EC2 instances with active-active redundancy, plus a dedicated engineer for rule maintenance — incompatible with the two-engineer security team. The 'no WAF' option was explicitly rejected by the ARB after the 2025 audit cited three CVE-exploitation incidents that WAF would have blocked.</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Phase 1 (Q4 2025, complete): AWS WAF v2 attached to CloudFront in count mode for all managed rules. Phase 2 (Q4 2025, complete): One-week count-mode observation; rules promoted to block mode after false-positive review. Phase 3 (Q1 2026, complete): WAF attached to ALB (defense-in-depth). Phase 4 (Q1 2026, complete): Custom rules for geographic restriction, rate-limiting, and virtual patching. Phase 5 (Q2 2026, complete): Splunk integration for log analysis. Phase 6 (Q3 2026, planned): WAF dashboard for engineering managers. Migration was non-disruptive because count-mode rules do not block traffic; the cutover to block mode was gradual (one rule per day) with rollback on any false-positive indicator.</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WAF rules are tested via the AWS WAF Testing API and a synthetic attack-replay suite. The testing repository (security-waf-test) contains 100+ attack payloads (SQL injection, XSS, path traversal, log4j, etc.) replayed against staging weekly. Expected: all attacks blocked in block mode; all attacks counted in count mode. False-positive tests replay legitimate traffic (recorded production traffic, sanitised) and verify zero blocks. Monthly, the team runs an OWASP ZAP scan against staging with WAF enabled to verify end-to-end protection. Quarterly, the team reviews AWS's Managed Rules changelog for rule updates that may require re-tuning.</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WAF logs ship to S3 (5-minute delivery) and Splunk (real-time via Kinesis Firehose). Splunk dashboards track: (a) blocked requests per minute by rule; (b) top blocked IPs (last 24 hours); (c) top triggered rules (last 7 days); (d) count-mode rule trends (indicates attack patterns before block promotion); (e) false-positive indicators (legitimate traffic blocked, detected via support ticket correlation). Anomalies (e.g., a 10x spike in a specific rule) trigger Slack alerts. The WAF dashboard (admin/operations/security/waf) provides a real-time view for the security team.</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Three evolutions are likely. First, bot management may be added (AWS WAF bot control rule) to differentiate automated traffic from human traffic — useful for the public API where legitimate bots (third-party integrations) and malicious bots (credential stuffing) coexist. Second, machine-learning-based anomaly detection (AWS WAF Fraud Control) may be enabled for the login endpoint to detect credential stuffing patterns beyond simple rate-limiting. Third, the WAF may be extended to the internal API Gateway (between services) for defense-in-depth, though this is gated on a performance impact assessment.</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ADR-002 — Modular Monolith Strategy (WAF protects the monolith's public surface)</w:t>
      </w:r>
    </w:p>
    <w:p>
      <w:pPr>
        <w:pStyle w:val="ListParagraph"/>
        <w:numPr>
          <w:ilvl w:val="0"/>
          <w:numId w:val="1"/>
        </w:numPr>
        <w:spacing w:after="60" w:line="312"/>
        <w:ind w:left="720" w:hanging="360"/>
      </w:pPr>
      <w:r>
        <w:rPr>
          <w:rFonts w:ascii="Inter" w:eastAsia="Inter"/>
          <w:color w:val="1E293B"/>
          <w:sz w:val="22"/>
          <w:szCs w:val="22"/>
        </w:rPr>
        <w:t xml:space="preserve">ADR-043 — Tenant Isolation (WAF geo-restriction complements tenant isolation)</w:t>
      </w:r>
    </w:p>
    <w:p>
      <w:pPr>
        <w:pStyle w:val="ListParagraph"/>
        <w:numPr>
          <w:ilvl w:val="0"/>
          <w:numId w:val="1"/>
        </w:numPr>
        <w:spacing w:after="60" w:line="312"/>
        <w:ind w:left="720" w:hanging="360"/>
      </w:pPr>
      <w:r>
        <w:rPr>
          <w:rFonts w:ascii="Inter" w:eastAsia="Inter"/>
          <w:color w:val="1E293B"/>
          <w:sz w:val="22"/>
          <w:szCs w:val="22"/>
        </w:rPr>
        <w:t xml:space="preserve">ADR-076 — API Security (WAF rate-limits protect the public API)</w:t>
      </w:r>
    </w:p>
    <w:p>
      <w:pPr>
        <w:pStyle w:val="ListParagraph"/>
        <w:numPr>
          <w:ilvl w:val="0"/>
          <w:numId w:val="1"/>
        </w:numPr>
        <w:spacing w:after="60" w:line="312"/>
        <w:ind w:left="720" w:hanging="360"/>
      </w:pPr>
      <w:r>
        <w:rPr>
          <w:rFonts w:ascii="Inter" w:eastAsia="Inter"/>
          <w:color w:val="1E293B"/>
          <w:sz w:val="22"/>
          <w:szCs w:val="22"/>
        </w:rPr>
        <w:t xml:space="preserve">ADR-080 — Rate Limiting (WAF provides IP-based rate-limiting; ADR-080 provides user-based)</w:t>
      </w:r>
    </w:p>
    <w:p>
      <w:pPr>
        <w:pStyle w:val="ListParagraph"/>
        <w:numPr>
          <w:ilvl w:val="0"/>
          <w:numId w:val="1"/>
        </w:numPr>
        <w:spacing w:after="60" w:line="312"/>
        <w:ind w:left="720" w:hanging="360"/>
      </w:pPr>
      <w:r>
        <w:rPr>
          <w:rFonts w:ascii="Inter" w:eastAsia="Inter"/>
          <w:color w:val="1E293B"/>
          <w:sz w:val="22"/>
          <w:szCs w:val="22"/>
        </w:rPr>
        <w:t xml:space="preserve">ADR-081 — Security Headers (WAF enforces security headers in addition to application)</w:t>
      </w:r>
    </w:p>
    <w:p>
      <w:pPr>
        <w:pStyle w:val="ListParagraph"/>
        <w:numPr>
          <w:ilvl w:val="0"/>
          <w:numId w:val="1"/>
        </w:numPr>
        <w:spacing w:after="60" w:line="312"/>
        <w:ind w:left="720" w:hanging="360"/>
      </w:pPr>
      <w:r>
        <w:rPr>
          <w:rFonts w:ascii="Inter" w:eastAsia="Inter"/>
          <w:color w:val="1E293B"/>
          <w:sz w:val="22"/>
          <w:szCs w:val="22"/>
        </w:rPr>
        <w:t xml:space="preserve">ADR-083 — Vulnerability Management (WAF virtual-patches CVEs found by vuln mgmt)</w:t>
      </w:r>
    </w:p>
    <w:p>
      <w:pPr>
        <w:pStyle w:val="ListParagraph"/>
        <w:numPr>
          <w:ilvl w:val="0"/>
          <w:numId w:val="1"/>
        </w:numPr>
        <w:spacing w:after="60" w:line="312"/>
        <w:ind w:left="720" w:hanging="360"/>
      </w:pPr>
      <w:r>
        <w:rPr>
          <w:rFonts w:ascii="Inter" w:eastAsia="Inter"/>
          <w:color w:val="1E293B"/>
          <w:sz w:val="22"/>
          <w:szCs w:val="22"/>
        </w:rPr>
        <w:t xml:space="preserve">ADR-085 — DDoS Protection (WAF is the application-layer component of DDoS defense)</w:t>
      </w:r>
    </w:p>
    <w:p>
      <w:pPr>
        <w:pStyle w:val="ListParagraph"/>
        <w:numPr>
          <w:ilvl w:val="0"/>
          <w:numId w:val="1"/>
        </w:numPr>
        <w:spacing w:after="60" w:line="312"/>
        <w:ind w:left="720" w:hanging="360"/>
      </w:pPr>
      <w:r>
        <w:rPr>
          <w:rFonts w:ascii="Inter" w:eastAsia="Inter"/>
          <w:color w:val="1E293B"/>
          <w:sz w:val="22"/>
          <w:szCs w:val="22"/>
        </w:rPr>
        <w:t xml:space="preserve">ADR-086 — Audit Trail (WAF logs feed the audit trail)</w:t>
      </w:r>
    </w:p>
    <w:p>
      <w:pPr>
        <w:pStyle w:val="ListParagraph"/>
        <w:numPr>
          <w:ilvl w:val="0"/>
          <w:numId w:val="1"/>
        </w:numPr>
        <w:spacing w:after="60" w:line="312"/>
        <w:ind w:left="720" w:hanging="360"/>
      </w:pPr>
      <w:r>
        <w:rPr>
          <w:rFonts w:ascii="Inter" w:eastAsia="Inter"/>
          <w:color w:val="1E293B"/>
          <w:sz w:val="22"/>
          <w:szCs w:val="22"/>
        </w:rPr>
        <w:t xml:space="preserve">ADR-087 — Penetration Testing Program (pentests verify WAF effectiveness)</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Upstream PRD: PRD-007 (Security Requirements — WAF section)</w:t>
      </w:r>
    </w:p>
    <w:p>
      <w:pPr>
        <w:pStyle w:val="ListParagraph"/>
        <w:numPr>
          <w:ilvl w:val="0"/>
          <w:numId w:val="1"/>
        </w:numPr>
        <w:spacing w:after="60" w:line="312"/>
        <w:ind w:left="720" w:hanging="360"/>
      </w:pPr>
      <w:r>
        <w:rPr>
          <w:rFonts w:ascii="Inter" w:eastAsia="Inter"/>
          <w:color w:val="1E293B"/>
          <w:sz w:val="22"/>
          <w:szCs w:val="22"/>
        </w:rPr>
        <w:t xml:space="preserve">Downstream ERD: ERD-084 (security.waf_findings table for aggregated WAF metrics)</w:t>
      </w:r>
    </w:p>
    <w:p>
      <w:pPr>
        <w:pStyle w:val="ListParagraph"/>
        <w:numPr>
          <w:ilvl w:val="0"/>
          <w:numId w:val="1"/>
        </w:numPr>
        <w:spacing w:after="60" w:line="312"/>
        <w:ind w:left="720" w:hanging="360"/>
      </w:pPr>
      <w:r>
        <w:rPr>
          <w:rFonts w:ascii="Inter" w:eastAsia="Inter"/>
          <w:color w:val="1E293B"/>
          <w:sz w:val="22"/>
          <w:szCs w:val="22"/>
        </w:rPr>
        <w:t xml:space="preserve">Downstream API Spec: API-084 (internal WAF dashboard endpoints)</w:t>
      </w:r>
    </w:p>
    <w:p>
      <w:pPr>
        <w:pStyle w:val="ListParagraph"/>
        <w:numPr>
          <w:ilvl w:val="0"/>
          <w:numId w:val="1"/>
        </w:numPr>
        <w:spacing w:after="60" w:line="312"/>
        <w:ind w:left="720" w:hanging="360"/>
      </w:pPr>
      <w:r>
        <w:rPr>
          <w:rFonts w:ascii="Inter" w:eastAsia="Inter"/>
          <w:color w:val="1E293B"/>
          <w:sz w:val="22"/>
          <w:szCs w:val="22"/>
        </w:rPr>
        <w:t xml:space="preserve">Downstream Test Cases: TC-084 (WAF attack-replay test suite)</w:t>
      </w:r>
    </w:p>
    <w:p>
      <w:pPr>
        <w:pStyle w:val="ListParagraph"/>
        <w:numPr>
          <w:ilvl w:val="0"/>
          <w:numId w:val="1"/>
        </w:numPr>
        <w:spacing w:after="60" w:line="312"/>
        <w:ind w:left="720" w:hanging="360"/>
      </w:pPr>
      <w:r>
        <w:rPr>
          <w:rFonts w:ascii="Inter" w:eastAsia="Inter"/>
          <w:color w:val="1E293B"/>
          <w:sz w:val="22"/>
          <w:szCs w:val="22"/>
        </w:rPr>
        <w:t xml:space="preserve">External: AWS WAF Developer Guide</w:t>
      </w:r>
    </w:p>
    <w:p>
      <w:pPr>
        <w:pStyle w:val="ListParagraph"/>
        <w:numPr>
          <w:ilvl w:val="0"/>
          <w:numId w:val="1"/>
        </w:numPr>
        <w:spacing w:after="60" w:line="312"/>
        <w:ind w:left="720" w:hanging="360"/>
      </w:pPr>
      <w:r>
        <w:rPr>
          <w:rFonts w:ascii="Inter" w:eastAsia="Inter"/>
          <w:color w:val="1E293B"/>
          <w:sz w:val="22"/>
          <w:szCs w:val="22"/>
        </w:rPr>
        <w:t xml:space="preserve">External: OWASP ModSecurity Core Rule Set</w:t>
      </w:r>
    </w:p>
    <w:p>
      <w:pPr>
        <w:pStyle w:val="ListParagraph"/>
        <w:numPr>
          <w:ilvl w:val="0"/>
          <w:numId w:val="1"/>
        </w:numPr>
        <w:spacing w:after="60" w:line="312"/>
        <w:ind w:left="720" w:hanging="360"/>
      </w:pPr>
      <w:r>
        <w:rPr>
          <w:rFonts w:ascii="Inter" w:eastAsia="Inter"/>
          <w:color w:val="1E293B"/>
          <w:sz w:val="22"/>
          <w:szCs w:val="22"/>
        </w:rPr>
        <w:t xml:space="preserve">External: NIST SP 800-44 (Guidelines on Securing Public Web Servers)</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2025-09-18</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Security Engineering Lead</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options enumerated; consultation with security and engineering teams</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2025-11-04</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Security Engineering Lead</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Architecture Review Board after cross-team review</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2025-12-02</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published to architecture repository</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2026-07-15</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cross-references to Vol 1-3 ADRs added; 34-section template applied</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Chief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Security Engineering Lead</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ARB Chair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2025-12-02</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ADR published to architecture repository (Done)</w:t>
      </w:r>
    </w:p>
    <w:p>
      <w:pPr>
        <w:pStyle w:val="ListParagraph"/>
        <w:numPr>
          <w:ilvl w:val="0"/>
          <w:numId w:val="1"/>
        </w:numPr>
        <w:spacing w:after="60" w:line="312"/>
        <w:ind w:left="720" w:hanging="360"/>
      </w:pPr>
      <w:r>
        <w:rPr>
          <w:rFonts w:ascii="Inter" w:eastAsia="Inter"/>
          <w:color w:val="1E293B"/>
          <w:sz w:val="22"/>
          <w:szCs w:val="22"/>
        </w:rPr>
        <w:t xml:space="preserve">Cross-references to upstream/downstream artefacts added (Done)</w:t>
      </w:r>
    </w:p>
    <w:p>
      <w:pPr>
        <w:pStyle w:val="ListParagraph"/>
        <w:numPr>
          <w:ilvl w:val="0"/>
          <w:numId w:val="1"/>
        </w:numPr>
        <w:spacing w:after="60" w:line="312"/>
        <w:ind w:left="720" w:hanging="360"/>
      </w:pPr>
      <w:r>
        <w:rPr>
          <w:rFonts w:ascii="Inter" w:eastAsia="Inter"/>
          <w:color w:val="1E293B"/>
          <w:sz w:val="22"/>
          <w:szCs w:val="22"/>
        </w:rPr>
        <w:t xml:space="preserve">Security team briefed in monthly architecture sync (Done)</w:t>
      </w:r>
    </w:p>
    <w:p>
      <w:pPr>
        <w:pStyle w:val="ListParagraph"/>
        <w:numPr>
          <w:ilvl w:val="0"/>
          <w:numId w:val="1"/>
        </w:numPr>
        <w:spacing w:after="60" w:line="312"/>
        <w:ind w:left="720" w:hanging="360"/>
      </w:pPr>
      <w:r>
        <w:rPr>
          <w:rFonts w:ascii="Inter" w:eastAsia="Inter"/>
          <w:color w:val="1E293B"/>
          <w:sz w:val="22"/>
          <w:szCs w:val="22"/>
        </w:rPr>
        <w:t xml:space="preserve">Code review checklist updated to enforce this ADR (Done)</w:t>
      </w:r>
    </w:p>
    <w:p>
      <w:pPr>
        <w:pStyle w:val="ListParagraph"/>
        <w:numPr>
          <w:ilvl w:val="0"/>
          <w:numId w:val="1"/>
        </w:numPr>
        <w:spacing w:after="60" w:line="312"/>
        <w:ind w:left="720" w:hanging="360"/>
      </w:pPr>
      <w:r>
        <w:rPr>
          <w:rFonts w:ascii="Inter" w:eastAsia="Inter"/>
          <w:color w:val="1E293B"/>
          <w:sz w:val="22"/>
          <w:szCs w:val="22"/>
        </w:rPr>
        <w:t xml:space="preserve">On-call runbook updated with operational procedures (Done)</w:t>
      </w:r>
    </w:p>
    <w:p>
      <w:pPr>
        <w:spacing w:after="60" w:before="360" w:line="280"/>
      </w:pPr>
      <w:r>
        <w:rPr>
          <w:rFonts w:ascii="Inter" w:eastAsia="Inter"/>
          <w:b/>
          <w:bCs/>
          <w:color w:val="4F46E5"/>
          <w:spacing w:val="60"/>
          <w:sz w:val="22"/>
          <w:szCs w:val="22"/>
        </w:rPr>
        <w:t xml:space="preserve">ADR-085</w:t>
      </w:r>
    </w:p>
    <w:p>
      <w:pPr>
        <w:pStyle w:val="Heading1"/>
        <w:spacing w:after="200" w:before="60" w:line="312"/>
      </w:pPr>
      <w:r>
        <w:rPr>
          <w:rFonts w:ascii="Inter" w:eastAsia="Inter"/>
          <w:b/>
          <w:bCs/>
          <w:color w:val="0F172A"/>
          <w:sz w:val="36"/>
          <w:szCs w:val="36"/>
        </w:rPr>
        <w:t xml:space="preserve">DDoS Protection</w:t>
      </w:r>
    </w:p>
    <w:p>
      <w:pPr>
        <w:spacing w:after="120" w:line="280"/>
      </w:pPr>
      <w:r>
        <w:rPr>
          <w:rFonts w:ascii="Inter" w:eastAsia="Inter"/>
          <w:color w:val="64748B"/>
          <w:sz w:val="20"/>
          <w:szCs w:val="20"/>
        </w:rPr>
        <w:t xml:space="preserve">Volume 4 — Security Architecture  -  </w:t>
      </w:r>
      <w:r>
        <w:rPr>
          <w:rFonts w:ascii="Inter" w:eastAsia="Inter"/>
          <w:color w:val="64748B"/>
          <w:sz w:val="20"/>
          <w:szCs w:val="20"/>
        </w:rPr>
        <w:t xml:space="preserve">Identity &amp; Security</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Adopt AWS Shield Standard (included with CloudFront and ALB at no additional cost) as the baseline DDoS protection for all public-facing surfaces, and AWS Shield Advanced for the CloudFront distribution and the public API Gateway (the two highest-value targets). Shield Advanced provides 24/7 DDoS response team access, financial protection against scaling costs from DDoS-driven traffic, and advanced detection for application-layer (Layer 7) attacks. Layer 4 (volumetric) attacks are absorbed by CloudFront and Route53; Layer 7 attacks are mitigated by WAF (ADR-084) rate-limiting and Shield Advanced's application-layer DDoS mitigation.</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2025-12-10</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Security Engineering Lead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review, or on threat landscape shift, or on tooling vendor change</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refreshes for series alignment and cross-references)</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PreOne's public-facing infrastructure is subject to regular DDoS attempts. In 2024-2025, the platform experienced 12 documented DDoS incidents: 8 were low-volume Layer 4 attacks (under 10 Gbps) absorbed automatically by CloudFront; 3 were Layer 7 application-layer attacks targeting the login and search endpoints, mitigated by WAF rate-limiting; 1 was a 47 Gbps volumetric attack that saturated a single CloudFront edge location for 18 minutes before AWS Shield Standard mitigated it. None of these incidents caused customer-visible outage, but the trend is increasing in both frequency and volume.
The 2025 Bishop Fox audit cited DDoS resilience as a 'mature but with room for improvement' area. The recommendation was to evaluate AWS Shield Advanced for the highest-value surfaces (CloudFront, public API Gateway) to gain 24/7 DDoS response team (DRT) access and financial protection against scaling costs. The audit noted that a sustained 100+ Gbps attack could trigger $50K+ in CloudFront and ECS Fargate autoscaling costs in a single day — Shield Advanced's financial protection caps this exposure.
PreOne's threat model identifies the enrollment peak (August) and the report-card release windows (quarterly) as the highest-impact times for a DDoS attack — an outage during enrollment could delay school openings and cause contract penalties. The DDoS protection strategy must be 'always on' rather than 'on-demand' to ensure protection during these critical windows.</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The primary driver is availability during critical business windows. The August 2025 enrollment peak saw 3 DDoS attempts; an outage during this window would have caused direct revenue loss (delayed enrollments) and reputational damage. Shield Advanced's 24/7 DRT access ensures a human expert is available within 15 minutes during a sophisticated attack.
A secondary driver is financial protection. A sustained 100 Gbps attack could trigger $50K+ in autoscaling costs (CloudFront, ALB, ECS Fargate, RDS read replicas). Shield Advanced caps this exposure by covering the scaling costs attributed to the attack. Without Shield Advanced, a single sophisticated attack could consume the entire annual infrastructure budget.
A tertiary driver is compliance. FERPA's 'reasonable security practice' expectation includes availability controls; DDoS protection is a standard availability control. The Shield Advanced subscription provides documentary evidence of proactive DDoS mitigation for auditors.</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PreOne requires always-on DDoS protection for all public-facing surfaces, with 24/7 expert response for sophisticated attacks and financial protection against scaling costs, to ensure availability during critical business windows (enrollment, report-card release) and to comply with FERPA availability expectations.</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DDoS protection must be 'always on' (no on-demand activation that could fail during an attack)</w:t>
      </w:r>
    </w:p>
    <w:p>
      <w:pPr>
        <w:pStyle w:val="ListParagraph"/>
        <w:numPr>
          <w:ilvl w:val="0"/>
          <w:numId w:val="1"/>
        </w:numPr>
        <w:spacing w:after="60" w:line="312"/>
        <w:ind w:left="720" w:hanging="360"/>
      </w:pPr>
      <w:r>
        <w:rPr>
          <w:rFonts w:ascii="Inter" w:eastAsia="Inter"/>
          <w:color w:val="1E293B"/>
          <w:sz w:val="22"/>
          <w:szCs w:val="22"/>
        </w:rPr>
        <w:t xml:space="preserve">Layer 4 protection must absorb attacks at the edge (CloudFront, Route53) — no traffic reaching ALB</w:t>
      </w:r>
    </w:p>
    <w:p>
      <w:pPr>
        <w:pStyle w:val="ListParagraph"/>
        <w:numPr>
          <w:ilvl w:val="0"/>
          <w:numId w:val="1"/>
        </w:numPr>
        <w:spacing w:after="60" w:line="312"/>
        <w:ind w:left="720" w:hanging="360"/>
      </w:pPr>
      <w:r>
        <w:rPr>
          <w:rFonts w:ascii="Inter" w:eastAsia="Inter"/>
          <w:color w:val="1E293B"/>
          <w:sz w:val="22"/>
          <w:szCs w:val="22"/>
        </w:rPr>
        <w:t xml:space="preserve">Layer 7 protection must integrate with WAF (ADR-084) rate-limiting rules</w:t>
      </w:r>
    </w:p>
    <w:p>
      <w:pPr>
        <w:pStyle w:val="ListParagraph"/>
        <w:numPr>
          <w:ilvl w:val="0"/>
          <w:numId w:val="1"/>
        </w:numPr>
        <w:spacing w:after="60" w:line="312"/>
        <w:ind w:left="720" w:hanging="360"/>
      </w:pPr>
      <w:r>
        <w:rPr>
          <w:rFonts w:ascii="Inter" w:eastAsia="Inter"/>
          <w:color w:val="1E293B"/>
          <w:sz w:val="22"/>
          <w:szCs w:val="22"/>
        </w:rPr>
        <w:t xml:space="preserve">Shield Advanced DRT access must be available 24/7 with 15-minute response SLA</w:t>
      </w:r>
    </w:p>
    <w:p>
      <w:pPr>
        <w:pStyle w:val="ListParagraph"/>
        <w:numPr>
          <w:ilvl w:val="0"/>
          <w:numId w:val="1"/>
        </w:numPr>
        <w:spacing w:after="60" w:line="312"/>
        <w:ind w:left="720" w:hanging="360"/>
      </w:pPr>
      <w:r>
        <w:rPr>
          <w:rFonts w:ascii="Inter" w:eastAsia="Inter"/>
          <w:color w:val="1E293B"/>
          <w:sz w:val="22"/>
          <w:szCs w:val="22"/>
        </w:rPr>
        <w:t xml:space="preserve">Financial protection must cover CloudFront, ALB, ECS Fargate, and RDS scaling costs</w:t>
      </w:r>
    </w:p>
    <w:p>
      <w:pPr>
        <w:pStyle w:val="ListParagraph"/>
        <w:numPr>
          <w:ilvl w:val="0"/>
          <w:numId w:val="1"/>
        </w:numPr>
        <w:spacing w:after="60" w:line="312"/>
        <w:ind w:left="720" w:hanging="360"/>
      </w:pPr>
      <w:r>
        <w:rPr>
          <w:rFonts w:ascii="Inter" w:eastAsia="Inter"/>
          <w:color w:val="1E293B"/>
          <w:sz w:val="22"/>
          <w:szCs w:val="22"/>
        </w:rPr>
        <w:t xml:space="preserve">Shield Advanced subscription must be cost-justified against the documented DDoS risk</w:t>
      </w:r>
    </w:p>
    <w:p>
      <w:pPr>
        <w:pStyle w:val="ListParagraph"/>
        <w:numPr>
          <w:ilvl w:val="0"/>
          <w:numId w:val="1"/>
        </w:numPr>
        <w:spacing w:after="60" w:line="312"/>
        <w:ind w:left="720" w:hanging="360"/>
      </w:pPr>
      <w:r>
        <w:rPr>
          <w:rFonts w:ascii="Inter" w:eastAsia="Inter"/>
          <w:color w:val="1E293B"/>
          <w:sz w:val="22"/>
          <w:szCs w:val="22"/>
        </w:rPr>
        <w:t xml:space="preserve">DDoS response runbook must be tested quarterly via tabletop exercise</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AWS Shield Standard provides adequate Layer 4 protection for non-Advanced-protected resources</w:t>
      </w:r>
    </w:p>
    <w:p>
      <w:pPr>
        <w:pStyle w:val="ListParagraph"/>
        <w:numPr>
          <w:ilvl w:val="0"/>
          <w:numId w:val="1"/>
        </w:numPr>
        <w:spacing w:after="60" w:line="312"/>
        <w:ind w:left="720" w:hanging="360"/>
      </w:pPr>
      <w:r>
        <w:rPr>
          <w:rFonts w:ascii="Inter" w:eastAsia="Inter"/>
          <w:color w:val="1E293B"/>
          <w:sz w:val="22"/>
          <w:szCs w:val="22"/>
        </w:rPr>
        <w:t xml:space="preserve">Shield Advanced's $3,000/month cost is justified by the $50K+ scaling-cost exposure per major attack</w:t>
      </w:r>
    </w:p>
    <w:p>
      <w:pPr>
        <w:pStyle w:val="ListParagraph"/>
        <w:numPr>
          <w:ilvl w:val="0"/>
          <w:numId w:val="1"/>
        </w:numPr>
        <w:spacing w:after="60" w:line="312"/>
        <w:ind w:left="720" w:hanging="360"/>
      </w:pPr>
      <w:r>
        <w:rPr>
          <w:rFonts w:ascii="Inter" w:eastAsia="Inter"/>
          <w:color w:val="1E293B"/>
          <w:sz w:val="22"/>
          <w:szCs w:val="22"/>
        </w:rPr>
        <w:t xml:space="preserve">Shield Advanced DRT can mitigate a sophisticated Layer 7 attack within 30 minutes of engagement</w:t>
      </w:r>
    </w:p>
    <w:p>
      <w:pPr>
        <w:pStyle w:val="ListParagraph"/>
        <w:numPr>
          <w:ilvl w:val="0"/>
          <w:numId w:val="1"/>
        </w:numPr>
        <w:spacing w:after="60" w:line="312"/>
        <w:ind w:left="720" w:hanging="360"/>
      </w:pPr>
      <w:r>
        <w:rPr>
          <w:rFonts w:ascii="Inter" w:eastAsia="Inter"/>
          <w:color w:val="1E293B"/>
          <w:sz w:val="22"/>
          <w:szCs w:val="22"/>
        </w:rPr>
        <w:t xml:space="preserve">CloudFront's global edge network (400+ PoPs) can absorb volumetric attacks up to 100 Gbps</w:t>
      </w:r>
    </w:p>
    <w:p>
      <w:pPr>
        <w:pStyle w:val="ListParagraph"/>
        <w:numPr>
          <w:ilvl w:val="0"/>
          <w:numId w:val="1"/>
        </w:numPr>
        <w:spacing w:after="60" w:line="312"/>
        <w:ind w:left="720" w:hanging="360"/>
      </w:pPr>
      <w:r>
        <w:rPr>
          <w:rFonts w:ascii="Inter" w:eastAsia="Inter"/>
          <w:color w:val="1E293B"/>
          <w:sz w:val="22"/>
          <w:szCs w:val="22"/>
        </w:rPr>
        <w:t xml:space="preserve">Route53 health checks failover to a static S3 maintenance page within 60 seconds of ALB failure</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AWS Shield Standard (free) + AWS Shield Advanced (paid) for highest-value surfaces.</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Defense-in-depth; DRT access for sophisticated attacks; financial protection against scaling costs; native AWS integration; aligns with AWS-native architecture.</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Shield Advanced cost ($3K/month); Shield Advanced protects only named resources (CloudFront distribution, API Gateway) — not all resources.</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Adopted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Cloudflare Magic Transit / DDoS Protection as the edge layer for all traffic.</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Best-in-class DDoS mitigation; global anycast network; bot management included; flat pricing.</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Introduces a non-AWS dependency; conflicts with the AWS-native architecture (ADR-002); log export to Splunk requires Enterprise tier; Shield Advanced's DRT access is unmatched by Cloudflare's automated mitigation.</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AWS Shield Standard only (no Shield Advanced); rely on CloudFront + WAF rate-limiting.</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Zero additional cost; Shield Standard mitigates most Layer 4 attacks automatically.</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No DRT access for sophisticated attacks; no financial protection against scaling costs; the 2025 47 Gbps attack would have cost $30K+ in scaling without Shield Advanced.</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Self-managed DDoS mitigation via on-demand capacity (ECS Fargate autoscale) + WAF rate-limiting.</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No vendor lock-in; full control.</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Self-managed capacity cannot scale fast enough to absorb a 100+ Gbps attack; WAF rate-limiting is per-IP and ineffective against distributed attacks; fails the 'always on' requirement.</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Adopt AWS Shield Standard (free, included with CloudFront and ALB) as the baseline DDoS protection for all public-facing surfaces, and AWS Shield Advanced ($3K/month) for the CloudFront distribution and the public API Gateway (the two highest-value targets). Shield Advanced provides: (1) 24/7 DDoS Response Team (DRT) access with 15-minute response SLA; (2) financial protection against scaling costs attributed to DDoS attacks; (3) advanced detection for application-layer (Layer 7) attacks; (4) AWS WAF integration for Layer 7 mitigation. Layer 4 (volumetric) attacks are absorbed by CloudFront and Route53 (Shield Standard); Layer 7 attacks are mitigated by WAF rate-limiting (ADR-084) and Shield Advanced's application-layer DDoS mitigation. The DDoS response runbook is tested quarterly via tabletop exercise.</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The hybrid Shield Standard + Shield Advanced approach was chosen because it provides defense-in-depth at appropriate cost. Shield Standard (free) covers all resources with baseline Layer 4 protection — sufficient for the majority of attacks. Shield Advanced ($3K/month = $36K/year) is reserved for the two highest-value targets (CloudFront, public API Gateway) where the financial protection and DRT access justify the cost.
The cost-justification for Shield Advanced is straightforward. The 2025 47 Gbps attack triggered $30K in scaling costs (CloudFront, ALB, ECS Fargate) over 18 minutes. Without Shield Advanced, a sustained 6-hour 100 Gbps attack could cost $200K+. Shield Advanced's annual cost ($36K) is a fraction of one major-attack scaling cost. The DRT access is the secondary value: a human expert who can mitigate sophisticated Layer 7 attacks (e.g., a slowloris variant that evades WAF rate-limiting) within 30 minutes is invaluable during a critical business window.
Cloudflare Magic Transit was the strongest alternative. Cloudflare's anycast network is marginally larger than CloudFront's (300+ vs 400+ PoPs, but Cloudflare's network capacity is higher), and Cloudflare's bot management is more sophisticated than AWS's. However, introducing Cloudflare as the edge layer for all traffic would split the operational model: CloudFront for static content, Cloudflare for DDoS, separate log pipelines, separate Terraform providers. The operational overhead outweighs the marginal technical advantage. Cloudflare's enterprise tier (required for Splunk log export) costs $5K+/month, more than Shield Advanced.
The 'Shield Standard only' option was rejected because the 2025 attack demonstrated the scaling-cost exposure. The 47 Gbps attack cost $30K in 18 minutes; a sustained attack would have cost 10x that. Without Shield Advanced's financial protection, PreOne would have absorbed the cost; with Shield Advanced, AWS credits the scaling cost attributed to the attack. The DRT access is also valuable: the 2025 attack required manual WAF rule tuning by the security team (2 engineers, 4 hours); the DRT could have done it in 30 minutes.
The self-managed option was rejected because no amount of ECS Fargate autoscaling can absorb a 100+ Gbps volumetric attack. The AWS edge network (CloudFront + Route53) has 100+ Tbps of aggregate capacity; PreOne's ECS Fargate cluster has 50 Gbps. A volumetric attack exceeding 50 Gbps would saturate PreOne's AWS account, even with autoscaling. Only the AWS edge network (or Cloudflare's equivalent) can absorb such attacks.
The quarterly tabletop exercise is the operational backbone. The exercise simulates a DDoS attack: the security team receives a simulated alert, follows the runbook (engage DRT, tune WAF, communicate to stakeholders), and times the response. The exercise surfaces runbook gaps (e.g., 'who is the DRT contact during Indian business hours?') and trains the team. The exercise is mandatory for the security team and the on-call SRE; the CTO observes annually.</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PreOne DDoS Protection Topology                       |
+------------------------------------------------------------------+
|                                                                  |
|  Attacker Traffic                                                |
|       |                                                          |
|       v                                                          |
|  +-------------------+    Layer 4 (volumetric)                  |
|  | AWS Shield        |   - absorbed at edge                     |
|  | Standard (free)   |   - 100+ Tbps aggregate capacity         |
|  | + CloudFront      |                                           |
|  | + Route53         |                                           |
|  +---------+---------+                                           |
|            |                                                     |
|            | (mitigated Layer 4)                                 |
|            v                                                     |
|  +-------------------+    Layer 7 (application)                 |
|  | AWS Shield        |   - DRT access (24/7, 15-min SLA)        |
|  | Advanced ($3K/mo) |   - financial protection                 |
|  | + AWS WAF v2      |   - WAF rate-limiting                    |
|  +---------+---------+                                           |
|            |                                                     |
|            v                                                     |
|  +-------------------+                                           |
|  | CloudFront        |  (protected resource)                    |
|  | Distribution      |                                           |
|  +---------+---------+                                           |
|            |                                                     |
|            v                                                     |
|  +-------------------+                                           |
|  | API Gateway       |  (protected resource)                    |
|  | (public API)      |                                           |
|  +-------------------+                                           |
|                                                                  |
|  Failover:                                                       |
|  Route53 health check -&gt; S3 static maintenance page (60s)        |
|                                                                  |
|  Tabletop exercise: quarterly                                    |
+------------------------------------------------------------------+</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Attacker -&gt; CloudFront: volumetric attack (e.g., 100 Gbps)
CloudFront -&gt; Shield Standard: detect + mitigate
Shield Standard -&gt; CloudFront: absorb at edge (no traffic to ALB)
CloudFront -&gt; Attacker: drop / rate-limit
Note over Attacker, CloudFront: Layer 4 mitigated at edge
Attacker -&gt; API Gateway: application-layer attack (e.g., slowloris)
API Gateway -&gt; WAF: inspect (rate-limit)
WAF -&gt; WAF: per-IP rate-limit (100 req/min)
alt rate-limit exceeded
  WAF -&gt; Attacker: 403
else distributed attack (many IPs)
  WAF -&gt; Shield Advanced: anomaly detected
  Shield Advanced -&gt; DRT: alert (24/7)
  DRT -&gt; Shield Advanced: apply mitigation rule
  Shield Advanced -&gt; WAF: push custom rule
  WAF -&gt; Attacker: 403
end
Note over DRT, WAF: Layer 7 mitigated by DRT + WAF</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ADR-085 — DDoS Protection  -  Component View          |
+-------------------------------------------------------------+
|                                                             |
|  +----------------+        +----------------------+         |
|  | CloudFront     |  edge  | AWS Shield Standard  |         |
|  |                |-------&gt;| (Layer 4, free)      |         |
|  +----------------+        +----------+-----------+         |
|                                       |                     |
|                                       | Layer 7?            |
|                                       v                     |
|  +----------------+        +----------------------+         |
|  | API Gateway    |  app   | AWS Shield Advanced  |         |
|  |                |-------&gt;| ($3K/mo, DRT access) |         |
|  +----------------+        +----------+-----------+         |
|                                       |                     |
|                                       | engage DRT          |
|                                       v                     |
|  +----------------+        +----------------------+         |
|  | DRT (24/7)     |  tune  | WAF rules (ADR-084)  |         |
|  |                |-------&gt;|                      |         |
|  +----------------+        +----------------------+         |
|                                                             |
|  Failover: Route53 -&gt; S3 maintenance page (60s)            |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Layer 4 (Volumetric) Flow:
  Attacker -&gt; CloudFront: volumetric attack
  CloudFront -&gt; Shield Standard: detect
  Shield Standard -&gt; CloudFront: absorb at edge
  CloudFront -&gt; Attacker: drop / rate-limit
  (no traffic reaches ALB)
Layer 7 (Application) Flow:
  Attacker -&gt; API Gateway: application attack (e.g., slowloris)
  API Gateway -&gt; WAF: rate-limit (per-IP)
  (distributed) WAF -&gt; Shield Advanced: anomaly
  Shield Advanced -&gt; DRT: alert (24/7)
  DRT -&gt; Shield Advanced: custom mitigation rule
  Shield Advanced -&gt; WAF: push rule
  WAF -&gt; Attacker: 403
Failover Flow:
  Route53 -&gt; ALB health check: fail
  Route53 -&gt; S3: failover to maintenance page (60s)</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DDoS protection has no direct database impact. During a DDoS attack, the database may experience increased load (from application-layer attacks reaching the app tier). The RDS read replicas (ADR-041) absorb read load; the PgBouncer connection pool caps connection count, preventing connection exhaustion. The audit trail (ADR-086) logs DDoS incidents as security events, with the Shield Advanced incident ID as a correlation key. No schema changes are required.</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No API changes. During a DDoS attack, legitimate API consumers may experience elevated latency or 429 (Too Many Requests) responses from WAF rate-limiting. The API client SDK includes exponential backoff for 429 responses, ensuring transparent retry. The status page (status.preone.com) is updated during a DDoS incident with the estimated impact and resolution time. After the incident, a post-mortem is published to the status page within 48 hours.</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DDoS Protection has no UI surface during normal operation. During a DDoS incident, the UI may display a maintenance page ('Service temporarily unavailable due to network issues. We are working on it. ETA: X minutes.') served by the S3 failover (per ADR-085). The status page (status.preone.com) is updated within 15 minutes of incident declaration. Post-incident, the status page is updated with a post-mortem summary within 48 hours. The admin UI includes a 'DDoS Activity' dashboard (admin/operations/security/ddos) showing recent Shield events, only visible to the Security Engineering team.</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DDoS protection is a critical availability control. The 2025 audit cited DDoS resilience as 'mature but with room for improvement'; Shield Advanced addresses the gap. The financial protection prevents a sophisticated attack from consuming the annual infrastructure budget. The DRT access provides expert human response for attacks that automated mitigation cannot handle. The quarterly tabletop exercise ensures the team is prepared to execute the runbook under pressure. The control also provides documentary evidence of availability controls for FERPA compliance.</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Shield Standard and Shield Advanced are transparent to legitimate traffic — no additional latency. Shield Standard inspects traffic at the edge (CloudFront PoP) with sub-millisecond overhead. Shield Advanced's application-layer detection adds 1-2ms to API Gateway requests, negligible against the typical 50-100ms API response time. WAF rate-limiting (the primary Layer 7 mitigation) adds 5-10ms (per ADR-084). During a DDoS attack, legitimate users may experience elevated latency or 429 responses, but the alternative (no DDoS protection) is an outage affecting all users.</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AWS Shield scales with the AWS edge network. PreOne's traffic (200M requests/month) is well within Shield Standard's capacity; the 47 Gbps attack in 2025 was absorbed without degradation. Shield Advanced's cost is flat ($3K/month) regardless of attack volume — the financial protection covers scaling costs above the subscription. The DRT can handle multiple simultaneous incidents (PreOne has not experienced this, but AWS documentation confirms it). The quarterly tabletop exercise ensures the team scales with the threat landscape.</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The Security Engineering Lead is on-call for DDoS-related escalations. The team monitors a #ddos-alerts Slack channel where Shield Advanced alerts post automatically. The DDoS runbook is documented in Notion and tested quarterly. The runbook covers: (1) alert acknowledgment; (2) DRT engagement procedure; (3) WAF rule tuning; (4) stakeholder communication (status page, customer support, executive); (5) post-incident review. The CTO receives a post-mortem within 48 hours of any DDoS incident that caused customer-visible impact. Annual budget review confirms Shield Advanced cost-justification against the documented DDoS risk.</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Sophisticated Layer 7 attack evades WAF rate-limiting and Shield Advanced automated detection</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DRT 24/7 access; manual WAF rule tuning within 30 minutes of DRT engagement; quarterly tabletop exercise tests this scenario</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Shield Advanced DRT response exceeds 15-minute SLA during a major AWS-wide event</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Documented escalation to AWS account manager; concurrent WAF tuning by internal team; status-page communication to manage customer expectations</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DDoS attack targets an unprotected resource (e.g., direct ALB access, bypassing CloudFront)</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ALB is Shield Standard-protected (free); direct ALB access blocked by security group (only CloudFront can reach ALB); Route53 failover to S3 maintenance page</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Shield Advanced cost-justification weakens if attacks do not materialise</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Annual review of DDoS incidents and scaling costs; documented ROI; can downgrade to Shield Standard if cost-justification fails for 2 consecutive years</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Tabletop exercise reveals runbook gaps that are not remediated</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Exercise outputs tracked as Jira tickets with 30-day SLA; CTO reviews open tickets quarterly; exercise repeated until gaps closed</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24/7 DRT access for sophisticated attacks</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$3K/month subscription cost</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Financial protection against scaling costs</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Shield Advanced protects only named resources (CloudFront, API Gateway)</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Always-on Layer 4 protection at edge (Shield Standard)</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CloudFront edge latency (5-30ms) for all traffic</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Native AWS integration</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Less sophisticated than Cloudflare for bot management</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Quarterly tabletop exercise ensures readiness</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4 engineering-hours per quarter for exercise</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Cloudflare Magic Transit was piloted in Q4 2025 for the API Gateway. The pilot found Cloudflare's bot management marginally better than AWS's, but the operational overhead of managing a non-AWS edge layer (separate Terraform, separate logs, separate runbook) outweighed the advantage. The 'Shield Standard only' option was rejected after a cost analysis showed the 2025 47 Gbps attack would have cost $30K without Shield Advanced's financial protection — Shield Advanced's annual cost ($36K) is recouped by a single major attack. The self-managed option was rejected after a capacity-planning exercise showed PreOne's ECS Fargate cluster (50 Gbps) cannot absorb a 100+ Gbps attack regardless of autoscaling configuration.</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Phase 1 (Q4 2025, complete): Shield Standard verified active on all CloudFront distributions and ALBs. Phase 2 (Q4 2025, complete): Shield Advanced subscribed for CloudFront distribution and public API Gateway. Phase 3 (Q1 2026, complete): DRT contact information added to DDoS runbook; runbook documented. Phase 4 (Q1 2026, complete): First quarterly tabletop exercise conducted; 3 runbook gaps identified and remediated. Phase 5 (Q2 2026, complete): Route53 health-check failover to S3 maintenance page tested. Phase 6 (ongoing): Quarterly tabletop exercise; annual cost-justification review.</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DDoS protection is tested via the quarterly tabletop exercise. The exercise simulates a sophisticated DDoS attack using the AWS Shield testing process (pre-approved attack traffic from AWS's testing infrastructure). The exercise validates: (1) alert delivery to #ddos-alerts; (2) DRT engagement procedure; (3) WAF rule tuning; (4) status-page communication; (5) post-mortem workflow. The exercise is observed by the CTO annually. Additionally, AWS Shield's 'health-based detection' is verified weekly by injecting synthetic traffic that triggers a low-severity alert. Route53 failover is tested monthly by simulating an ALB failure.</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Shield Standard and Shield Advanced events ship to CloudWatch and Splunk. Splunk dashboards track: (a) DDoS events per week (severity, type, duration); (b) DRT engagement response time; (c) scaling costs attributed to DDoS (for Shield Advanced financial protection claims); (d) WAF rate-limit triggers during DDoS events; (e) customer-visible impact (status-page updates, support ticket spikes). Anomalies trigger Slack alerts to #ddos-alerts. The Shield Advanced dashboard (admin/operations/security/ddos) provides a real-time view for the security team. Post-incident, a Splunk saved-search generates the post-mortem report automatically.</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Two evolutions are likely. First, as PreOne expands to additional AWS regions (ADR-041), Shield Advanced protection may be extended to resources in those regions. Second, AWS's upcoming 'Shield Advanced for Lambda' (announced at re:Invent 2025) may be adopted for the Lambda-based public API if Shield Advanced for API Gateway proves insufficient. Third, the tabletop exercise may evolve into a 'red team' exercise where an external firm simulates a DDoS attack — gated on the maturity of the internal program (2027 target).</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ADR-002 — Modular Monolith Strategy (DDoS protection covers the monolith's public surface)</w:t>
      </w:r>
    </w:p>
    <w:p>
      <w:pPr>
        <w:pStyle w:val="ListParagraph"/>
        <w:numPr>
          <w:ilvl w:val="0"/>
          <w:numId w:val="1"/>
        </w:numPr>
        <w:spacing w:after="60" w:line="312"/>
        <w:ind w:left="720" w:hanging="360"/>
      </w:pPr>
      <w:r>
        <w:rPr>
          <w:rFonts w:ascii="Inter" w:eastAsia="Inter"/>
          <w:color w:val="1E293B"/>
          <w:sz w:val="22"/>
          <w:szCs w:val="22"/>
        </w:rPr>
        <w:t xml:space="preserve">ADR-041 — PostgreSQL Strategy (RDS read replicas absorb DDoS-driven read load)</w:t>
      </w:r>
    </w:p>
    <w:p>
      <w:pPr>
        <w:pStyle w:val="ListParagraph"/>
        <w:numPr>
          <w:ilvl w:val="0"/>
          <w:numId w:val="1"/>
        </w:numPr>
        <w:spacing w:after="60" w:line="312"/>
        <w:ind w:left="720" w:hanging="360"/>
      </w:pPr>
      <w:r>
        <w:rPr>
          <w:rFonts w:ascii="Inter" w:eastAsia="Inter"/>
          <w:color w:val="1E293B"/>
          <w:sz w:val="22"/>
          <w:szCs w:val="22"/>
        </w:rPr>
        <w:t xml:space="preserve">ADR-076 — API Security (Shield Advanced protects the public API Gateway)</w:t>
      </w:r>
    </w:p>
    <w:p>
      <w:pPr>
        <w:pStyle w:val="ListParagraph"/>
        <w:numPr>
          <w:ilvl w:val="0"/>
          <w:numId w:val="1"/>
        </w:numPr>
        <w:spacing w:after="60" w:line="312"/>
        <w:ind w:left="720" w:hanging="360"/>
      </w:pPr>
      <w:r>
        <w:rPr>
          <w:rFonts w:ascii="Inter" w:eastAsia="Inter"/>
          <w:color w:val="1E293B"/>
          <w:sz w:val="22"/>
          <w:szCs w:val="22"/>
        </w:rPr>
        <w:t xml:space="preserve">ADR-080 — Rate Limiting (WAF rate-limiting is the primary Layer 7 mitigation)</w:t>
      </w:r>
    </w:p>
    <w:p>
      <w:pPr>
        <w:pStyle w:val="ListParagraph"/>
        <w:numPr>
          <w:ilvl w:val="0"/>
          <w:numId w:val="1"/>
        </w:numPr>
        <w:spacing w:after="60" w:line="312"/>
        <w:ind w:left="720" w:hanging="360"/>
      </w:pPr>
      <w:r>
        <w:rPr>
          <w:rFonts w:ascii="Inter" w:eastAsia="Inter"/>
          <w:color w:val="1E293B"/>
          <w:sz w:val="22"/>
          <w:szCs w:val="22"/>
        </w:rPr>
        <w:t xml:space="preserve">ADR-084 — Web Application Firewall (WAF is the Layer 7 mitigation component)</w:t>
      </w:r>
    </w:p>
    <w:p>
      <w:pPr>
        <w:pStyle w:val="ListParagraph"/>
        <w:numPr>
          <w:ilvl w:val="0"/>
          <w:numId w:val="1"/>
        </w:numPr>
        <w:spacing w:after="60" w:line="312"/>
        <w:ind w:left="720" w:hanging="360"/>
      </w:pPr>
      <w:r>
        <w:rPr>
          <w:rFonts w:ascii="Inter" w:eastAsia="Inter"/>
          <w:color w:val="1E293B"/>
          <w:sz w:val="22"/>
          <w:szCs w:val="22"/>
        </w:rPr>
        <w:t xml:space="preserve">ADR-086 — Audit Trail (DDoS events logged to audit trail)</w:t>
      </w:r>
    </w:p>
    <w:p>
      <w:pPr>
        <w:pStyle w:val="ListParagraph"/>
        <w:numPr>
          <w:ilvl w:val="0"/>
          <w:numId w:val="1"/>
        </w:numPr>
        <w:spacing w:after="60" w:line="312"/>
        <w:ind w:left="720" w:hanging="360"/>
      </w:pPr>
      <w:r>
        <w:rPr>
          <w:rFonts w:ascii="Inter" w:eastAsia="Inter"/>
          <w:color w:val="1E293B"/>
          <w:sz w:val="22"/>
          <w:szCs w:val="22"/>
        </w:rPr>
        <w:t xml:space="preserve">ADR-087 — Penetration Testing Program (pentests include DDoS tabletop scenario)</w:t>
      </w:r>
    </w:p>
    <w:p>
      <w:pPr>
        <w:pStyle w:val="ListParagraph"/>
        <w:numPr>
          <w:ilvl w:val="0"/>
          <w:numId w:val="1"/>
        </w:numPr>
        <w:spacing w:after="60" w:line="312"/>
        <w:ind w:left="720" w:hanging="360"/>
      </w:pPr>
      <w:r>
        <w:rPr>
          <w:rFonts w:ascii="Inter" w:eastAsia="Inter"/>
          <w:color w:val="1E293B"/>
          <w:sz w:val="22"/>
          <w:szCs w:val="22"/>
        </w:rPr>
        <w:t xml:space="preserve">ADR-090 — Incident Response (DDoS incidents trigger the IR plan)</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Upstream PRD: PRD-007 (Security Requirements — DDoS section)</w:t>
      </w:r>
    </w:p>
    <w:p>
      <w:pPr>
        <w:pStyle w:val="ListParagraph"/>
        <w:numPr>
          <w:ilvl w:val="0"/>
          <w:numId w:val="1"/>
        </w:numPr>
        <w:spacing w:after="60" w:line="312"/>
        <w:ind w:left="720" w:hanging="360"/>
      </w:pPr>
      <w:r>
        <w:rPr>
          <w:rFonts w:ascii="Inter" w:eastAsia="Inter"/>
          <w:color w:val="1E293B"/>
          <w:sz w:val="22"/>
          <w:szCs w:val="22"/>
        </w:rPr>
        <w:t xml:space="preserve">Downstream ERD: ERD-085 (security.ddos_events table for incident tracking)</w:t>
      </w:r>
    </w:p>
    <w:p>
      <w:pPr>
        <w:pStyle w:val="ListParagraph"/>
        <w:numPr>
          <w:ilvl w:val="0"/>
          <w:numId w:val="1"/>
        </w:numPr>
        <w:spacing w:after="60" w:line="312"/>
        <w:ind w:left="720" w:hanging="360"/>
      </w:pPr>
      <w:r>
        <w:rPr>
          <w:rFonts w:ascii="Inter" w:eastAsia="Inter"/>
          <w:color w:val="1E293B"/>
          <w:sz w:val="22"/>
          <w:szCs w:val="22"/>
        </w:rPr>
        <w:t xml:space="preserve">Downstream API Spec: API-085 (internal DDoS dashboard endpoints)</w:t>
      </w:r>
    </w:p>
    <w:p>
      <w:pPr>
        <w:pStyle w:val="ListParagraph"/>
        <w:numPr>
          <w:ilvl w:val="0"/>
          <w:numId w:val="1"/>
        </w:numPr>
        <w:spacing w:after="60" w:line="312"/>
        <w:ind w:left="720" w:hanging="360"/>
      </w:pPr>
      <w:r>
        <w:rPr>
          <w:rFonts w:ascii="Inter" w:eastAsia="Inter"/>
          <w:color w:val="1E293B"/>
          <w:sz w:val="22"/>
          <w:szCs w:val="22"/>
        </w:rPr>
        <w:t xml:space="preserve">Downstream Test Cases: TC-085 (quarterly tabletop exercise script)</w:t>
      </w:r>
    </w:p>
    <w:p>
      <w:pPr>
        <w:pStyle w:val="ListParagraph"/>
        <w:numPr>
          <w:ilvl w:val="0"/>
          <w:numId w:val="1"/>
        </w:numPr>
        <w:spacing w:after="60" w:line="312"/>
        <w:ind w:left="720" w:hanging="360"/>
      </w:pPr>
      <w:r>
        <w:rPr>
          <w:rFonts w:ascii="Inter" w:eastAsia="Inter"/>
          <w:color w:val="1E293B"/>
          <w:sz w:val="22"/>
          <w:szCs w:val="22"/>
        </w:rPr>
        <w:t xml:space="preserve">External: AWS Shield Documentation</w:t>
      </w:r>
    </w:p>
    <w:p>
      <w:pPr>
        <w:pStyle w:val="ListParagraph"/>
        <w:numPr>
          <w:ilvl w:val="0"/>
          <w:numId w:val="1"/>
        </w:numPr>
        <w:spacing w:after="60" w:line="312"/>
        <w:ind w:left="720" w:hanging="360"/>
      </w:pPr>
      <w:r>
        <w:rPr>
          <w:rFonts w:ascii="Inter" w:eastAsia="Inter"/>
          <w:color w:val="1E293B"/>
          <w:sz w:val="22"/>
          <w:szCs w:val="22"/>
        </w:rPr>
        <w:t xml:space="preserve">External: NIST SP 800-61 (Computer Security Incident Handling Guide)</w:t>
      </w:r>
    </w:p>
    <w:p>
      <w:pPr>
        <w:pStyle w:val="ListParagraph"/>
        <w:numPr>
          <w:ilvl w:val="0"/>
          <w:numId w:val="1"/>
        </w:numPr>
        <w:spacing w:after="60" w:line="312"/>
        <w:ind w:left="720" w:hanging="360"/>
      </w:pPr>
      <w:r>
        <w:rPr>
          <w:rFonts w:ascii="Inter" w:eastAsia="Inter"/>
          <w:color w:val="1E293B"/>
          <w:sz w:val="22"/>
          <w:szCs w:val="22"/>
        </w:rPr>
        <w:t xml:space="preserve">External: Cloudflare DDoS Attack Trends Report 2025</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2025-09-26</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Security Engineering Lead</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options enumerated; consultation with security and engineering teams</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2025-11-12</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Security Engineering Lead</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Architecture Review Board after cross-team review</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2025-12-10</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published to architecture repository</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2026-07-15</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cross-references to Vol 1-3 ADRs added; 34-section template applied</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Chief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Security Engineering Lead</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ARB Chair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2025-12-10</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ADR published to architecture repository (Done)</w:t>
      </w:r>
    </w:p>
    <w:p>
      <w:pPr>
        <w:pStyle w:val="ListParagraph"/>
        <w:numPr>
          <w:ilvl w:val="0"/>
          <w:numId w:val="1"/>
        </w:numPr>
        <w:spacing w:after="60" w:line="312"/>
        <w:ind w:left="720" w:hanging="360"/>
      </w:pPr>
      <w:r>
        <w:rPr>
          <w:rFonts w:ascii="Inter" w:eastAsia="Inter"/>
          <w:color w:val="1E293B"/>
          <w:sz w:val="22"/>
          <w:szCs w:val="22"/>
        </w:rPr>
        <w:t xml:space="preserve">Cross-references to upstream/downstream artefacts added (Done)</w:t>
      </w:r>
    </w:p>
    <w:p>
      <w:pPr>
        <w:pStyle w:val="ListParagraph"/>
        <w:numPr>
          <w:ilvl w:val="0"/>
          <w:numId w:val="1"/>
        </w:numPr>
        <w:spacing w:after="60" w:line="312"/>
        <w:ind w:left="720" w:hanging="360"/>
      </w:pPr>
      <w:r>
        <w:rPr>
          <w:rFonts w:ascii="Inter" w:eastAsia="Inter"/>
          <w:color w:val="1E293B"/>
          <w:sz w:val="22"/>
          <w:szCs w:val="22"/>
        </w:rPr>
        <w:t xml:space="preserve">Security team briefed in monthly architecture sync (Done)</w:t>
      </w:r>
    </w:p>
    <w:p>
      <w:pPr>
        <w:pStyle w:val="ListParagraph"/>
        <w:numPr>
          <w:ilvl w:val="0"/>
          <w:numId w:val="1"/>
        </w:numPr>
        <w:spacing w:after="60" w:line="312"/>
        <w:ind w:left="720" w:hanging="360"/>
      </w:pPr>
      <w:r>
        <w:rPr>
          <w:rFonts w:ascii="Inter" w:eastAsia="Inter"/>
          <w:color w:val="1E293B"/>
          <w:sz w:val="22"/>
          <w:szCs w:val="22"/>
        </w:rPr>
        <w:t xml:space="preserve">Code review checklist updated to enforce this ADR (Done)</w:t>
      </w:r>
    </w:p>
    <w:p>
      <w:pPr>
        <w:pStyle w:val="ListParagraph"/>
        <w:numPr>
          <w:ilvl w:val="0"/>
          <w:numId w:val="1"/>
        </w:numPr>
        <w:spacing w:after="60" w:line="312"/>
        <w:ind w:left="720" w:hanging="360"/>
      </w:pPr>
      <w:r>
        <w:rPr>
          <w:rFonts w:ascii="Inter" w:eastAsia="Inter"/>
          <w:color w:val="1E293B"/>
          <w:sz w:val="22"/>
          <w:szCs w:val="22"/>
        </w:rPr>
        <w:t xml:space="preserve">On-call runbook updated with operational procedures (Done)</w:t>
      </w:r>
    </w:p>
    <w:p>
      <w:pPr>
        <w:pStyle w:val="ListParagraph"/>
        <w:numPr>
          <w:ilvl w:val="0"/>
          <w:numId w:val="1"/>
        </w:numPr>
        <w:spacing w:after="60" w:line="312"/>
        <w:ind w:left="720" w:hanging="360"/>
      </w:pPr>
      <w:r>
        <w:rPr>
          <w:rFonts w:ascii="Inter" w:eastAsia="Inter"/>
          <w:color w:val="1E293B"/>
          <w:sz w:val="22"/>
          <w:szCs w:val="22"/>
        </w:rPr>
        <w:t xml:space="preserve">Shield Standard verified on all CloudFront + ALB (Done)</w:t>
      </w:r>
    </w:p>
    <w:p>
      <w:pPr>
        <w:pStyle w:val="ListParagraph"/>
        <w:numPr>
          <w:ilvl w:val="0"/>
          <w:numId w:val="1"/>
        </w:numPr>
        <w:spacing w:after="60" w:line="312"/>
        <w:ind w:left="720" w:hanging="360"/>
      </w:pPr>
      <w:r>
        <w:rPr>
          <w:rFonts w:ascii="Inter" w:eastAsia="Inter"/>
          <w:color w:val="1E293B"/>
          <w:sz w:val="22"/>
          <w:szCs w:val="22"/>
        </w:rPr>
        <w:t xml:space="preserve">Shield Advanced subscribed for CloudFront (Done)</w:t>
      </w:r>
    </w:p>
    <w:p>
      <w:pPr>
        <w:pStyle w:val="ListParagraph"/>
        <w:numPr>
          <w:ilvl w:val="0"/>
          <w:numId w:val="1"/>
        </w:numPr>
        <w:spacing w:after="60" w:line="312"/>
        <w:ind w:left="720" w:hanging="360"/>
      </w:pPr>
      <w:r>
        <w:rPr>
          <w:rFonts w:ascii="Inter" w:eastAsia="Inter"/>
          <w:color w:val="1E293B"/>
          <w:sz w:val="22"/>
          <w:szCs w:val="22"/>
        </w:rPr>
        <w:t xml:space="preserve">Shield Advanced subscribed for public API Gateway (Done)</w:t>
      </w:r>
    </w:p>
    <w:p>
      <w:pPr>
        <w:pStyle w:val="ListParagraph"/>
        <w:numPr>
          <w:ilvl w:val="0"/>
          <w:numId w:val="1"/>
        </w:numPr>
        <w:spacing w:after="60" w:line="312"/>
        <w:ind w:left="720" w:hanging="360"/>
      </w:pPr>
      <w:r>
        <w:rPr>
          <w:rFonts w:ascii="Inter" w:eastAsia="Inter"/>
          <w:color w:val="1E293B"/>
          <w:sz w:val="22"/>
          <w:szCs w:val="22"/>
        </w:rPr>
        <w:t xml:space="preserve">DRT contact info in DDoS runbook (Done)</w:t>
      </w:r>
    </w:p>
    <w:p>
      <w:pPr>
        <w:pStyle w:val="ListParagraph"/>
        <w:numPr>
          <w:ilvl w:val="0"/>
          <w:numId w:val="1"/>
        </w:numPr>
        <w:spacing w:after="60" w:line="312"/>
        <w:ind w:left="720" w:hanging="360"/>
      </w:pPr>
      <w:r>
        <w:rPr>
          <w:rFonts w:ascii="Inter" w:eastAsia="Inter"/>
          <w:color w:val="1E293B"/>
          <w:sz w:val="22"/>
          <w:szCs w:val="22"/>
        </w:rPr>
        <w:t xml:space="preserve">Route53 failover to S3 maintenance page (Done — 60s tested)</w:t>
      </w:r>
    </w:p>
    <w:p>
      <w:pPr>
        <w:pStyle w:val="ListParagraph"/>
        <w:numPr>
          <w:ilvl w:val="0"/>
          <w:numId w:val="1"/>
        </w:numPr>
        <w:spacing w:after="60" w:line="312"/>
        <w:ind w:left="720" w:hanging="360"/>
      </w:pPr>
      <w:r>
        <w:rPr>
          <w:rFonts w:ascii="Inter" w:eastAsia="Inter"/>
          <w:color w:val="1E293B"/>
          <w:sz w:val="22"/>
          <w:szCs w:val="22"/>
        </w:rPr>
        <w:t xml:space="preserve">Quarterly tabletop exercise (Done — Q2 2026)</w:t>
      </w:r>
    </w:p>
    <w:p>
      <w:pPr>
        <w:pStyle w:val="ListParagraph"/>
        <w:numPr>
          <w:ilvl w:val="0"/>
          <w:numId w:val="1"/>
        </w:numPr>
        <w:spacing w:after="60" w:line="312"/>
        <w:ind w:left="720" w:hanging="360"/>
      </w:pPr>
      <w:r>
        <w:rPr>
          <w:rFonts w:ascii="Inter" w:eastAsia="Inter"/>
          <w:color w:val="1E293B"/>
          <w:sz w:val="22"/>
          <w:szCs w:val="22"/>
        </w:rPr>
        <w:t xml:space="preserve">Annual cost-justification review (Scheduled — Q1 2027)</w:t>
      </w:r>
    </w:p>
    <w:p>
      <w:pPr>
        <w:spacing w:after="60" w:before="360" w:line="280"/>
      </w:pPr>
      <w:r>
        <w:rPr>
          <w:rFonts w:ascii="Inter" w:eastAsia="Inter"/>
          <w:b/>
          <w:bCs/>
          <w:color w:val="4F46E5"/>
          <w:spacing w:val="60"/>
          <w:sz w:val="22"/>
          <w:szCs w:val="22"/>
        </w:rPr>
        <w:t xml:space="preserve">ADR-086</w:t>
      </w:r>
    </w:p>
    <w:p>
      <w:pPr>
        <w:pStyle w:val="Heading1"/>
        <w:spacing w:after="200" w:before="60" w:line="312"/>
      </w:pPr>
      <w:r>
        <w:rPr>
          <w:rFonts w:ascii="Inter" w:eastAsia="Inter"/>
          <w:b/>
          <w:bCs/>
          <w:color w:val="0F172A"/>
          <w:sz w:val="36"/>
          <w:szCs w:val="36"/>
        </w:rPr>
        <w:t xml:space="preserve">Audit Trail</w:t>
      </w:r>
    </w:p>
    <w:p>
      <w:pPr>
        <w:spacing w:after="120" w:line="280"/>
      </w:pPr>
      <w:r>
        <w:rPr>
          <w:rFonts w:ascii="Inter" w:eastAsia="Inter"/>
          <w:color w:val="64748B"/>
          <w:sz w:val="20"/>
          <w:szCs w:val="20"/>
        </w:rPr>
        <w:t xml:space="preserve">Volume 4 — Security Architecture  -  </w:t>
      </w:r>
      <w:r>
        <w:rPr>
          <w:rFonts w:ascii="Inter" w:eastAsia="Inter"/>
          <w:color w:val="64748B"/>
          <w:sz w:val="20"/>
          <w:szCs w:val="20"/>
        </w:rPr>
        <w:t xml:space="preserve">Identity &amp; Security</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Adopt an immutable, append-only audit trail for every security-relevant event on the PreOne platform. The audit trail is stored in a dedicated Postgres schema (audit) with INSERT-only permissions (no UPDATE, no DELETE); writes are synchronised with the business transaction via the Outbox pattern (ADR-027) to guarantee atomicity. Audit events include: authentication, authorization decisions, data access (PII reads), data mutations (creates, updates, deletes), configuration changes, and admin actions. Audit events are retained for 7 years per FERPA; archived events are moved to S3 Glacier Deep Archive after 1 year. The audit trail is the canonical evidence source for compliance audits and incident investigations.</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2025-11-28</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Security Engineering Lead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review, or on regulatory update, or after each major incident</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refreshes for series alignment and cross-references)</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PreOne processes regulated student data subject to FERPA (US), GDPR (EU), DPDP (India), and COPPA (under-13 students). Each regulation imposes audit-trail obligations: FERPA requires 'reasonable methods to access records only by authorized individuals'; GDPR Article 30 requires records of processing activities; DPDP requires breach notification with detailed evidence; COPPA requires parental-consent records. The audit trail is the canonical evidence source for all four regulations.
The legacy platform logged audit events to MongoDB with a separate writer per service, leading to inconsistent schemas, missing events, and occasional data loss (when the writer failed silently). The 2025 audit found that 14% of expected audit events were missing from the legacy trail, primarily due to writer failures and silent exceptions. The audit recommended a centralised, transactional audit trail guaranteed by the Outbox pattern.
PreOne's modular monolith (ADR-002) provides a natural insertion point: a single AuditService called by every command handler writes audit events to the Outbox, which is published to Postgres in the same transaction as the business change. This guarantees atomicity — either the business change and the audit event both commit, or neither does. The audit trail is therefore always consistent with the business state.
The audit trail must be tamper-evident. While perfect immutability is impossible (a privileged attacker with DB access could modify rows), the trail is protected by: (1) INSERT-only Postgres permissions (no UPDATE/DELETE for the application user); (2) a hash-chain where each row includes the SHA-256 hash of the previous row, enabling tamper detection; (3) WORM (Write-Once-Read-Many) S3 storage for archived events; (4) quarterly hash-chain verification.</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The primary driver is regulatory compliance. FERPA, GDPR, DPDP, and COPPA all require audit trails as a condition of processing student data. The audit trail is the evidence auditors request first; its absence would trigger a finding of non-compliance and potential fines (GDPR: up to 4% of global revenue; DPDP: up to INR 250 crore). The 7-year retention is mandated by FERPA for student education records.
A secondary driver is incident investigation. When a security incident occurs (e.g., a teacher accesses a student's records without authorization), the audit trail is the primary evidence. The 2025 audit found that incident investigations took 40+ hours on the legacy platform due to missing and inconsistent audit data; the centralised trail reduces this to under 4 hours.
A tertiary driver is operational visibility. Audit events drive the admin 'Activity Log' UI (admin/operations/activity), showing recent admin actions, login attempts, and configuration changes. This is a daily-use tool for security and operations teams.</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PreOne requires a tamper-evident, immutable audit trail that captures every security-relevant event with atomicity guarantees, retains events for 7 years per FERPA, and provides fast query capability for compliance audits and incident investigations.</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Audit events must be written in the same database transaction as the business change (Outbox pattern)</w:t>
      </w:r>
    </w:p>
    <w:p>
      <w:pPr>
        <w:pStyle w:val="ListParagraph"/>
        <w:numPr>
          <w:ilvl w:val="0"/>
          <w:numId w:val="1"/>
        </w:numPr>
        <w:spacing w:after="60" w:line="312"/>
        <w:ind w:left="720" w:hanging="360"/>
      </w:pPr>
      <w:r>
        <w:rPr>
          <w:rFonts w:ascii="Inter" w:eastAsia="Inter"/>
          <w:color w:val="1E293B"/>
          <w:sz w:val="22"/>
          <w:szCs w:val="22"/>
        </w:rPr>
        <w:t xml:space="preserve">Audit table must be INSERT-only (no UPDATE/DELETE for application user)</w:t>
      </w:r>
    </w:p>
    <w:p>
      <w:pPr>
        <w:pStyle w:val="ListParagraph"/>
        <w:numPr>
          <w:ilvl w:val="0"/>
          <w:numId w:val="1"/>
        </w:numPr>
        <w:spacing w:after="60" w:line="312"/>
        <w:ind w:left="720" w:hanging="360"/>
      </w:pPr>
      <w:r>
        <w:rPr>
          <w:rFonts w:ascii="Inter" w:eastAsia="Inter"/>
          <w:color w:val="1E293B"/>
          <w:sz w:val="22"/>
          <w:szCs w:val="22"/>
        </w:rPr>
        <w:t xml:space="preserve">Each audit row must include the SHA-256 hash of the previous row (hash chain)</w:t>
      </w:r>
    </w:p>
    <w:p>
      <w:pPr>
        <w:pStyle w:val="ListParagraph"/>
        <w:numPr>
          <w:ilvl w:val="0"/>
          <w:numId w:val="1"/>
        </w:numPr>
        <w:spacing w:after="60" w:line="312"/>
        <w:ind w:left="720" w:hanging="360"/>
      </w:pPr>
      <w:r>
        <w:rPr>
          <w:rFonts w:ascii="Inter" w:eastAsia="Inter"/>
          <w:color w:val="1E293B"/>
          <w:sz w:val="22"/>
          <w:szCs w:val="22"/>
        </w:rPr>
        <w:t xml:space="preserve">Audit events must include: timestamp, actor (principal_id), action, resource, tenant_id, IP, user agent, request_id</w:t>
      </w:r>
    </w:p>
    <w:p>
      <w:pPr>
        <w:pStyle w:val="ListParagraph"/>
        <w:numPr>
          <w:ilvl w:val="0"/>
          <w:numId w:val="1"/>
        </w:numPr>
        <w:spacing w:after="60" w:line="312"/>
        <w:ind w:left="720" w:hanging="360"/>
      </w:pPr>
      <w:r>
        <w:rPr>
          <w:rFonts w:ascii="Inter" w:eastAsia="Inter"/>
          <w:color w:val="1E293B"/>
          <w:sz w:val="22"/>
          <w:szCs w:val="22"/>
        </w:rPr>
        <w:t xml:space="preserve">Retention: 7 years per FERPA; archive to S3 Glacier after 1 year</w:t>
      </w:r>
    </w:p>
    <w:p>
      <w:pPr>
        <w:pStyle w:val="ListParagraph"/>
        <w:numPr>
          <w:ilvl w:val="0"/>
          <w:numId w:val="1"/>
        </w:numPr>
        <w:spacing w:after="60" w:line="312"/>
        <w:ind w:left="720" w:hanging="360"/>
      </w:pPr>
      <w:r>
        <w:rPr>
          <w:rFonts w:ascii="Inter" w:eastAsia="Inter"/>
          <w:color w:val="1E293B"/>
          <w:sz w:val="22"/>
          <w:szCs w:val="22"/>
        </w:rPr>
        <w:t xml:space="preserve">Query latency: p95 under 500ms for compliance audit queries (date range + actor + action)</w:t>
      </w:r>
    </w:p>
    <w:p>
      <w:pPr>
        <w:pStyle w:val="ListParagraph"/>
        <w:numPr>
          <w:ilvl w:val="0"/>
          <w:numId w:val="1"/>
        </w:numPr>
        <w:spacing w:after="60" w:line="312"/>
        <w:ind w:left="720" w:hanging="360"/>
      </w:pPr>
      <w:r>
        <w:rPr>
          <w:rFonts w:ascii="Inter" w:eastAsia="Inter"/>
          <w:color w:val="1E293B"/>
          <w:sz w:val="22"/>
          <w:szCs w:val="22"/>
        </w:rPr>
        <w:t xml:space="preserve">Audit trail must be queryable by compliance auditors via a read-only admin tool (no direct DB access)</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Postgres can sustain the audit-write volume (~500 events/second at peak) without impacting OLTP performance</w:t>
      </w:r>
    </w:p>
    <w:p>
      <w:pPr>
        <w:pStyle w:val="ListParagraph"/>
        <w:numPr>
          <w:ilvl w:val="0"/>
          <w:numId w:val="1"/>
        </w:numPr>
        <w:spacing w:after="60" w:line="312"/>
        <w:ind w:left="720" w:hanging="360"/>
      </w:pPr>
      <w:r>
        <w:rPr>
          <w:rFonts w:ascii="Inter" w:eastAsia="Inter"/>
          <w:color w:val="1E293B"/>
          <w:sz w:val="22"/>
          <w:szCs w:val="22"/>
        </w:rPr>
        <w:t xml:space="preserve">The Outbox pattern (ADR-027) provides sufficient atomicity guarantee for audit events</w:t>
      </w:r>
    </w:p>
    <w:p>
      <w:pPr>
        <w:pStyle w:val="ListParagraph"/>
        <w:numPr>
          <w:ilvl w:val="0"/>
          <w:numId w:val="1"/>
        </w:numPr>
        <w:spacing w:after="60" w:line="312"/>
        <w:ind w:left="720" w:hanging="360"/>
      </w:pPr>
      <w:r>
        <w:rPr>
          <w:rFonts w:ascii="Inter" w:eastAsia="Inter"/>
          <w:color w:val="1E293B"/>
          <w:sz w:val="22"/>
          <w:szCs w:val="22"/>
        </w:rPr>
        <w:t xml:space="preserve">SHA-256 hash chain provides adequate tamper detection (collision-resistant for the 7-year retention window)</w:t>
      </w:r>
    </w:p>
    <w:p>
      <w:pPr>
        <w:pStyle w:val="ListParagraph"/>
        <w:numPr>
          <w:ilvl w:val="0"/>
          <w:numId w:val="1"/>
        </w:numPr>
        <w:spacing w:after="60" w:line="312"/>
        <w:ind w:left="720" w:hanging="360"/>
      </w:pPr>
      <w:r>
        <w:rPr>
          <w:rFonts w:ascii="Inter" w:eastAsia="Inter"/>
          <w:color w:val="1E293B"/>
          <w:sz w:val="22"/>
          <w:szCs w:val="22"/>
        </w:rPr>
        <w:t xml:space="preserve">S3 Glacier Deep Archive retrieval time (12 hours) is acceptable for archived-event queries (rare)</w:t>
      </w:r>
    </w:p>
    <w:p>
      <w:pPr>
        <w:pStyle w:val="ListParagraph"/>
        <w:numPr>
          <w:ilvl w:val="0"/>
          <w:numId w:val="1"/>
        </w:numPr>
        <w:spacing w:after="60" w:line="312"/>
        <w:ind w:left="720" w:hanging="360"/>
      </w:pPr>
      <w:r>
        <w:rPr>
          <w:rFonts w:ascii="Inter" w:eastAsia="Inter"/>
          <w:color w:val="1E293B"/>
          <w:sz w:val="22"/>
          <w:szCs w:val="22"/>
        </w:rPr>
        <w:t xml:space="preserve">Compliance auditors will accept the read-only admin tool in lieu of direct DB access</w:t>
      </w:r>
    </w:p>
    <w:p>
      <w:pPr>
        <w:pStyle w:val="ListParagraph"/>
        <w:numPr>
          <w:ilvl w:val="0"/>
          <w:numId w:val="1"/>
        </w:numPr>
        <w:spacing w:after="60" w:line="312"/>
        <w:ind w:left="720" w:hanging="360"/>
      </w:pPr>
      <w:r>
        <w:rPr>
          <w:rFonts w:ascii="Inter" w:eastAsia="Inter"/>
          <w:color w:val="1E293B"/>
          <w:sz w:val="22"/>
          <w:szCs w:val="22"/>
        </w:rPr>
        <w:t xml:space="preserve">The 7-year retention window will not change (FERPA stable; GDPR may extend, not reduce)</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Centralised Postgres audit schema with Outbox-pattern writes, hash-chain, and S3 Glacier archive.</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Transactional atomicity with business changes; SQL-queryable for compliance audits; hash-chain provides tamper detection; integrates with existing Postgres operational model.</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Audit writes increase transaction latency (5-10ms); audit table grows large (50M+ rows/year); partitioning required for query performance.</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Adopted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Append-only CloudWatch Logs / Splunk as the audit trail (no Postgres).</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No Postgres write overhead; scalable to any volume; built-in query (CloudWatch Insights, Splunk); WORM storage available.</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No transactional atomicity (audit event may be lost if business transaction commits but log ship fails); no hash-chain (tamper detection harder); Splunk cost for 7-year retention is $50K+/year; auditors prefer SQL-queryable evidence.</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Dedicated audit database (separate Postgres cluster) with two-phase commit.</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Isolation from OLTP load; independent scaling; failure of audit DB does not impact business transactions.</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Two-phase commit is slow (50ms+) and complex; failure modes are subtle (heuristic decisions); operational overhead of a second Postgres cluster; contradicts the single-engine strategy (ADR-041).</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Event-sourced audit trail (Kafka topic with infinite retention, queryable via ksqlDB).</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Infinite retention by default; event-sourced semantics; replay capability; scalable.</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No transactional atomicity (Kafka producer may fail after business commit); ksqlDB query performance is poor for ad-hoc compliance queries; introduces Kafka as a critical dependency; auditors unfamiliar with Kafka evidence format.</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Adopt a centralised Postgres audit schema (audit.*) with Outbox-pattern writes guaranteeing transactional atomicity with business changes. The audit table is INSERT-only (REVOKE UPDATE, DELETE from the application user); each row includes a SHA-256 hash of the previous row (hash chain) for tamper detection. Audit events are written by a single AuditService called from every command handler, with the event included in the Outbox (ADR-027) of the same transaction. Retention is 7 years per FERPA; events older than 1 year are archived to S3 Glacier Deep Archive via a nightly job. The audit trail is queryable via a read-only admin tool (admin/operations/audit) backed by Postgres read replicas; compliance auditors receive a temporary read-only account. Quarterly, the hash chain is verified end-to-end.</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The centralised Postgres audit schema was chosen because it provides the strongest atomicity guarantee. The Outbox pattern (ADR-027), already adopted for domain events, ensures the audit event is written in the same transaction as the business change — either both commit or neither does. This is the critical property for compliance: an audit trail that can lose events during failures is not a compliance-grade audit trail. The legacy MongoDB-based trail lost 14% of events due to writer failures; the Outbox approach eliminates this failure mode.
The CloudWatch/Splunk option was attractive for scalability but failed the atomicity requirement. A log-ship failure between business commit and log delivery would lose the audit event — a non-trivial probability under network partitions. The hash-chain tamper detection is also harder in Splunk (no native hash-chain primitive; would require custom implementation). The Splunk cost for 7-year retention (estimated $50K+/year based on ~500 events/second * 7 years * Splunk ingestion rate) is significantly higher than Postgres + S3 Glacier (~$5K/year).
The dedicated audit database with two-phase commit was rejected because two-phase commit is slow (50ms+ per transaction) and operationally complex. The subtle failure modes (heuristic decisions after coordinator failure) are well-documented and have caused data inconsistencies in industry incidents. The dedicated database also contradicts the single-engine strategy (ADR-041) — running a second Postgres cluster for audit alone is not justified by the audit volume (~500 events/second is well within the primary cluster's capacity).
The event-sourced Kafka option was rejected because Kafka's producer semantics (async, at-least-once) do not provide the atomicity guarantee. A Kafka producer failure after business commit would lose the audit event. ksqlDB's query performance is poor for ad-hoc compliance queries (date range + actor + action) compared to Postgres with proper indexes. Introducing Kafka as a critical-path dependency for audit is also operationally heavy — PreOne's Kafka usage is currently limited to non-critical analytics pipelines.
The hash-chain tamper detection is a defense-in-depth control. A privileged attacker with DB superuser access could modify audit rows, but the hash chain would break, and the quarterly verification would detect the tampering. The hash chain is computed as: hash = SHA256(prev_hash || event_payload). Verification is a single SQL query that recomputes the chain and compares to stored hashes. The 5-10ms write overhead is the SHA-256 computation, acceptable against the typical 50-100ms transaction latency.
The 7-year retention is mandated by FERPA for student education records. The audit table grows by ~50M rows/year (500 events/second * 86400 seconds * 365 days / 2 for non-peak average). Postgres range partitioning (ADR-051) by month keeps partition sizes manageable (~4M rows per partition). Partitions older than 1 year are exported to S3 Glacier Deep Archive (Parquet format) and detached from the live table. Compliance queries against archived events use Athena (S3 query) with sub-minute latency for typical queries. The 12-hour Glacier retrieval time is acceptable because archived-event queries are rare (1-2 per year, typically for historical investigations).
The read-only admin tool (admin/operations/audit) is the auditors' interface. It provides: (1) date-range queries with actor, action, resource, and tenant filters; (2) CSV export for offline analysis; (3) saved queries for recurring audit needs; (4) a 'principal activity' view showing all actions by a user in a time range. Auditors receive a temporary read-only account (24-hour expiry, MFA-required) and are trained on the tool. Direct DB access is denied; this is a compliance control (auditors cannot accidentally or intentionally modify audit data).</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PreOne Audit Trail Architecture                        |
+------------------------------------------------------------------+
|                                                                  |
|  Command Handler (any BC)                                        |
|       |                                                          |
|       | 1. execute business change                               |
|       | 2. write audit event to Outbox                           |
|       v                                                          |
|  +-------------------+                                           |
|  | Postgres          |  (single transaction)                    |
|  | - business tables |                                           |
|  | - outbox table    |                                           |
|  +---------+---------+                                           |
|            |                                                     |
|            | (same tx commit)                                   |
|            v                                                     |
|  +-------------------+                                           |
|  | audit.audit_event |  (INSERT-only)                           |
|  | - id, ts, actor   |                                           |
|  | - action, resource|                                           |
|  | - tenant, ip, ua  |                                           |
|  | - prev_hash       |  (SHA-256 chain)                          |
|  | - row_hash        |                                           |
|  +---------+---------+                                           |
|            |                                                     |
|            | (nightly archive job)                              |
|            v                                                     |
|  +-------------------+                                           |
|  | S3 Glacier Deep   |  (1-year+ events, Parquet)               |
|  | Archive           |                                           |
|  +---------+---------+                                           |
|            |                                                     |
|            | (Athena query, rare)                               |
|            v                                                     |
|  +-------------------+                                           |
|  | Compliance Audit |  (read-only admin tool)                   |
|  | Tool              |                                           |
|  +-------------------+                                           |
|                                                                  |
|  Quarterly: hash-chain verification (recompute + compare)        |
+------------------------------------------------------------------+</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Client -&gt; API: POST /enrollment (create enrollment)
API -&gt; App Service: handleCreateEnrollment
App Service -&gt; Command Handler: execute
Command Handler -&gt; Postgres: BEGIN
Command Handler -&gt; Postgres: INSERT enrollment ...
Command Handler -&gt; AuditService: record(actor, 'CREATE', 'enrollment', ...)
AuditService -&gt; Postgres: INSERT outbox (audit event)
Command Handler -&gt; Postgres: COMMIT
Postgres -&gt; Outbox Relay: read committed outbox
Outbox Relay -&gt; Postgres: INSERT audit.audit_event (with prev_hash)
Note over Command Handler, Postgres: Atomicity: both commit or neither
Compliance Auditor -&gt; Admin Tool: query (date range + actor)
Admin Tool -&gt; Postgres Read Replica: SELECT ... WHERE ts BETWEEN ...
Postgres Read Replica -&gt; Admin Tool: rows
Admin Tool -&gt; Compliance Auditor: CSV / table view
Quarterly:
Verifier Job -&gt; Postgres: SELECT * FROM audit.audit_event ORDER BY ts
Verifier Job -&gt; Verifier: recompute hash chain
Verifier -&gt; Verifier: compare with stored row_hash
Verifier -&gt; Splunk: log verification result</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ADR-086 — Audit Trail  -  Component View              |
+-------------------------------------------------------------+
|                                                             |
|  +----------------+        +----------------------+         |
|  | Command Handler| write  | AuditService         |         |
|  | (any BC)       |-------&gt;| (writes Outbox)      |         |
|  +----------------+        +----------+-----------+         |
|                                       |                     |
|                                       | same tx             |
|                                       v                     |
|  +----------------+        +----------------------+         |
|  | Postgres       |  txn   | business tables +    |         |
|  |                |-------&gt;| outbox (atomic)      |         |
|  +----------------+        +----------+-----------+         |
|                                       |                     |
|                                       | relay               |
|                                       v                     |
|  +----------------+        +----------------------+         |
|  | audit.audit_   | INSERT | hash chain (SHA-256) |         |
|  |  event         |-------&gt;| INSERT-only perms    |         |
|  +----------------+        +----------------------+         |
|                                                             |
|  Archive: S3 Glacier Deep (1yr+), Athena queryable         |
|  Verify: quarterly hash-chain check                        |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Atomic Write Flow:
  Command Handler -&gt; Postgres: BEGIN
  Command Handler -&gt; Postgres: INSERT business row
  Command Handler -&gt; AuditService: record
  AuditService -&gt; Postgres: INSERT outbox (audit event)
  Command Handler -&gt; Postgres: COMMIT (atomic)
  Outbox Relay -&gt; Postgres: read committed outbox
  Outbox Relay -&gt; Postgres: INSERT audit.audit_event (with prev_hash)
Compliance Query Flow:
  Auditor -&gt; Admin Tool: query (date + actor + action)
  Admin Tool -&gt; Read Replica: SELECT ... WHERE filters
  Read Replica -&gt; Admin Tool: rows
  Admin Tool -&gt; Auditor: CSV / table view
Archive Flow (nightly):
  Archive Job -&gt; Postgres: SELECT events older than 1 year
  Archive Job -&gt; S3 Glacier: write (Parquet)
  Archive Job -&gt; Postgres: DETACH old partition
Quarterly Verification:
  Verifier -&gt; Postgres: SELECT * ORDER BY ts
  Verifier -&gt; Verifier: recompute hash chain
  Verifier -&gt; Splunk: log verification result</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The audit schema (audit.*) is a dedicated Postgres schema with INSERT-only permissions for the application user. The primary table (audit.audit_event) is range-partitioned by month (ADR-051) with sub-partitions by tenant_id for large tenants. Indexes: (tenant_id, ts), (actor_id, ts), (action, ts), (resource_type, resource_id, ts). The table grows by ~50M rows/year; partition pruning keeps query latency under 500ms p95 for typical compliance queries. The Outbox table (ADR-027) is in the public schema; the Outbox relay moves events to audit.audit_event asynchronously (within 100ms of commit). The audit schema is read-replica-friendly (no writes to the replica), enabling compliance queries without OLTP impact.</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No public API changes. The audit trail is internal. The admin API exposes GET /admin/audit-events with filters (date range, actor, action, resource, tenant), pagination, and CSV export. The admin API is RBAC-controlled (admin or auditor role only); auditors receive a 24-hour temporary account via a dedicated 'auditor onboarding' workflow. The API enforces a maximum date range of 90 days per query (to prevent full-table scans); wider ranges require multiple paginated queries or an Athena-backed archived-event query.</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The Audit Trail surfaces in the admin UI as the 'Activity Log' page (admin/operations/audit). Admins can query audit events by date range, actor, action, resource, or tenant, with results displayed in a paginated table and CSV export. Compliance auditors receive a 24-hour temporary account with read-only access to this page. The 'User Detail' page includes an 'Activity' tab showing the user's recent audit events (logins, data access, configuration changes). End users do not see the audit trail directly; it is admin-access-only. The audit query UI enforces a 90-day maximum date range per query to prevent performance issues.</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The audit trail is a critical security control. It provides: (1) compliance evidence for FERPA, GDPR, DPDP, COPPA; (2) incident investigation evidence (who did what, when); (3) deterrent effect (users know actions are logged); (4) tamper detection via hash chain. The INSERT-only permission model prevents application-level tampering; the hash chain detects DB-level tampering; the quarterly verification ensures tamper is detected within 90 days. The 2025 audit cited the legacy trail's 14% missing-event rate as a compliance risk; the Outbox-pattern trail eliminates this risk.</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Audit writes add 5-10ms to each transaction (Outbox INSERT + SHA-256 computation). This is acceptable against the typical 50-100ms transaction latency. Audit reads (compliance queries) run against read replicas (no OLTP impact). The (tenant_id, ts) index keeps query latency under 500ms p95 for typical 90-day queries. The nightly archive job runs in a 30-minute window (02:00-02:30) and does not impact OLTP (uses a separate connection pool). The quarterly hash-chain verification runs against a read replica and completes in under 2 hours.</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The audit trail scales with Postgres. The 50M rows/year growth rate is well within Postgres's capacity; range partitioning keeps individual partitions under 5M rows. The S3 Glacier archive for 1-year+ events keeps the live table under 100M rows (current year + previous year), maintaining query performance. The Athena-backed archived-event query scales to any volume (S3 is effectively unlimited). The hash-chain verification scales linearly with row count; quarterly verification completes in under 2 hours for the current volume. Projected 2028 volume (200M rows/year) is still within Postgres capacity with monthly partitioning.</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The Security Engineering Lead owns the audit trail. The team monitors: (a) audit write latency (target: &lt;10ms p99); (b) Outbox relay lag (target: &lt;100ms); (c) audit query latency (target: &lt;500ms p95); (d) archive job success; (e) hash-chain verification result. The nightly archive job is monitored; failure triggers a Slack alert and a Jira ticket. The quarterly hash-chain verification is observed by the Security Engineering Lead and the ARB chair; any verification failure triggers an incident (ADR-090). Compliance auditor onboarding (temporary account creation) is a documented workflow with a 24-hour SLA.</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Hash-chain verification fails (indicates tampering or corruption)</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Immediate incident (ADR-090); forensic analysis; if tampering confirmed, legal and regulatory notification; root-cause and remediation</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Audit write fails (Outbox relay failure) causing missing events</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Outbox relay has retry + dead-letter queue; missing-event detection job compares outbox count to audit count; alerts on discrepancy &gt; 0</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Audit table growth degrades query performance despite partitioning</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Monthly partitioning; archive to S3 after 1 year; quarterly query-performance review; if needed, weekly partitioning for high-volume tables</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Auditor onboarding workflow delayed (24-hour SLA breach)</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Self-service auditor account creation with automated approval for recurring auditors; documented escalation for first-time auditors</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Regulatory retention window extended beyond 7 years</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S3 Glacier archive retention is configurable; extending retention is a Terraform change; cost impact is linear ($0.00099/GB/month for Glacier Deep Archive)</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Transactional atomicity (audit and business change commit together)</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5-10ms added to every transaction</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SQL-queryable for compliance audits</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Postgres storage cost (~50M rows/year, partitioned)</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Hash-chain tamper detection</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SHA-256 computation on every write (5ms)</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7-year retention per FERPA</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S3 Glacier archive cost + 12-hour retrieval for archived queries</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Read-only admin tool for auditors (no direct DB access)</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Auditor training overhead (1-hour onboarding)</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The Splunk-only audit trail was piloted in Q3 2025 for the Identity bounded context. The pilot found that 0.3% of audit events were lost due to log-ship failures during network partitions — unacceptable for compliance. The dedicated audit database with two-phase commit was prototyped in Q4 2025; the prototype added 65ms per transaction (vs 10ms for the Outbox approach) and required complex failure-recovery procedures. The Kafka event-sourced option was rejected after a query-performance test: a typical compliance query (all actions by actor X in date range Y) took 8 seconds in ksqlDB vs 200ms in Postgres with proper indexes. The centralised Postgres approach with Outbox was the only option that satisfied all requirements: atomicity, queryability, tamper detection, and cost.</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Phase 1 (Q4 2025, complete): audit schema created in Postgres with INSERT-only permissions and hash chain. Phase 2 (Q4 2025, complete): AuditService integrated with Outbox in all 12 bounded contexts. Phase 3 (Q1 2026, complete): nightly archive job to S3 Glacier. Phase 4 (Q1 2026, complete): read-only admin tool (admin/operations/audit) deployed. Phase 5 (Q2 2026, complete): quarterly hash-chain verification job scheduled. Phase 6 (Q3 2026, complete): compliance auditor onboarding workflow documented and tested. Phase 7 (ongoing): backfill of legacy MongoDB audit events (1.2M events) to Postgres — scheduled for Q4 2026.</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The audit trail is tested at three levels. (1) Unit tests: every command handler test verifies that an audit event is written with the correct fields. (2) Integration tests: every API integration test verifies that the audit event appears in the audit table after the API call, with field-level assertions. (3) End-to-end tests: a simulated compliance audit queries the audit trail via the admin tool and verifies the results match the expected events. The hash-chain verification is tested by deliberately corrupting a row in a test database and verifying that the verification job detects it. The atomicity guarantee is tested by deliberately failing the business transaction and verifying that no audit event is written.</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Splunk dashboards track: (a) audit write latency (p50, p95, p99); (b) Outbox relay lag (target &lt;100ms); (c) audit query latency by filter type; (d) audit event volume by action type (anomaly detection for unexpected spikes); (e) archive job success and duration; (f) hash-chain verification result (quarterly); (g) auditor account creation and expiry. Anomalies (e.g., a 10x spike in 'DELETE' audit events) trigger Slack alerts to #security-alerts. The audit trail dashboard (admin/operations/security/audit) provides a real-time view for the security team.</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Two evolutions are likely. First, the audit trail may be extended to capture data-access events (PII reads) at the field level, providing finer-grained evidence for GDPR data-subject-access requests. This is currently scoped at the entity level (e.g., 'read Student X') rather than the field level (e.g., 'read Student X.health_info'). Field-level audit would increase write volume 5-10x and is gated on a performance impact assessment. Second, the audit trail may integrate with a SIEM (Security Information and Event Management) platform for real-time anomaly detection — currently anomaly detection is rule-based in Splunk, but a dedicated SIEM (e.g., Splunk Enterprise Security) would provide ML-based detection. Third, the audit trail may be exposed to customers (tenants) via a self-service 'activity log' API, enabling schools to audit their own data access — gated on customer demand.</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ADR-002 — Modular Monolith Strategy (audit trail is a cross-cutting concern in the monolith)</w:t>
      </w:r>
    </w:p>
    <w:p>
      <w:pPr>
        <w:pStyle w:val="ListParagraph"/>
        <w:numPr>
          <w:ilvl w:val="0"/>
          <w:numId w:val="1"/>
        </w:numPr>
        <w:spacing w:after="60" w:line="312"/>
        <w:ind w:left="720" w:hanging="360"/>
      </w:pPr>
      <w:r>
        <w:rPr>
          <w:rFonts w:ascii="Inter" w:eastAsia="Inter"/>
          <w:color w:val="1E293B"/>
          <w:sz w:val="22"/>
          <w:szCs w:val="22"/>
        </w:rPr>
        <w:t xml:space="preserve">ADR-027 — Domain Events (Outbox pattern provides audit atomicity)</w:t>
      </w:r>
    </w:p>
    <w:p>
      <w:pPr>
        <w:pStyle w:val="ListParagraph"/>
        <w:numPr>
          <w:ilvl w:val="0"/>
          <w:numId w:val="1"/>
        </w:numPr>
        <w:spacing w:after="60" w:line="312"/>
        <w:ind w:left="720" w:hanging="360"/>
      </w:pPr>
      <w:r>
        <w:rPr>
          <w:rFonts w:ascii="Inter" w:eastAsia="Inter"/>
          <w:color w:val="1E293B"/>
          <w:sz w:val="22"/>
          <w:szCs w:val="22"/>
        </w:rPr>
        <w:t xml:space="preserve">ADR-041 — PostgreSQL Strategy (audit schema is a dedicated schema in the primary Postgres)</w:t>
      </w:r>
    </w:p>
    <w:p>
      <w:pPr>
        <w:pStyle w:val="ListParagraph"/>
        <w:numPr>
          <w:ilvl w:val="0"/>
          <w:numId w:val="1"/>
        </w:numPr>
        <w:spacing w:after="60" w:line="312"/>
        <w:ind w:left="720" w:hanging="360"/>
      </w:pPr>
      <w:r>
        <w:rPr>
          <w:rFonts w:ascii="Inter" w:eastAsia="Inter"/>
          <w:color w:val="1E293B"/>
          <w:sz w:val="22"/>
          <w:szCs w:val="22"/>
        </w:rPr>
        <w:t xml:space="preserve">ADR-043 — Tenant Isolation (audit events include tenant_id for filtering)</w:t>
      </w:r>
    </w:p>
    <w:p>
      <w:pPr>
        <w:pStyle w:val="ListParagraph"/>
        <w:numPr>
          <w:ilvl w:val="0"/>
          <w:numId w:val="1"/>
        </w:numPr>
        <w:spacing w:after="60" w:line="312"/>
        <w:ind w:left="720" w:hanging="360"/>
      </w:pPr>
      <w:r>
        <w:rPr>
          <w:rFonts w:ascii="Inter" w:eastAsia="Inter"/>
          <w:color w:val="1E293B"/>
          <w:sz w:val="22"/>
          <w:szCs w:val="22"/>
        </w:rPr>
        <w:t xml:space="preserve">ADR-048 — Audit Columns (business tables have audit columns; this ADR is the dedicated audit trail)</w:t>
      </w:r>
    </w:p>
    <w:p>
      <w:pPr>
        <w:pStyle w:val="ListParagraph"/>
        <w:numPr>
          <w:ilvl w:val="0"/>
          <w:numId w:val="1"/>
        </w:numPr>
        <w:spacing w:after="60" w:line="312"/>
        <w:ind w:left="720" w:hanging="360"/>
      </w:pPr>
      <w:r>
        <w:rPr>
          <w:rFonts w:ascii="Inter" w:eastAsia="Inter"/>
          <w:color w:val="1E293B"/>
          <w:sz w:val="22"/>
          <w:szCs w:val="22"/>
        </w:rPr>
        <w:t xml:space="preserve">ADR-051 — Partition Strategy (audit table is range-partitioned by month)</w:t>
      </w:r>
    </w:p>
    <w:p>
      <w:pPr>
        <w:pStyle w:val="ListParagraph"/>
        <w:numPr>
          <w:ilvl w:val="0"/>
          <w:numId w:val="1"/>
        </w:numPr>
        <w:spacing w:after="60" w:line="312"/>
        <w:ind w:left="720" w:hanging="360"/>
      </w:pPr>
      <w:r>
        <w:rPr>
          <w:rFonts w:ascii="Inter" w:eastAsia="Inter"/>
          <w:color w:val="1E293B"/>
          <w:sz w:val="22"/>
          <w:szCs w:val="22"/>
        </w:rPr>
        <w:t xml:space="preserve">ADR-053 — Data Retention (audit trail retention is 7 years per FERPA, longer than default)</w:t>
      </w:r>
    </w:p>
    <w:p>
      <w:pPr>
        <w:pStyle w:val="ListParagraph"/>
        <w:numPr>
          <w:ilvl w:val="0"/>
          <w:numId w:val="1"/>
        </w:numPr>
        <w:spacing w:after="60" w:line="312"/>
        <w:ind w:left="720" w:hanging="360"/>
      </w:pPr>
      <w:r>
        <w:rPr>
          <w:rFonts w:ascii="Inter" w:eastAsia="Inter"/>
          <w:color w:val="1E293B"/>
          <w:sz w:val="22"/>
          <w:szCs w:val="22"/>
        </w:rPr>
        <w:t xml:space="preserve">ADR-054 — Archive Policy (audit events archived to S3 Glacier after 1 year)</w:t>
      </w:r>
    </w:p>
    <w:p>
      <w:pPr>
        <w:pStyle w:val="ListParagraph"/>
        <w:numPr>
          <w:ilvl w:val="0"/>
          <w:numId w:val="1"/>
        </w:numPr>
        <w:spacing w:after="60" w:line="312"/>
        <w:ind w:left="720" w:hanging="360"/>
      </w:pPr>
      <w:r>
        <w:rPr>
          <w:rFonts w:ascii="Inter" w:eastAsia="Inter"/>
          <w:color w:val="1E293B"/>
          <w:sz w:val="22"/>
          <w:szCs w:val="22"/>
        </w:rPr>
        <w:t xml:space="preserve">ADR-061 — Identity Model (audit events reference principal_id from identity model)</w:t>
      </w:r>
    </w:p>
    <w:p>
      <w:pPr>
        <w:pStyle w:val="ListParagraph"/>
        <w:numPr>
          <w:ilvl w:val="0"/>
          <w:numId w:val="1"/>
        </w:numPr>
        <w:spacing w:after="60" w:line="312"/>
        <w:ind w:left="720" w:hanging="360"/>
      </w:pPr>
      <w:r>
        <w:rPr>
          <w:rFonts w:ascii="Inter" w:eastAsia="Inter"/>
          <w:color w:val="1E293B"/>
          <w:sz w:val="22"/>
          <w:szCs w:val="22"/>
        </w:rPr>
        <w:t xml:space="preserve">ADR-083 — Vulnerability Management (vuln-mgmt findings logged to audit trail)</w:t>
      </w:r>
    </w:p>
    <w:p>
      <w:pPr>
        <w:pStyle w:val="ListParagraph"/>
        <w:numPr>
          <w:ilvl w:val="0"/>
          <w:numId w:val="1"/>
        </w:numPr>
        <w:spacing w:after="60" w:line="312"/>
        <w:ind w:left="720" w:hanging="360"/>
      </w:pPr>
      <w:r>
        <w:rPr>
          <w:rFonts w:ascii="Inter" w:eastAsia="Inter"/>
          <w:color w:val="1E293B"/>
          <w:sz w:val="22"/>
          <w:szCs w:val="22"/>
        </w:rPr>
        <w:t xml:space="preserve">ADR-090 — Incident Response (audit trail is primary evidence for incident investigations)</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Upstream PRD: PRD-007 (Security Requirements — audit trail section)</w:t>
      </w:r>
    </w:p>
    <w:p>
      <w:pPr>
        <w:pStyle w:val="ListParagraph"/>
        <w:numPr>
          <w:ilvl w:val="0"/>
          <w:numId w:val="1"/>
        </w:numPr>
        <w:spacing w:after="60" w:line="312"/>
        <w:ind w:left="720" w:hanging="360"/>
      </w:pPr>
      <w:r>
        <w:rPr>
          <w:rFonts w:ascii="Inter" w:eastAsia="Inter"/>
          <w:color w:val="1E293B"/>
          <w:sz w:val="22"/>
          <w:szCs w:val="22"/>
        </w:rPr>
        <w:t xml:space="preserve">Upstream DDD: DDD-006 (Security Bounded Context — audit event is an entity)</w:t>
      </w:r>
    </w:p>
    <w:p>
      <w:pPr>
        <w:pStyle w:val="ListParagraph"/>
        <w:numPr>
          <w:ilvl w:val="0"/>
          <w:numId w:val="1"/>
        </w:numPr>
        <w:spacing w:after="60" w:line="312"/>
        <w:ind w:left="720" w:hanging="360"/>
      </w:pPr>
      <w:r>
        <w:rPr>
          <w:rFonts w:ascii="Inter" w:eastAsia="Inter"/>
          <w:color w:val="1E293B"/>
          <w:sz w:val="22"/>
          <w:szCs w:val="22"/>
        </w:rPr>
        <w:t xml:space="preserve">Downstream ERD: ERD-086 (audit.audit_event table schema)</w:t>
      </w:r>
    </w:p>
    <w:p>
      <w:pPr>
        <w:pStyle w:val="ListParagraph"/>
        <w:numPr>
          <w:ilvl w:val="0"/>
          <w:numId w:val="1"/>
        </w:numPr>
        <w:spacing w:after="60" w:line="312"/>
        <w:ind w:left="720" w:hanging="360"/>
      </w:pPr>
      <w:r>
        <w:rPr>
          <w:rFonts w:ascii="Inter" w:eastAsia="Inter"/>
          <w:color w:val="1E293B"/>
          <w:sz w:val="22"/>
          <w:szCs w:val="22"/>
        </w:rPr>
        <w:t xml:space="preserve">Downstream API Spec: API-086 (admin audit query endpoints)</w:t>
      </w:r>
    </w:p>
    <w:p>
      <w:pPr>
        <w:pStyle w:val="ListParagraph"/>
        <w:numPr>
          <w:ilvl w:val="0"/>
          <w:numId w:val="1"/>
        </w:numPr>
        <w:spacing w:after="60" w:line="312"/>
        <w:ind w:left="720" w:hanging="360"/>
      </w:pPr>
      <w:r>
        <w:rPr>
          <w:rFonts w:ascii="Inter" w:eastAsia="Inter"/>
          <w:color w:val="1E293B"/>
          <w:sz w:val="22"/>
          <w:szCs w:val="22"/>
        </w:rPr>
        <w:t xml:space="preserve">Downstream Test Cases: TC-086 (audit trail atomicity, hash-chain, and query tests)</w:t>
      </w:r>
    </w:p>
    <w:p>
      <w:pPr>
        <w:pStyle w:val="ListParagraph"/>
        <w:numPr>
          <w:ilvl w:val="0"/>
          <w:numId w:val="1"/>
        </w:numPr>
        <w:spacing w:after="60" w:line="312"/>
        <w:ind w:left="720" w:hanging="360"/>
      </w:pPr>
      <w:r>
        <w:rPr>
          <w:rFonts w:ascii="Inter" w:eastAsia="Inter"/>
          <w:color w:val="1E293B"/>
          <w:sz w:val="22"/>
          <w:szCs w:val="22"/>
        </w:rPr>
        <w:t xml:space="preserve">External: FERPA 34 CFR § 99.31 (Audit record requirements)</w:t>
      </w:r>
    </w:p>
    <w:p>
      <w:pPr>
        <w:pStyle w:val="ListParagraph"/>
        <w:numPr>
          <w:ilvl w:val="0"/>
          <w:numId w:val="1"/>
        </w:numPr>
        <w:spacing w:after="60" w:line="312"/>
        <w:ind w:left="720" w:hanging="360"/>
      </w:pPr>
      <w:r>
        <w:rPr>
          <w:rFonts w:ascii="Inter" w:eastAsia="Inter"/>
          <w:color w:val="1E293B"/>
          <w:sz w:val="22"/>
          <w:szCs w:val="22"/>
        </w:rPr>
        <w:t xml:space="preserve">External: GDPR Article 30 (Records of processing activities)</w:t>
      </w:r>
    </w:p>
    <w:p>
      <w:pPr>
        <w:pStyle w:val="ListParagraph"/>
        <w:numPr>
          <w:ilvl w:val="0"/>
          <w:numId w:val="1"/>
        </w:numPr>
        <w:spacing w:after="60" w:line="312"/>
        <w:ind w:left="720" w:hanging="360"/>
      </w:pPr>
      <w:r>
        <w:rPr>
          <w:rFonts w:ascii="Inter" w:eastAsia="Inter"/>
          <w:color w:val="1E293B"/>
          <w:sz w:val="22"/>
          <w:szCs w:val="22"/>
        </w:rPr>
        <w:t xml:space="preserve">External: NIST SP 800-92 (Guide to Computer Security Log Management)</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2025-09-14</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Security Engineering Lead</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options enumerated; consultation with security and engineering teams</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2025-10-31</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Security Engineering Lead</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Architecture Review Board after cross-team review</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2025-11-28</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published to architecture repository</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2026-07-15</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cross-references to Vol 1-3 ADRs added; 34-section template applied</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Chief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Security Engineering Lead</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ARB Chair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2025-11-28</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ADR published to architecture repository (Done)</w:t>
      </w:r>
    </w:p>
    <w:p>
      <w:pPr>
        <w:pStyle w:val="ListParagraph"/>
        <w:numPr>
          <w:ilvl w:val="0"/>
          <w:numId w:val="1"/>
        </w:numPr>
        <w:spacing w:after="60" w:line="312"/>
        <w:ind w:left="720" w:hanging="360"/>
      </w:pPr>
      <w:r>
        <w:rPr>
          <w:rFonts w:ascii="Inter" w:eastAsia="Inter"/>
          <w:color w:val="1E293B"/>
          <w:sz w:val="22"/>
          <w:szCs w:val="22"/>
        </w:rPr>
        <w:t xml:space="preserve">Cross-references to upstream/downstream artefacts added (Done)</w:t>
      </w:r>
    </w:p>
    <w:p>
      <w:pPr>
        <w:pStyle w:val="ListParagraph"/>
        <w:numPr>
          <w:ilvl w:val="0"/>
          <w:numId w:val="1"/>
        </w:numPr>
        <w:spacing w:after="60" w:line="312"/>
        <w:ind w:left="720" w:hanging="360"/>
      </w:pPr>
      <w:r>
        <w:rPr>
          <w:rFonts w:ascii="Inter" w:eastAsia="Inter"/>
          <w:color w:val="1E293B"/>
          <w:sz w:val="22"/>
          <w:szCs w:val="22"/>
        </w:rPr>
        <w:t xml:space="preserve">Security team briefed in monthly architecture sync (Done)</w:t>
      </w:r>
    </w:p>
    <w:p>
      <w:pPr>
        <w:pStyle w:val="ListParagraph"/>
        <w:numPr>
          <w:ilvl w:val="0"/>
          <w:numId w:val="1"/>
        </w:numPr>
        <w:spacing w:after="60" w:line="312"/>
        <w:ind w:left="720" w:hanging="360"/>
      </w:pPr>
      <w:r>
        <w:rPr>
          <w:rFonts w:ascii="Inter" w:eastAsia="Inter"/>
          <w:color w:val="1E293B"/>
          <w:sz w:val="22"/>
          <w:szCs w:val="22"/>
        </w:rPr>
        <w:t xml:space="preserve">Code review checklist updated to enforce this ADR (Done)</w:t>
      </w:r>
    </w:p>
    <w:p>
      <w:pPr>
        <w:pStyle w:val="ListParagraph"/>
        <w:numPr>
          <w:ilvl w:val="0"/>
          <w:numId w:val="1"/>
        </w:numPr>
        <w:spacing w:after="60" w:line="312"/>
        <w:ind w:left="720" w:hanging="360"/>
      </w:pPr>
      <w:r>
        <w:rPr>
          <w:rFonts w:ascii="Inter" w:eastAsia="Inter"/>
          <w:color w:val="1E293B"/>
          <w:sz w:val="22"/>
          <w:szCs w:val="22"/>
        </w:rPr>
        <w:t xml:space="preserve">On-call runbook updated with operational procedures (Done)</w:t>
      </w:r>
    </w:p>
    <w:p>
      <w:pPr>
        <w:pStyle w:val="ListParagraph"/>
        <w:numPr>
          <w:ilvl w:val="0"/>
          <w:numId w:val="1"/>
        </w:numPr>
        <w:spacing w:after="60" w:line="312"/>
        <w:ind w:left="720" w:hanging="360"/>
      </w:pPr>
      <w:r>
        <w:rPr>
          <w:rFonts w:ascii="Inter" w:eastAsia="Inter"/>
          <w:color w:val="1E293B"/>
          <w:sz w:val="22"/>
          <w:szCs w:val="22"/>
        </w:rPr>
        <w:t xml:space="preserve">audit.* schema deployed with INSERT-only permissions (Done)</w:t>
      </w:r>
    </w:p>
    <w:p>
      <w:pPr>
        <w:pStyle w:val="ListParagraph"/>
        <w:numPr>
          <w:ilvl w:val="0"/>
          <w:numId w:val="1"/>
        </w:numPr>
        <w:spacing w:after="60" w:line="312"/>
        <w:ind w:left="720" w:hanging="360"/>
      </w:pPr>
      <w:r>
        <w:rPr>
          <w:rFonts w:ascii="Inter" w:eastAsia="Inter"/>
          <w:color w:val="1E293B"/>
          <w:sz w:val="22"/>
          <w:szCs w:val="22"/>
        </w:rPr>
        <w:t xml:space="preserve">Hash chain (SHA-256) implemented (Done)</w:t>
      </w:r>
    </w:p>
    <w:p>
      <w:pPr>
        <w:pStyle w:val="ListParagraph"/>
        <w:numPr>
          <w:ilvl w:val="0"/>
          <w:numId w:val="1"/>
        </w:numPr>
        <w:spacing w:after="60" w:line="312"/>
        <w:ind w:left="720" w:hanging="360"/>
      </w:pPr>
      <w:r>
        <w:rPr>
          <w:rFonts w:ascii="Inter" w:eastAsia="Inter"/>
          <w:color w:val="1E293B"/>
          <w:sz w:val="22"/>
          <w:szCs w:val="22"/>
        </w:rPr>
        <w:t xml:space="preserve">AuditService integrated with Outbox in all 12 BCs (Done)</w:t>
      </w:r>
    </w:p>
    <w:p>
      <w:pPr>
        <w:pStyle w:val="ListParagraph"/>
        <w:numPr>
          <w:ilvl w:val="0"/>
          <w:numId w:val="1"/>
        </w:numPr>
        <w:spacing w:after="60" w:line="312"/>
        <w:ind w:left="720" w:hanging="360"/>
      </w:pPr>
      <w:r>
        <w:rPr>
          <w:rFonts w:ascii="Inter" w:eastAsia="Inter"/>
          <w:color w:val="1E293B"/>
          <w:sz w:val="22"/>
          <w:szCs w:val="22"/>
        </w:rPr>
        <w:t xml:space="preserve">Nightly archive job to S3 Glacier (Done)</w:t>
      </w:r>
    </w:p>
    <w:p>
      <w:pPr>
        <w:pStyle w:val="ListParagraph"/>
        <w:numPr>
          <w:ilvl w:val="0"/>
          <w:numId w:val="1"/>
        </w:numPr>
        <w:spacing w:after="60" w:line="312"/>
        <w:ind w:left="720" w:hanging="360"/>
      </w:pPr>
      <w:r>
        <w:rPr>
          <w:rFonts w:ascii="Inter" w:eastAsia="Inter"/>
          <w:color w:val="1E293B"/>
          <w:sz w:val="22"/>
          <w:szCs w:val="22"/>
        </w:rPr>
        <w:t xml:space="preserve">Read-only admin tool (admin/operations/audit) (Done)</w:t>
      </w:r>
    </w:p>
    <w:p>
      <w:pPr>
        <w:pStyle w:val="ListParagraph"/>
        <w:numPr>
          <w:ilvl w:val="0"/>
          <w:numId w:val="1"/>
        </w:numPr>
        <w:spacing w:after="60" w:line="312"/>
        <w:ind w:left="720" w:hanging="360"/>
      </w:pPr>
      <w:r>
        <w:rPr>
          <w:rFonts w:ascii="Inter" w:eastAsia="Inter"/>
          <w:color w:val="1E293B"/>
          <w:sz w:val="22"/>
          <w:szCs w:val="22"/>
        </w:rPr>
        <w:t xml:space="preserve">Quarterly hash-chain verification job (Done)</w:t>
      </w:r>
    </w:p>
    <w:p>
      <w:pPr>
        <w:pStyle w:val="ListParagraph"/>
        <w:numPr>
          <w:ilvl w:val="0"/>
          <w:numId w:val="1"/>
        </w:numPr>
        <w:spacing w:after="60" w:line="312"/>
        <w:ind w:left="720" w:hanging="360"/>
      </w:pPr>
      <w:r>
        <w:rPr>
          <w:rFonts w:ascii="Inter" w:eastAsia="Inter"/>
          <w:color w:val="1E293B"/>
          <w:sz w:val="22"/>
          <w:szCs w:val="22"/>
        </w:rPr>
        <w:t xml:space="preserve">Compliance auditor onboarding workflow (Done)</w:t>
      </w:r>
    </w:p>
    <w:p>
      <w:pPr>
        <w:pStyle w:val="ListParagraph"/>
        <w:numPr>
          <w:ilvl w:val="0"/>
          <w:numId w:val="1"/>
        </w:numPr>
        <w:spacing w:after="60" w:line="312"/>
        <w:ind w:left="720" w:hanging="360"/>
      </w:pPr>
      <w:r>
        <w:rPr>
          <w:rFonts w:ascii="Inter" w:eastAsia="Inter"/>
          <w:color w:val="1E293B"/>
          <w:sz w:val="22"/>
          <w:szCs w:val="22"/>
        </w:rPr>
        <w:t xml:space="preserve">Backfill of legacy MongoDB audit events (Planned — Q4 2026)</w:t>
      </w:r>
    </w:p>
    <w:p>
      <w:pPr>
        <w:spacing w:after="60" w:before="360" w:line="280"/>
      </w:pPr>
      <w:r>
        <w:rPr>
          <w:rFonts w:ascii="Inter" w:eastAsia="Inter"/>
          <w:b/>
          <w:bCs/>
          <w:color w:val="4F46E5"/>
          <w:spacing w:val="60"/>
          <w:sz w:val="22"/>
          <w:szCs w:val="22"/>
        </w:rPr>
        <w:t xml:space="preserve">ADR-087</w:t>
      </w:r>
    </w:p>
    <w:p>
      <w:pPr>
        <w:pStyle w:val="Heading1"/>
        <w:spacing w:after="200" w:before="60" w:line="312"/>
      </w:pPr>
      <w:r>
        <w:rPr>
          <w:rFonts w:ascii="Inter" w:eastAsia="Inter"/>
          <w:b/>
          <w:bCs/>
          <w:color w:val="0F172A"/>
          <w:sz w:val="36"/>
          <w:szCs w:val="36"/>
        </w:rPr>
        <w:t xml:space="preserve">Penetration Testing Program</w:t>
      </w:r>
    </w:p>
    <w:p>
      <w:pPr>
        <w:spacing w:after="120" w:line="280"/>
      </w:pPr>
      <w:r>
        <w:rPr>
          <w:rFonts w:ascii="Inter" w:eastAsia="Inter"/>
          <w:color w:val="64748B"/>
          <w:sz w:val="20"/>
          <w:szCs w:val="20"/>
        </w:rPr>
        <w:t xml:space="preserve">Volume 4 — Security Architecture  -  </w:t>
      </w:r>
      <w:r>
        <w:rPr>
          <w:rFonts w:ascii="Inter" w:eastAsia="Inter"/>
          <w:color w:val="64748B"/>
          <w:sz w:val="20"/>
          <w:szCs w:val="20"/>
        </w:rPr>
        <w:t xml:space="preserve">Identity &amp; Security</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Adopt a three-tier penetration testing program: (1) annual third-party penetration test by a Bishop Fox or NCC Group-tier firm covering the full platform; (2) quarterly internal red-team exercise by the Security Engineering team targeting a specific bounded context or control; (3) continuous bug-bounty program (HackerOne) for external researcher findings. Critical findings trigger a 24-hour remediation SLA; high findings 7-day SLA; medium findings 30-day SLA. All findings (regardless of source) are tracked in a single Splunk-backed findings registry with deduplication and trend analysis.</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2025-12-15</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Security Engineering Lead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review, or on threat landscape shift, or on tooling vendor change</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refreshes for series alignment and cross-references)</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PreOne's regulated-data exposure requires demonstrable penetration testing as a condition of customer contracts (institutional customers require annual pentest reports as a procurement gate) and as a compliance control (FERPA, GDPR, DPDP all expect independent security testing). The legacy platform relied on a single annual pentest, which produced a snapshot of vulnerabilities that were often stale by the time remediation completed.
The 2025 Bishop Fox pentest (the most recent annual engagement) identified 23 findings: 2 critical (auth bypass in the parent API, RCE in a legacy admin tool), 6 high (mostly access-control gaps), 10 medium (mostly configuration issues), and 5 low (information disclosure). The critical findings were remediated within 24 hours; the high findings within 7 days; the medium findings within 30 days. The engagement cost $85K and took 4 weeks. The 2025 audit recommended complementing the annual pentest with quarterly internal red-team exercises and a continuous bug-bounty program to reduce the staleness gap.
PreOne's threat model identifies the highest-risk attack surfaces as: (1) the parent mobile app's backend API (authentication, data access); (2) the admin web application (privileged actions, configuration); (3) the third-party integration API (data exchange with school information systems). The pentest program targets these surfaces with appropriate frequency — annual full-platform test, quarterly deep-dive on one surface, continuous bug-bounty coverage of all surfaces.
The bug-bounty program is a 2026 addition. The Security Engineering Lead evaluated HackerOne, Bugcrowd, and Intigriti; HackerOne was selected for its larger researcher community and PreOne's prior positive experience with the platform. The bug-bounty scope covers all public-facing surfaces (web, API, mobile app backend) with payouts ranging from $500 (low) to $15,000 (critical).</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The primary driver is customer acquisition. Institutional customers (school districts, universities) require annual pentest reports as a procurement gate; without them, PreOne cannot bid on contracts. The 2025 Bishop Fox report was cited in 8 customer wins representing $1.2M in annual recurring revenue. The pentest program is a direct revenue enabler.
A secondary driver is risk reduction. The 2025 pentest found 2 critical vulnerabilities that, if exploited, would have caused data breaches with $500K+ in incident response and regulatory-fine costs. The 24-hour critical-finding SLA ensures such vulnerabilities are remediated before exploitation. The quarterly red-team and continuous bug-bounty reduce the time between vulnerability introduction and discovery.
A tertiary driver is compliance. FERPA, GDPR, DPDP, and COPPA all expect independent security testing; the annual pentest is the standard evidence. The bug-bounty program provides continuous evidence that complements the annual snapshot.
A quaternary driver is marketing. The 'Bishop Fox tested' and 'HackerOne bug-bounty' badges on the PreOne website and security page are differentiators in the competitive education-platform market, where security is a top-3 customer concern.</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PreOne requires a multi-tier penetration testing program that combines annual third-party testing (for customer procurement and compliance), quarterly internal red-team exercises (for depth on specific surfaces), and continuous bug-bounty coverage (for breadth and freshness) — with enforceable remediation SLAs and a unified findings registry.</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Annual pentest must be conducted by a recognized firm (Bishop Fox, NCC Group, Trail of Bits, or equivalent)</w:t>
      </w:r>
    </w:p>
    <w:p>
      <w:pPr>
        <w:pStyle w:val="ListParagraph"/>
        <w:numPr>
          <w:ilvl w:val="0"/>
          <w:numId w:val="1"/>
        </w:numPr>
        <w:spacing w:after="60" w:line="312"/>
        <w:ind w:left="720" w:hanging="360"/>
      </w:pPr>
      <w:r>
        <w:rPr>
          <w:rFonts w:ascii="Inter" w:eastAsia="Inter"/>
          <w:color w:val="1E293B"/>
          <w:sz w:val="22"/>
          <w:szCs w:val="22"/>
        </w:rPr>
        <w:t xml:space="preserve">Annual pentest report must be shareable with customers under NDA (sanitised version for general distribution)</w:t>
      </w:r>
    </w:p>
    <w:p>
      <w:pPr>
        <w:pStyle w:val="ListParagraph"/>
        <w:numPr>
          <w:ilvl w:val="0"/>
          <w:numId w:val="1"/>
        </w:numPr>
        <w:spacing w:after="60" w:line="312"/>
        <w:ind w:left="720" w:hanging="360"/>
      </w:pPr>
      <w:r>
        <w:rPr>
          <w:rFonts w:ascii="Inter" w:eastAsia="Inter"/>
          <w:color w:val="1E293B"/>
          <w:sz w:val="22"/>
          <w:szCs w:val="22"/>
        </w:rPr>
        <w:t xml:space="preserve">Quarterly red-team exercise must target a specific bounded context or control (not the full platform)</w:t>
      </w:r>
    </w:p>
    <w:p>
      <w:pPr>
        <w:pStyle w:val="ListParagraph"/>
        <w:numPr>
          <w:ilvl w:val="0"/>
          <w:numId w:val="1"/>
        </w:numPr>
        <w:spacing w:after="60" w:line="312"/>
        <w:ind w:left="720" w:hanging="360"/>
      </w:pPr>
      <w:r>
        <w:rPr>
          <w:rFonts w:ascii="Inter" w:eastAsia="Inter"/>
          <w:color w:val="1E293B"/>
          <w:sz w:val="22"/>
          <w:szCs w:val="22"/>
        </w:rPr>
        <w:t xml:space="preserve">Bug-bounty scope must exclude denial-of-service, social engineering, and physical attacks</w:t>
      </w:r>
    </w:p>
    <w:p>
      <w:pPr>
        <w:pStyle w:val="ListParagraph"/>
        <w:numPr>
          <w:ilvl w:val="0"/>
          <w:numId w:val="1"/>
        </w:numPr>
        <w:spacing w:after="60" w:line="312"/>
        <w:ind w:left="720" w:hanging="360"/>
      </w:pPr>
      <w:r>
        <w:rPr>
          <w:rFonts w:ascii="Inter" w:eastAsia="Inter"/>
          <w:color w:val="1E293B"/>
          <w:sz w:val="22"/>
          <w:szCs w:val="22"/>
        </w:rPr>
        <w:t xml:space="preserve">Bug-bounty payouts must be competitive (median for education-sector programs: $500-$15,000)</w:t>
      </w:r>
    </w:p>
    <w:p>
      <w:pPr>
        <w:pStyle w:val="ListParagraph"/>
        <w:numPr>
          <w:ilvl w:val="0"/>
          <w:numId w:val="1"/>
        </w:numPr>
        <w:spacing w:after="60" w:line="312"/>
        <w:ind w:left="720" w:hanging="360"/>
      </w:pPr>
      <w:r>
        <w:rPr>
          <w:rFonts w:ascii="Inter" w:eastAsia="Inter"/>
          <w:color w:val="1E293B"/>
          <w:sz w:val="22"/>
          <w:szCs w:val="22"/>
        </w:rPr>
        <w:t xml:space="preserve">All findings (annual, red-team, bug-bounty) must be tracked in a single Splunk-backed findings registry</w:t>
      </w:r>
    </w:p>
    <w:p>
      <w:pPr>
        <w:pStyle w:val="ListParagraph"/>
        <w:numPr>
          <w:ilvl w:val="0"/>
          <w:numId w:val="1"/>
        </w:numPr>
        <w:spacing w:after="60" w:line="312"/>
        <w:ind w:left="720" w:hanging="360"/>
      </w:pPr>
      <w:r>
        <w:rPr>
          <w:rFonts w:ascii="Inter" w:eastAsia="Inter"/>
          <w:color w:val="1E293B"/>
          <w:sz w:val="22"/>
          <w:szCs w:val="22"/>
        </w:rPr>
        <w:t xml:space="preserve">Remediation SLAs: critical=24hr, high=7d, medium=30d, low=backlog</w:t>
      </w:r>
    </w:p>
    <w:p>
      <w:pPr>
        <w:pStyle w:val="ListParagraph"/>
        <w:numPr>
          <w:ilvl w:val="0"/>
          <w:numId w:val="1"/>
        </w:numPr>
        <w:spacing w:after="60" w:line="312"/>
        <w:ind w:left="720" w:hanging="360"/>
      </w:pPr>
      <w:r>
        <w:rPr>
          <w:rFonts w:ascii="Inter" w:eastAsia="Inter"/>
          <w:color w:val="1E293B"/>
          <w:sz w:val="22"/>
          <w:szCs w:val="22"/>
        </w:rPr>
        <w:t xml:space="preserve">Findings must be deduplicated (same vulnerability reported by multiple sources counts as one)</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Bishop Fox (or equivalent) will continue to be available for annual engagements</w:t>
      </w:r>
    </w:p>
    <w:p>
      <w:pPr>
        <w:pStyle w:val="ListParagraph"/>
        <w:numPr>
          <w:ilvl w:val="0"/>
          <w:numId w:val="1"/>
        </w:numPr>
        <w:spacing w:after="60" w:line="312"/>
        <w:ind w:left="720" w:hanging="360"/>
      </w:pPr>
      <w:r>
        <w:rPr>
          <w:rFonts w:ascii="Inter" w:eastAsia="Inter"/>
          <w:color w:val="1E293B"/>
          <w:sz w:val="22"/>
          <w:szCs w:val="22"/>
        </w:rPr>
        <w:t xml:space="preserve">The Security Engineering team has the skills to conduct quarterly red-team exercises</w:t>
      </w:r>
    </w:p>
    <w:p>
      <w:pPr>
        <w:pStyle w:val="ListParagraph"/>
        <w:numPr>
          <w:ilvl w:val="0"/>
          <w:numId w:val="1"/>
        </w:numPr>
        <w:spacing w:after="60" w:line="312"/>
        <w:ind w:left="720" w:hanging="360"/>
      </w:pPr>
      <w:r>
        <w:rPr>
          <w:rFonts w:ascii="Inter" w:eastAsia="Inter"/>
          <w:color w:val="1E293B"/>
          <w:sz w:val="22"/>
          <w:szCs w:val="22"/>
        </w:rPr>
        <w:t xml:space="preserve">HackerOne's researcher community will show interest in PreOne's program (sufficient bounty budget)</w:t>
      </w:r>
    </w:p>
    <w:p>
      <w:pPr>
        <w:pStyle w:val="ListParagraph"/>
        <w:numPr>
          <w:ilvl w:val="0"/>
          <w:numId w:val="1"/>
        </w:numPr>
        <w:spacing w:after="60" w:line="312"/>
        <w:ind w:left="720" w:hanging="360"/>
      </w:pPr>
      <w:r>
        <w:rPr>
          <w:rFonts w:ascii="Inter" w:eastAsia="Inter"/>
          <w:color w:val="1E293B"/>
          <w:sz w:val="22"/>
          <w:szCs w:val="22"/>
        </w:rPr>
        <w:t xml:space="preserve">Customers will accept the sanitised annual report in lieu of the full report</w:t>
      </w:r>
    </w:p>
    <w:p>
      <w:pPr>
        <w:pStyle w:val="ListParagraph"/>
        <w:numPr>
          <w:ilvl w:val="0"/>
          <w:numId w:val="1"/>
        </w:numPr>
        <w:spacing w:after="60" w:line="312"/>
        <w:ind w:left="720" w:hanging="360"/>
      </w:pPr>
      <w:r>
        <w:rPr>
          <w:rFonts w:ascii="Inter" w:eastAsia="Inter"/>
          <w:color w:val="1E293B"/>
          <w:sz w:val="22"/>
          <w:szCs w:val="22"/>
        </w:rPr>
        <w:t xml:space="preserve">The 24-hour critical-finding SLA is achievable given the engineering team's on-call capacity</w:t>
      </w:r>
    </w:p>
    <w:p>
      <w:pPr>
        <w:pStyle w:val="ListParagraph"/>
        <w:numPr>
          <w:ilvl w:val="0"/>
          <w:numId w:val="1"/>
        </w:numPr>
        <w:spacing w:after="60" w:line="312"/>
        <w:ind w:left="720" w:hanging="360"/>
      </w:pPr>
      <w:r>
        <w:rPr>
          <w:rFonts w:ascii="Inter" w:eastAsia="Inter"/>
          <w:color w:val="1E293B"/>
          <w:sz w:val="22"/>
          <w:szCs w:val="22"/>
        </w:rPr>
        <w:t xml:space="preserve">Findings volume will remain manageable (under 100/year across all sources)</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Three-tier program: annual third-party + quarterly internal red-team + continuous bug-bounty.</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Comprehensive coverage; fresh findings quarterly; continuous external perspective; customer-recognised evidence; defense-in-depth.</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Cost (~$120K/year: $85K annual + $15K red-team + $20K bug-bounty); requires 1 FTE Security Engineering time for coordination; potential finding-fatigue if not deduplicated.</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Adopted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Annual third-party pentest only (no red-team, no bug-bounty).</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Lowest cost ($85K/year); simplest to manage; customer-recognised evidence.</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Findings stale within 3 months; no continuous coverage; 2025 audit explicitly recommended additional tiers; fails to detect vulnerabilities introduced between annual tests.</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Bug-bounty only (no annual pentest, no red-team).</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Lowest cost ($20K/year); continuous coverage; external perspective.</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Customers require annual pentest report for procurement; bug-bounty findings may lack the depth of a structured pentest; no internal red-team skill-building.</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Outsource all penetration testing to a managed service (e.g., Synopsys, Rapid7).</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Single vendor; consistent reporting; managed SLAs.</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Cost ($200K+/year); less flexible than bespoke engagements; managed services often use junior testers; customers prefer named firms (Bishop Fox, NCC Group).</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Adopt a three-tier penetration testing program. Tier 1: Annual third-party penetration test by Bishop Fox (or equivalent recognised firm) covering the full platform, with sanitised report shareable under NDA with customers. Tier 2: Quarterly internal red-team exercise by the Security Engineering team, targeting a specific bounded context or control (rotating through all 12 contexts over 3 years). Tier 3: Continuous bug-bounty program on HackerOne, scope covering all public-facing surfaces, payouts $500-$15,000. All findings tracked in a single Splunk-backed findings registry with deduplication; remediation SLAs enforced via Jira automation (critical=24hr, high=7d, medium=30d, low=backlog). The Security Engineering Lead owns the program and reports quarterly to the ARB.</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The three-tier program was chosen because each tier addresses a different gap. The annual third-party pentest provides the depth and customer recognition that a structured engagement brings — Bishop Fox's 4-week engagement produces findings that internal testing and bug-bounty researchers miss, because the engagement is structured (threat-model-driven, full-coverage) and conducted by experienced testers. The quarterly red-team provides depth on specific surfaces — the Security Engineering team, with deep knowledge of PreOne's architecture, can target specific bounded contexts (e.g., 'this quarter: the Enrollment aggregate and its access controls') with a focus that an external firm cannot match. The bug-bounty provides breadth and freshness — external researchers find different vulnerabilities than internal testers (different perspectives, different tooling) and provide continuous coverage between annual engagements.
The annual-only option was rejected because the 2025 audit found that 60% of the 23 findings would have been caught earlier with continuous testing. The 6-month gap between the 2024 and 2025 pentests allowed vulnerabilities to persist undetected; the 2025 critical auth-bypass had been present since Q1 2025. The quarterly red-team would have caught it in Q2.
The bug-bounty-only option was rejected because customers (especially large school districts) require a named-firm pentest report for procurement. The bug-bounty provides supplementary evidence but cannot substitute. The annual pentest also provides structured coverage that bug-bounty (which targets low-hanging fruit) does not — Bishop Fox's threat-model-driven approach finds architectural vulnerabilities that bug-bounty researchers miss.
The managed-service option was rejected after a cost-quality analysis. Synopsys's managed pentest offering costs $200K+/year and uses junior testers rotated across engagements; the 2025 Bishop Fox engagement cost $85K and was conducted by a senior team with PreOne-specific context (they had also done the 2024 engagement). The continuity of the Bishop Fox engagement (same firm, same lead tester) produces higher-quality findings than a managed service's rotating testers.
The HackerOne bug-bounty was selected over Bugcrowd and Intigriti based on three factors: (1) HackerOne's researcher community is larger (1M+ vs Bugcrowd's 600K), increasing the likelihood of findings; (2) PreOne's Security Engineering Lead had prior positive experience with HackerOne at a previous company; (3) HackerOne's triage service (optional, $5K/year) offloads initial finding validation, reducing internal coordination overhead. The payout structure ($500 low, $2,500 medium, $7,500 high, $15,000 critical) is calibrated to the median for education-sector programs per HackerOne's 2024 Annual Hacker Report.
The findings registry is the operational backbone. All findings — from annual pentest, red-team, bug-bounty, and even SAST/DAST (ADR-083) — are normalised to a common schema (severity, CVE if applicable, affected component, reproduction steps, remediation status) and stored in Splunk. Deduplication is rule-based (same component + same vulnerability class = duplicate) with manual override. The registry drives the security scorecard and provides trend analysis (e.g., 'access-control findings decreased 50% from 2024 to 2025').
The remediation SLAs are enforced via Jira automation. A finding creates a Jira ticket with the SLA as the due date; 50% to SLA escalates to the team lead; 100% to SLA escalates to the Security Engineering Lead; SLA breach escalates to the CTO. Critical findings (24-hour SLA) trigger an immediate page to the on-call engineer. The 24-hour critical SLA is achievable because critical findings are rare (1-3 per year across all sources) and the on-call engineer can spin up a fix branch within hours.</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PreOne Penetration Testing Program                     |
+------------------------------------------------------------------+
|                                                                  |
|  Tier 1: Annual Third-Party Pentest                              |
|  +-------------------+                                           |
|  | Bishop Fox (or    |  - 4-week engagement                     |
|  |  equivalent)      |  - full-platform coverage                |
|  +---------+---------+  - sanitised report for customers        |
|            |                                                     |
|            v                                                     |
|  +-------------------+                                           |
|  | Findings Registry |  (Splunk-backed, deduplicated)            |
|  +---------+---------+                                           |
|                                                                  |
|  Tier 2: Quarterly Internal Red-Team                             |
|  +-------------------+                                           |
|  | Security Eng Team |  - 1 week per quarter                    |
|  | (red-team rotation)|  - target: 1 bounded context             |
|  +---------+---------+                                           |
|            |                                                     |
|            v                                                     |
|  +-------------------+                                           |
|  | Findings Registry |                                           |
|  +---------+---------+                                           |
|                                                                  |
|  Tier 3: Continuous Bug Bounty                                   |
|  +-------------------+                                           |
|  | HackerOne         |  - public program                        |
|  | (researchers)     |  - scope: web + API + mobile backend     |
|  +---------+---------+  - payouts: $500-$15K                    |
|            |                                                     |
|            v                                                     |
|  +-------------------+                                           |
|  | Triage Service    |  - validates findings                    |
|  +---------+---------+                                           |
|            |                                                     |
|            v                                                     |
|  +-------------------+                                           |
|  | Findings Registry |                                           |
|  +-------------------+                                           |
|                                                                  |
|  Remediation:                                                    |
|  Jira automation enforces SLAs (24hr/7d/30d/backlog)             |
|  Security scorecard tracks SLA compliance + trends               |
+------------------------------------------------------------------+</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Bishop Fox -&gt; PreOne Platform: 4-week pentest
Bishop Fox -&gt; Findings Registry: report findings (critical/high/med/low)
Security Eng -&gt; PreOne Platform: quarterly red-team (1 BC)
Security Eng -&gt; Findings Registry: report findings
Researcher -&gt; HackerOne: submit finding
HackerOne -&gt; Triage: validate
Triage -&gt; Findings Registry: confirmed finding
Findings Registry -&gt; Jira: create ticket (SLA-set due date)
Jira -&gt; Engineering Team: assignee
Engineering Team -&gt; PreOne Platform: remediate
Engineering Team -&gt; Jira: close ticket
Jira -&gt; Findings Registry: update status
Note over Findings Registry, Jira: 50% SLA -&gt; team lead; 100% SLA -&gt; SecEng Lead; breach -&gt; CTO</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ADR-087 — Penetration Testing Program  -  Component View|
+-------------------------------------------------------------+
|                                                             |
|  Tier 1: Annual Third-Party                                 |
|  +----------------+        +----------------------+         |
|  | Bishop Fox     |  test  | Full Platform        |         |
|  | (or equiv)     |-------&gt;| (4-week engagement)  |         |
|  +----------------+        +----------+-----------+         |
|                                       |                     |
|                                       | findings            |
|                                       v                     |
|  Tier 2: Quarterly Red-Team                                 |
|  +----------------+        +----------------------+         |
|  | Security Eng   |  test  | 1 Bounded Context    |         |
|  | (internal)     |-------&gt;| (1-week exercise)    |         |
|  +----------------+        +----------+-----------+         |
|                                       |                     |
|                                       v                     |
|  Tier 3: Continuous Bug Bounty                               |
|  +----------------+        +----------------------+         |
|  | HackerOne      |  test  | Public Surface       |         |
|  | (researchers)  |-------&gt;| (continuous)         |         |
|  +----------------+        +----------+-----------+         |
|                                       |                     |
|                                       v                     |
|  +----------------+        +----------------------+         |
|  | Findings       |  dedupe| Splunk Registry      |         |
|  | Registry       |-------&gt;| + Jira (SLA enforce) |         |
|  +----------------+        +----------------------+         |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Annual Pentest Flow:
  SecEng Lead -&gt; Bishop Fox: scope + contract
  Bishop Fox -&gt; PreOne Staging: 4-week test
  Bishop Fox -&gt; Findings Registry: report findings
  Findings Registry -&gt; Jira: create tickets (SLA-set)
  Engineering -&gt; PreOne: remediate
  Bishop Fox -&gt; PreOne: publish report (sanitised for customers)
Quarterly Red-Team Flow:
  SecEng -&gt; Target BC: 1-week test
  SecEng -&gt; Findings Registry: report findings
  Findings Registry -&gt; Jira: tickets
Bug-Bounty Flow:
  Researcher -&gt; HackerOne: submit finding
  HackerOne -&gt; Triage: validate
  Triage -&gt; Findings Registry: confirmed
  Findings Registry -&gt; Jira: ticket
  SecEng -&gt; Researcher: payout ($500-$15K)</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Penetration testing has no direct database impact. Findings are stored in Splunk (not Postgres). A materialised view (security.findings_summary, from ADR-083) includes pentest findings for the security scorecard. The findings registry in Splunk is the source of truth; the Postgres materialised view is a read-optimised rollup. No schema changes are required for this ADR.</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No public API changes. The security scorecard API (internal) includes pentest-finding metrics (open findings by severity, SLA compliance rate, time-to-remediation trend). The annual pentest report is published as a PDF in the customer portal (under NDA); a sanitised version (severity counts, no exploitation details) is public on the security page. The bug-bounty program has a public HackerOne page (hackerone.com/preone) with scope, payouts, and leaderboard.</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Penetration Testing has no direct UI surface for end users. The security page (preone.com/security) displays 'Bishop Fox tested' and 'HackerOne bug bounty program' badges, building customer trust. The customer portal (under NDA) includes the sanitised annual pentest report. For internal users, the admin UI includes a 'Pentest Findings' dashboard (admin/operations/security/pentest) showing open findings by source (annual, red-team, bug-bounty) and severity, with SLA compliance metrics. The HackerOne bug-bounty page (hackerone.com/preone) is public, showing scope, payouts, and leaderboard.</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The pentest program is a critical security control. The 2025 annual pentest found 2 critical vulnerabilities that, if exploited, would have caused data breaches; the 24-hour SLA ensured remediation before exploitation. The quarterly red-team and continuous bug-bounty reduce the time between vulnerability introduction and discovery. The program provides documentary evidence for FERPA, GDPR, DPDP, COPPA compliance, and is a direct revenue enabler for customer procurement. The findings registry provides trend analysis that informs security investment (e.g., 'access-control findings decreased 50% — invest elsewhere').</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Penetration testing has no performance impact on production. The annual pentest runs against staging (production-mirror) to avoid customer impact. The quarterly red-team runs against staging for the same reason. The bug-bounty program runs against production (researchers test the live platform), but the scope excludes denial-of-service and rate-limited endpoints prevent disruption. Active scanning by researchers is throttled by WAF (ADR-084) rate-limiting. No customer-visible performance impact has occurred from bug-bounty activity.</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The pentest program scales linearly with finding volume. At 50-100 findings/year across all sources, the Splunk-backed registry handles the volume easily. The Security Engineering Lead's coordination time (estimated 8 hours/week) is the scaling bottleneck; if finding volume doubles, a second security engineer may be needed for triage. The bug-bounty budget ($20K/year) is sized for 10-20 payouts; if volume exceeds this, the budget can be increased proportionally. The annual pentest cost ($85K) is fixed regardless of finding volume. The quarterly red-team time (1 FTE-week per quarter = 0.25 FTE) is absorbed by the Security Engineering team's existing capacity.</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The Security Engineering Lead owns the pentest program. The team coordinates: (a) annual pentest engagement (scope, contract, scheduling, report review); (b) quarterly red-team exercise (scope selection, execution, findings write-up); (c) bug-bounty program (triage queue, payout approval, researcher communication). The team monitors a #pentest-findings Slack channel where new findings post automatically. The monthly security scorecard tracks: (a) open findings by source and severity; (b) SLA compliance rate; (c) time-to-remediation trend; (d) finding-duplicate rate; (e) bug-bounty payout budget burn. Quarterly, the ARB reviews the program and approves scope for the next quarter's red-team exercise.</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Critical finding exploited before remediation SLA (24 hours)</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24-hour SLA is aggressive; on-call engineer paged immediately; WAF virtual patch (ADR-084) provides interim protection; if exploitation detected, incident response (ADR-090) triggered</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Bug-bounty researcher finds vulnerability and discloses publicly before triage</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HackerOne's disclosure framework encourages responsible disclosure; PreOne commits to 24-hour acknowledgment and 7-day remediation for high-severity findings; public disclosure gated on remediation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Annual pentest engagement delayed (Bishop Fox unavailable)</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Backup firms identified (NCC Group, Trail of Bits); contract allows 90-day delay; customer communication if delay impacts procurement</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Finding volume exceeds triage capacity</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HackerOne triage service offloads initial validation; quarterly red-team scope narrowed if volume spikes; second security engineer budgeted for 2027</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Findings registry deduplication misses duplicates (same vuln reported multiple times)</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Rule-based deduplication with manual override; weekly review of recent findings for duplicates; researcher feedback on duplicate closure</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Comprehensive coverage (annual + quarterly + continuous)</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$120K/year program cost</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Customer-recognised evidence (Bishop Fox report)</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Engagement scheduling dependency on Bishop Fox availability</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Continuous external perspective (bug-bounty)</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Public disclosure risk if researcher does not follow responsible disclosure</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Internal skill-building (quarterly red-team)</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0.25 FTE Security Engineering time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Unified findings registry for trend analysis</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Triage coordination overhead across 3 sources</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The annual-only option was the legacy program. The 2025 audit found that 60% of findings would have been caught earlier with continuous testing, and recommended the three-tier program. The bug-bounty-only option was rejected because customers require named-firm pentest reports for procurement; the bug-bounty cannot substitute. The managed-service option (Synopsys) was piloted in Q2 2025; the pilot found that the managed service's junior testers missed architectural vulnerabilities that Bishop Fox's senior team caught, and the cost ($200K vs $85K) was not justified by the lower quality. The three-tier program was the only option that satisfied all requirements: customer recognition, continuous coverage, internal skill-building, and cost-effectiveness.</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Phase 1 (Q4 2025, complete): Bishop Fox annual pentest completed; 23 findings remediated per SLA. Phase 2 (Q1 2026, complete): First quarterly red-team exercise conducted (target: Identity bounded context); 8 findings, all remediated. Phase 3 (Q2 2026, complete): HackerOne bug-bounty program launched; public page published; first 10 findings triaged. Phase 4 (Q2 2026, complete): Splunk findings registry deployed with deduplication. Phase 5 (Q3 2026, complete): Jira automation for SLA enforcement configured. Phase 6 (ongoing): Quarterly red-team (rotating through 12 bounded contexts over 3 years); annual Bishop Fox engagement; continuous bug-bounty triage.</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The pentest program is itself a testing program. Internal quality is measured by: (a) duplicate-finding rate (target: &lt;20% — high duplicate rate suggests internal testing is finding the same vulnerabilities as external); (b) customer-procurement success rate with the annual report (target: 100% — if customers reject the report, the engagement quality is insufficient); (c) finding severity distribution (target: trend toward fewer critical/high findings over time); (d) time-to-remediation trend (target: stable or improving). The quarterly red-team exercise is reviewed by the ARB; the bug-bounty program is reviewed annually by the Security Engineering Lead and the ARB.</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Splunk dashboards track: (a) open findings by source (annual, red-team, bug-bounty, SAST, DAST) and severity; (b) SLA compliance rate by source; (c) time-to-remediation trend by severity; (d) bug-bounty payout budget burn; (e) researcher participation rate (active researchers per month); (f) duplicate-finding rate; (g) finding-severity trend over time. Anomalies (e.g., a sudden spike in critical findings from any source) trigger Slack alerts to #pentest-findings. The pentest dashboard (admin/operations/security/pentest) provides a real-time view for the security team. Annual report: the Security Engineering Lead presents the program summary to the ARB and CTO each January.</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Three evolutions are likely. First, the bug-bounty program may expand to include private engagements with specific researchers (HackerOne Challenge) for targeted testing of new features before launch. Second, the quarterly red-team may evolve into a continuous 'purple team' (red + blue) where the Security Engineering team tests and the SOC team detects, measuring detection efficacy. Third, the program may integrate AI-assisted vulnerability remediation (e.g., GitHub Copilot Autofix) to reduce engineering remediation time — gated on the AI tooling ADR (ADR-148) maturity.</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ADR-002 — Modular Monolith Strategy (pentest covers the monolith's full surface)</w:t>
      </w:r>
    </w:p>
    <w:p>
      <w:pPr>
        <w:pStyle w:val="ListParagraph"/>
        <w:numPr>
          <w:ilvl w:val="0"/>
          <w:numId w:val="1"/>
        </w:numPr>
        <w:spacing w:after="60" w:line="312"/>
        <w:ind w:left="720" w:hanging="360"/>
      </w:pPr>
      <w:r>
        <w:rPr>
          <w:rFonts w:ascii="Inter" w:eastAsia="Inter"/>
          <w:color w:val="1E293B"/>
          <w:sz w:val="22"/>
          <w:szCs w:val="22"/>
        </w:rPr>
        <w:t xml:space="preserve">ADR-083 — Vulnerability Management (pentest findings feed the unified findings registry)</w:t>
      </w:r>
    </w:p>
    <w:p>
      <w:pPr>
        <w:pStyle w:val="ListParagraph"/>
        <w:numPr>
          <w:ilvl w:val="0"/>
          <w:numId w:val="1"/>
        </w:numPr>
        <w:spacing w:after="60" w:line="312"/>
        <w:ind w:left="720" w:hanging="360"/>
      </w:pPr>
      <w:r>
        <w:rPr>
          <w:rFonts w:ascii="Inter" w:eastAsia="Inter"/>
          <w:color w:val="1E293B"/>
          <w:sz w:val="22"/>
          <w:szCs w:val="22"/>
        </w:rPr>
        <w:t xml:space="preserve">ADR-084 — Web Application Firewall (WAF virtual-patches pentest findings awaiting remediation)</w:t>
      </w:r>
    </w:p>
    <w:p>
      <w:pPr>
        <w:pStyle w:val="ListParagraph"/>
        <w:numPr>
          <w:ilvl w:val="0"/>
          <w:numId w:val="1"/>
        </w:numPr>
        <w:spacing w:after="60" w:line="312"/>
        <w:ind w:left="720" w:hanging="360"/>
      </w:pPr>
      <w:r>
        <w:rPr>
          <w:rFonts w:ascii="Inter" w:eastAsia="Inter"/>
          <w:color w:val="1E293B"/>
          <w:sz w:val="22"/>
          <w:szCs w:val="22"/>
        </w:rPr>
        <w:t xml:space="preserve">ADR-085 — DDoS Protection (pentest scope excludes DoS, handled by DDoS protection)</w:t>
      </w:r>
    </w:p>
    <w:p>
      <w:pPr>
        <w:pStyle w:val="ListParagraph"/>
        <w:numPr>
          <w:ilvl w:val="0"/>
          <w:numId w:val="1"/>
        </w:numPr>
        <w:spacing w:after="60" w:line="312"/>
        <w:ind w:left="720" w:hanging="360"/>
      </w:pPr>
      <w:r>
        <w:rPr>
          <w:rFonts w:ascii="Inter" w:eastAsia="Inter"/>
          <w:color w:val="1E293B"/>
          <w:sz w:val="22"/>
          <w:szCs w:val="22"/>
        </w:rPr>
        <w:t xml:space="preserve">ADR-086 — Audit Trail (pentest findings logged to audit trail)</w:t>
      </w:r>
    </w:p>
    <w:p>
      <w:pPr>
        <w:pStyle w:val="ListParagraph"/>
        <w:numPr>
          <w:ilvl w:val="0"/>
          <w:numId w:val="1"/>
        </w:numPr>
        <w:spacing w:after="60" w:line="312"/>
        <w:ind w:left="720" w:hanging="360"/>
      </w:pPr>
      <w:r>
        <w:rPr>
          <w:rFonts w:ascii="Inter" w:eastAsia="Inter"/>
          <w:color w:val="1E293B"/>
          <w:sz w:val="22"/>
          <w:szCs w:val="22"/>
        </w:rPr>
        <w:t xml:space="preserve">ADR-088 — Compliance Framework (pentest is required evidence for FERPA/GDPR/DPDP/COPPA)</w:t>
      </w:r>
    </w:p>
    <w:p>
      <w:pPr>
        <w:pStyle w:val="ListParagraph"/>
        <w:numPr>
          <w:ilvl w:val="0"/>
          <w:numId w:val="1"/>
        </w:numPr>
        <w:spacing w:after="60" w:line="312"/>
        <w:ind w:left="720" w:hanging="360"/>
      </w:pPr>
      <w:r>
        <w:rPr>
          <w:rFonts w:ascii="Inter" w:eastAsia="Inter"/>
          <w:color w:val="1E293B"/>
          <w:sz w:val="22"/>
          <w:szCs w:val="22"/>
        </w:rPr>
        <w:t xml:space="preserve">ADR-089 — Data Loss Prevention (pentest scope includes DLP bypass attempts)</w:t>
      </w:r>
    </w:p>
    <w:p>
      <w:pPr>
        <w:pStyle w:val="ListParagraph"/>
        <w:numPr>
          <w:ilvl w:val="0"/>
          <w:numId w:val="1"/>
        </w:numPr>
        <w:spacing w:after="60" w:line="312"/>
        <w:ind w:left="720" w:hanging="360"/>
      </w:pPr>
      <w:r>
        <w:rPr>
          <w:rFonts w:ascii="Inter" w:eastAsia="Inter"/>
          <w:color w:val="1E293B"/>
          <w:sz w:val="22"/>
          <w:szCs w:val="22"/>
        </w:rPr>
        <w:t xml:space="preserve">ADR-090 — Incident Response (critical pentest findings may trigger incident response)</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Upstream PRD: PRD-007 (Security Requirements — penetration testing section)</w:t>
      </w:r>
    </w:p>
    <w:p>
      <w:pPr>
        <w:pStyle w:val="ListParagraph"/>
        <w:numPr>
          <w:ilvl w:val="0"/>
          <w:numId w:val="1"/>
        </w:numPr>
        <w:spacing w:after="60" w:line="312"/>
        <w:ind w:left="720" w:hanging="360"/>
      </w:pPr>
      <w:r>
        <w:rPr>
          <w:rFonts w:ascii="Inter" w:eastAsia="Inter"/>
          <w:color w:val="1E293B"/>
          <w:sz w:val="22"/>
          <w:szCs w:val="22"/>
        </w:rPr>
        <w:t xml:space="preserve">Downstream ERD: ERD-087 (security.findings_summary materialised view includes pentest findings)</w:t>
      </w:r>
    </w:p>
    <w:p>
      <w:pPr>
        <w:pStyle w:val="ListParagraph"/>
        <w:numPr>
          <w:ilvl w:val="0"/>
          <w:numId w:val="1"/>
        </w:numPr>
        <w:spacing w:after="60" w:line="312"/>
        <w:ind w:left="720" w:hanging="360"/>
      </w:pPr>
      <w:r>
        <w:rPr>
          <w:rFonts w:ascii="Inter" w:eastAsia="Inter"/>
          <w:color w:val="1E293B"/>
          <w:sz w:val="22"/>
          <w:szCs w:val="22"/>
        </w:rPr>
        <w:t xml:space="preserve">Downstream API Spec: API-087 (internal pentest dashboard endpoints)</w:t>
      </w:r>
    </w:p>
    <w:p>
      <w:pPr>
        <w:pStyle w:val="ListParagraph"/>
        <w:numPr>
          <w:ilvl w:val="0"/>
          <w:numId w:val="1"/>
        </w:numPr>
        <w:spacing w:after="60" w:line="312"/>
        <w:ind w:left="720" w:hanging="360"/>
      </w:pPr>
      <w:r>
        <w:rPr>
          <w:rFonts w:ascii="Inter" w:eastAsia="Inter"/>
          <w:color w:val="1E293B"/>
          <w:sz w:val="22"/>
          <w:szCs w:val="22"/>
        </w:rPr>
        <w:t xml:space="preserve">Downstream Test Cases: TC-087 (pentest program metrics tests)</w:t>
      </w:r>
    </w:p>
    <w:p>
      <w:pPr>
        <w:pStyle w:val="ListParagraph"/>
        <w:numPr>
          <w:ilvl w:val="0"/>
          <w:numId w:val="1"/>
        </w:numPr>
        <w:spacing w:after="60" w:line="312"/>
        <w:ind w:left="720" w:hanging="360"/>
      </w:pPr>
      <w:r>
        <w:rPr>
          <w:rFonts w:ascii="Inter" w:eastAsia="Inter"/>
          <w:color w:val="1E293B"/>
          <w:sz w:val="22"/>
          <w:szCs w:val="22"/>
        </w:rPr>
        <w:t xml:space="preserve">External: OWASP Web Security Testing Guide (WSTG)</w:t>
      </w:r>
    </w:p>
    <w:p>
      <w:pPr>
        <w:pStyle w:val="ListParagraph"/>
        <w:numPr>
          <w:ilvl w:val="0"/>
          <w:numId w:val="1"/>
        </w:numPr>
        <w:spacing w:after="60" w:line="312"/>
        <w:ind w:left="720" w:hanging="360"/>
      </w:pPr>
      <w:r>
        <w:rPr>
          <w:rFonts w:ascii="Inter" w:eastAsia="Inter"/>
          <w:color w:val="1E293B"/>
          <w:sz w:val="22"/>
          <w:szCs w:val="22"/>
        </w:rPr>
        <w:t xml:space="preserve">External: PTES (Penetration Testing Execution Standard)</w:t>
      </w:r>
    </w:p>
    <w:p>
      <w:pPr>
        <w:pStyle w:val="ListParagraph"/>
        <w:numPr>
          <w:ilvl w:val="0"/>
          <w:numId w:val="1"/>
        </w:numPr>
        <w:spacing w:after="60" w:line="312"/>
        <w:ind w:left="720" w:hanging="360"/>
      </w:pPr>
      <w:r>
        <w:rPr>
          <w:rFonts w:ascii="Inter" w:eastAsia="Inter"/>
          <w:color w:val="1E293B"/>
          <w:sz w:val="22"/>
          <w:szCs w:val="22"/>
        </w:rPr>
        <w:t xml:space="preserve">External: HackerOne 2024 Annual Hacker Report</w:t>
      </w:r>
    </w:p>
    <w:p>
      <w:pPr>
        <w:pStyle w:val="ListParagraph"/>
        <w:numPr>
          <w:ilvl w:val="0"/>
          <w:numId w:val="1"/>
        </w:numPr>
        <w:spacing w:after="60" w:line="312"/>
        <w:ind w:left="720" w:hanging="360"/>
      </w:pPr>
      <w:r>
        <w:rPr>
          <w:rFonts w:ascii="Inter" w:eastAsia="Inter"/>
          <w:color w:val="1E293B"/>
          <w:sz w:val="22"/>
          <w:szCs w:val="22"/>
        </w:rPr>
        <w:t xml:space="preserve">External: Bishop Fox 2025 Pentest Report (PreOne, under NDA)</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2025-10-01</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Security Engineering Lead</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options enumerated; consultation with security and engineering teams</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2025-11-17</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Security Engineering Lead</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Architecture Review Board after cross-team review</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2025-12-15</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published to architecture repository</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2026-07-15</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cross-references to Vol 1-3 ADRs added; 34-section template applied</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Chief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Security Engineering Lead</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ARB Chair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2025-12-15</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ADR published to architecture repository (Done)</w:t>
      </w:r>
    </w:p>
    <w:p>
      <w:pPr>
        <w:pStyle w:val="ListParagraph"/>
        <w:numPr>
          <w:ilvl w:val="0"/>
          <w:numId w:val="1"/>
        </w:numPr>
        <w:spacing w:after="60" w:line="312"/>
        <w:ind w:left="720" w:hanging="360"/>
      </w:pPr>
      <w:r>
        <w:rPr>
          <w:rFonts w:ascii="Inter" w:eastAsia="Inter"/>
          <w:color w:val="1E293B"/>
          <w:sz w:val="22"/>
          <w:szCs w:val="22"/>
        </w:rPr>
        <w:t xml:space="preserve">Cross-references to upstream/downstream artefacts added (Done)</w:t>
      </w:r>
    </w:p>
    <w:p>
      <w:pPr>
        <w:pStyle w:val="ListParagraph"/>
        <w:numPr>
          <w:ilvl w:val="0"/>
          <w:numId w:val="1"/>
        </w:numPr>
        <w:spacing w:after="60" w:line="312"/>
        <w:ind w:left="720" w:hanging="360"/>
      </w:pPr>
      <w:r>
        <w:rPr>
          <w:rFonts w:ascii="Inter" w:eastAsia="Inter"/>
          <w:color w:val="1E293B"/>
          <w:sz w:val="22"/>
          <w:szCs w:val="22"/>
        </w:rPr>
        <w:t xml:space="preserve">Security team briefed in monthly architecture sync (Done)</w:t>
      </w:r>
    </w:p>
    <w:p>
      <w:pPr>
        <w:pStyle w:val="ListParagraph"/>
        <w:numPr>
          <w:ilvl w:val="0"/>
          <w:numId w:val="1"/>
        </w:numPr>
        <w:spacing w:after="60" w:line="312"/>
        <w:ind w:left="720" w:hanging="360"/>
      </w:pPr>
      <w:r>
        <w:rPr>
          <w:rFonts w:ascii="Inter" w:eastAsia="Inter"/>
          <w:color w:val="1E293B"/>
          <w:sz w:val="22"/>
          <w:szCs w:val="22"/>
        </w:rPr>
        <w:t xml:space="preserve">Code review checklist updated to enforce this ADR (Done)</w:t>
      </w:r>
    </w:p>
    <w:p>
      <w:pPr>
        <w:pStyle w:val="ListParagraph"/>
        <w:numPr>
          <w:ilvl w:val="0"/>
          <w:numId w:val="1"/>
        </w:numPr>
        <w:spacing w:after="60" w:line="312"/>
        <w:ind w:left="720" w:hanging="360"/>
      </w:pPr>
      <w:r>
        <w:rPr>
          <w:rFonts w:ascii="Inter" w:eastAsia="Inter"/>
          <w:color w:val="1E293B"/>
          <w:sz w:val="22"/>
          <w:szCs w:val="22"/>
        </w:rPr>
        <w:t xml:space="preserve">On-call runbook updated with operational procedures (Done)</w:t>
      </w:r>
    </w:p>
    <w:p>
      <w:pPr>
        <w:pStyle w:val="ListParagraph"/>
        <w:numPr>
          <w:ilvl w:val="0"/>
          <w:numId w:val="1"/>
        </w:numPr>
        <w:spacing w:after="60" w:line="312"/>
        <w:ind w:left="720" w:hanging="360"/>
      </w:pPr>
      <w:r>
        <w:rPr>
          <w:rFonts w:ascii="Inter" w:eastAsia="Inter"/>
          <w:color w:val="1E293B"/>
          <w:sz w:val="22"/>
          <w:szCs w:val="22"/>
        </w:rPr>
        <w:t xml:space="preserve">Bishop Fox annual pentest contracted (Done — Q4 2025)</w:t>
      </w:r>
    </w:p>
    <w:p>
      <w:pPr>
        <w:pStyle w:val="ListParagraph"/>
        <w:numPr>
          <w:ilvl w:val="0"/>
          <w:numId w:val="1"/>
        </w:numPr>
        <w:spacing w:after="60" w:line="312"/>
        <w:ind w:left="720" w:hanging="360"/>
      </w:pPr>
      <w:r>
        <w:rPr>
          <w:rFonts w:ascii="Inter" w:eastAsia="Inter"/>
          <w:color w:val="1E293B"/>
          <w:sz w:val="22"/>
          <w:szCs w:val="22"/>
        </w:rPr>
        <w:t xml:space="preserve">Quarterly red-team schedule (rotating 12 BCs over 3yr) (Done)</w:t>
      </w:r>
    </w:p>
    <w:p>
      <w:pPr>
        <w:pStyle w:val="ListParagraph"/>
        <w:numPr>
          <w:ilvl w:val="0"/>
          <w:numId w:val="1"/>
        </w:numPr>
        <w:spacing w:after="60" w:line="312"/>
        <w:ind w:left="720" w:hanging="360"/>
      </w:pPr>
      <w:r>
        <w:rPr>
          <w:rFonts w:ascii="Inter" w:eastAsia="Inter"/>
          <w:color w:val="1E293B"/>
          <w:sz w:val="22"/>
          <w:szCs w:val="22"/>
        </w:rPr>
        <w:t xml:space="preserve">HackerOne bug-bounty program launched (Done — Q2 2026)</w:t>
      </w:r>
    </w:p>
    <w:p>
      <w:pPr>
        <w:pStyle w:val="ListParagraph"/>
        <w:numPr>
          <w:ilvl w:val="0"/>
          <w:numId w:val="1"/>
        </w:numPr>
        <w:spacing w:after="60" w:line="312"/>
        <w:ind w:left="720" w:hanging="360"/>
      </w:pPr>
      <w:r>
        <w:rPr>
          <w:rFonts w:ascii="Inter" w:eastAsia="Inter"/>
          <w:color w:val="1E293B"/>
          <w:sz w:val="22"/>
          <w:szCs w:val="22"/>
        </w:rPr>
        <w:t xml:space="preserve">HackerOne triage service ($5K/yr) (Done)</w:t>
      </w:r>
    </w:p>
    <w:p>
      <w:pPr>
        <w:pStyle w:val="ListParagraph"/>
        <w:numPr>
          <w:ilvl w:val="0"/>
          <w:numId w:val="1"/>
        </w:numPr>
        <w:spacing w:after="60" w:line="312"/>
        <w:ind w:left="720" w:hanging="360"/>
      </w:pPr>
      <w:r>
        <w:rPr>
          <w:rFonts w:ascii="Inter" w:eastAsia="Inter"/>
          <w:color w:val="1E293B"/>
          <w:sz w:val="22"/>
          <w:szCs w:val="22"/>
        </w:rPr>
        <w:t xml:space="preserve">Splunk findings registry with deduplication (Done)</w:t>
      </w:r>
    </w:p>
    <w:p>
      <w:pPr>
        <w:pStyle w:val="ListParagraph"/>
        <w:numPr>
          <w:ilvl w:val="0"/>
          <w:numId w:val="1"/>
        </w:numPr>
        <w:spacing w:after="60" w:line="312"/>
        <w:ind w:left="720" w:hanging="360"/>
      </w:pPr>
      <w:r>
        <w:rPr>
          <w:rFonts w:ascii="Inter" w:eastAsia="Inter"/>
          <w:color w:val="1E293B"/>
          <w:sz w:val="22"/>
          <w:szCs w:val="22"/>
        </w:rPr>
        <w:t xml:space="preserve">Jira SLA automation (critical=24h, high=7d, med=30d) (Done)</w:t>
      </w:r>
    </w:p>
    <w:p>
      <w:pPr>
        <w:pStyle w:val="ListParagraph"/>
        <w:numPr>
          <w:ilvl w:val="0"/>
          <w:numId w:val="1"/>
        </w:numPr>
        <w:spacing w:after="60" w:line="312"/>
        <w:ind w:left="720" w:hanging="360"/>
      </w:pPr>
      <w:r>
        <w:rPr>
          <w:rFonts w:ascii="Inter" w:eastAsia="Inter"/>
          <w:color w:val="1E293B"/>
          <w:sz w:val="22"/>
          <w:szCs w:val="22"/>
        </w:rPr>
        <w:t xml:space="preserve">Security scorecard dashboard (Done)</w:t>
      </w:r>
    </w:p>
    <w:p>
      <w:pPr>
        <w:spacing w:after="60" w:before="360" w:line="280"/>
      </w:pPr>
      <w:r>
        <w:rPr>
          <w:rFonts w:ascii="Inter" w:eastAsia="Inter"/>
          <w:b/>
          <w:bCs/>
          <w:color w:val="4F46E5"/>
          <w:spacing w:val="60"/>
          <w:sz w:val="22"/>
          <w:szCs w:val="22"/>
        </w:rPr>
        <w:t xml:space="preserve">ADR-088</w:t>
      </w:r>
    </w:p>
    <w:p>
      <w:pPr>
        <w:pStyle w:val="Heading1"/>
        <w:spacing w:after="200" w:before="60" w:line="312"/>
      </w:pPr>
      <w:r>
        <w:rPr>
          <w:rFonts w:ascii="Inter" w:eastAsia="Inter"/>
          <w:b/>
          <w:bCs/>
          <w:color w:val="0F172A"/>
          <w:sz w:val="36"/>
          <w:szCs w:val="36"/>
        </w:rPr>
        <w:t xml:space="preserve">Compliance Framework</w:t>
      </w:r>
    </w:p>
    <w:p>
      <w:pPr>
        <w:spacing w:after="120" w:line="280"/>
      </w:pPr>
      <w:r>
        <w:rPr>
          <w:rFonts w:ascii="Inter" w:eastAsia="Inter"/>
          <w:color w:val="64748B"/>
          <w:sz w:val="20"/>
          <w:szCs w:val="20"/>
        </w:rPr>
        <w:t xml:space="preserve">Volume 4 — Security Architecture  -  </w:t>
      </w:r>
      <w:r>
        <w:rPr>
          <w:rFonts w:ascii="Inter" w:eastAsia="Inter"/>
          <w:color w:val="64748B"/>
          <w:sz w:val="20"/>
          <w:szCs w:val="20"/>
        </w:rPr>
        <w:t xml:space="preserve">Identity &amp; Security</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Adopt a unified compliance framework covering FERPA (US, education records), GDPR (EU, personal data), DPDP (India, digital personal data), and COPPA (US, under-13 children). The framework is structured around 12 control domains (access control, encryption, audit, retention, breach notification, data subject rights, consent management, vendor management, incident response, vulnerability management, training, governance) with each regulation mapped to the controls it requires. A single Compliance Operations team owns the framework, with automated evidence collection from Postgres (audit trail), Splunk (security events), and AWS Config (infrastructure controls). Annual external audits (SOC 2 Type II, ISO 27001) validate the framework.</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2025-12-20</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Compliance Operations Lead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review, or on regulatory update, or after each major incident</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refreshes for series alignment and cross-references)</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PreOne operates across multiple regulatory jurisdictions. US customers (school districts, higher education) require FERPA compliance for student education records; EU customers require GDPR compliance for personal data; Indian customers require DPDP compliance for digital personal data; US customers serving under-13 students require COPPA compliance. Each regulation has overlapping but distinct requirements — maintaining separate compliance programs per regulation would be operationally infeasible for a 50-engineer organisation.
The 2025 audit found that the legacy platform maintained 4 separate compliance spreadsheets (one per regulation), each tracking the same controls with different evidence formats. The spreadsheets were inconsistent (e.g., the FERPA spreadsheet listed 'audit trail retention: 7 years' while the GDPR spreadsheet listed 'audit trail retention: 3 years' — both incorrect, as the actual retention is 7 years per the more stringent FERPA requirement). The audit recommended a unified framework with a single source of truth.
The unified framework is structured around 12 control domains derived from the NIST Cybersecurity Framework (CSF) and ISO 27001 Annex A. Each regulation is mapped to the controls it requires; where regulations conflict (e.g., retention: FERPA 7 years, GDPR 'no longer than necessary'), the more stringent requirement applies. The framework is technology-agnostic — the same controls apply regardless of the underlying ADRs — but each control references the ADRs that implement it (e.g., the 'audit' control references ADR-086 Audit Trail).
The framework is operated by a dedicated Compliance Operations team (3 people) with automated evidence collection. Manual evidence gathering (the legacy model) consumed 2 engineer-weeks per audit; automated collection reduces this to 2 engineer-days. The framework supports annual external audits (SOC 2 Type II, ISO 27001) which are customer procurement requirements for large institutional customers.</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The primary driver is operational efficiency. Maintaining 4 separate compliance programs (FERPA, GDPR, DPDP, COPPA) is infeasible; the unified framework reduces the operational burden by 75% (one program instead of four). The 2025 audit estimated the legacy program consumed 8 engineer-weeks per quarter across evidence gathering, audit preparation, and remediation tracking; the unified framework reduces this to 2 engineer-weeks per quarter.
A secondary driver is customer acquisition. Large institutional customers (state university systems, multi-state school districts) require SOC 2 Type II and ISO 27001 certifications as procurement gates. The unified framework provides the evidence base for these certifications, enabling $5M+ in annual recurring revenue from enterprise customers. The 2025 SOC 2 audit (the first under the unified framework) was completed in 6 weeks (vs the 18-week estimate for the legacy model).
A tertiary driver is risk reduction. The unified framework ensures no control falls through the cracks (the legacy spreadsheets had gaps — e.g., the COPPA spreadsheet did not track parental-consent records, a COPPA requirement). The framework's automated evidence collection detects missing evidence immediately, rather than at audit time.
A quaternary driver is regulatory readiness. New regulations (e.g., India's DPDP rules, finalized in 2025; the EU AI Act, taking effect in 2026) can be mapped to the existing framework, reducing the time-to-compliance from months to weeks.</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PreOne requires a unified compliance framework that covers FERPA, GDPR, DPDP, and COPPA with a single source of truth, automated evidence collection, and support for annual external audits (SOC 2, ISO 27001) — reducing operational burden while ensuring no control gaps across jurisdictions.</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Framework must cover FERPA, GDPR, DPDP, COPPA, and be extensible to future regulations</w:t>
      </w:r>
    </w:p>
    <w:p>
      <w:pPr>
        <w:pStyle w:val="ListParagraph"/>
        <w:numPr>
          <w:ilvl w:val="0"/>
          <w:numId w:val="1"/>
        </w:numPr>
        <w:spacing w:after="60" w:line="312"/>
        <w:ind w:left="720" w:hanging="360"/>
      </w:pPr>
      <w:r>
        <w:rPr>
          <w:rFonts w:ascii="Inter" w:eastAsia="Inter"/>
          <w:color w:val="1E293B"/>
          <w:sz w:val="22"/>
          <w:szCs w:val="22"/>
        </w:rPr>
        <w:t xml:space="preserve">Control domains must be derived from a recognized standard (NIST CSF or ISO 27001 Annex A)</w:t>
      </w:r>
    </w:p>
    <w:p>
      <w:pPr>
        <w:pStyle w:val="ListParagraph"/>
        <w:numPr>
          <w:ilvl w:val="0"/>
          <w:numId w:val="1"/>
        </w:numPr>
        <w:spacing w:after="60" w:line="312"/>
        <w:ind w:left="720" w:hanging="360"/>
      </w:pPr>
      <w:r>
        <w:rPr>
          <w:rFonts w:ascii="Inter" w:eastAsia="Inter"/>
          <w:color w:val="1E293B"/>
          <w:sz w:val="22"/>
          <w:szCs w:val="22"/>
        </w:rPr>
        <w:t xml:space="preserve">Where regulations conflict, the more stringent requirement applies</w:t>
      </w:r>
    </w:p>
    <w:p>
      <w:pPr>
        <w:pStyle w:val="ListParagraph"/>
        <w:numPr>
          <w:ilvl w:val="0"/>
          <w:numId w:val="1"/>
        </w:numPr>
        <w:spacing w:after="60" w:line="312"/>
        <w:ind w:left="720" w:hanging="360"/>
      </w:pPr>
      <w:r>
        <w:rPr>
          <w:rFonts w:ascii="Inter" w:eastAsia="Inter"/>
          <w:color w:val="1E293B"/>
          <w:sz w:val="22"/>
          <w:szCs w:val="22"/>
        </w:rPr>
        <w:t xml:space="preserve">Evidence collection must be automated (no manual evidence gathering for routine controls)</w:t>
      </w:r>
    </w:p>
    <w:p>
      <w:pPr>
        <w:pStyle w:val="ListParagraph"/>
        <w:numPr>
          <w:ilvl w:val="0"/>
          <w:numId w:val="1"/>
        </w:numPr>
        <w:spacing w:after="60" w:line="312"/>
        <w:ind w:left="720" w:hanging="360"/>
      </w:pPr>
      <w:r>
        <w:rPr>
          <w:rFonts w:ascii="Inter" w:eastAsia="Inter"/>
          <w:color w:val="1E293B"/>
          <w:sz w:val="22"/>
          <w:szCs w:val="22"/>
        </w:rPr>
        <w:t xml:space="preserve">Evidence must be queryable by auditors via a read-only tool (no direct DB access)</w:t>
      </w:r>
    </w:p>
    <w:p>
      <w:pPr>
        <w:pStyle w:val="ListParagraph"/>
        <w:numPr>
          <w:ilvl w:val="0"/>
          <w:numId w:val="1"/>
        </w:numPr>
        <w:spacing w:after="60" w:line="312"/>
        <w:ind w:left="720" w:hanging="360"/>
      </w:pPr>
      <w:r>
        <w:rPr>
          <w:rFonts w:ascii="Inter" w:eastAsia="Inter"/>
          <w:color w:val="1E293B"/>
          <w:sz w:val="22"/>
          <w:szCs w:val="22"/>
        </w:rPr>
        <w:t xml:space="preserve">Annual external audits (SOC 2 Type II, ISO 27001) must be supported</w:t>
      </w:r>
    </w:p>
    <w:p>
      <w:pPr>
        <w:pStyle w:val="ListParagraph"/>
        <w:numPr>
          <w:ilvl w:val="0"/>
          <w:numId w:val="1"/>
        </w:numPr>
        <w:spacing w:after="60" w:line="312"/>
        <w:ind w:left="720" w:hanging="360"/>
      </w:pPr>
      <w:r>
        <w:rPr>
          <w:rFonts w:ascii="Inter" w:eastAsia="Inter"/>
          <w:color w:val="1E293B"/>
          <w:sz w:val="22"/>
          <w:szCs w:val="22"/>
        </w:rPr>
        <w:t xml:space="preserve">The framework must be version-controlled (no spreadsheet-only changes)</w:t>
      </w:r>
    </w:p>
    <w:p>
      <w:pPr>
        <w:pStyle w:val="ListParagraph"/>
        <w:numPr>
          <w:ilvl w:val="0"/>
          <w:numId w:val="1"/>
        </w:numPr>
        <w:spacing w:after="60" w:line="312"/>
        <w:ind w:left="720" w:hanging="360"/>
      </w:pPr>
      <w:r>
        <w:rPr>
          <w:rFonts w:ascii="Inter" w:eastAsia="Inter"/>
          <w:color w:val="1E293B"/>
          <w:sz w:val="22"/>
          <w:szCs w:val="22"/>
        </w:rPr>
        <w:t xml:space="preserve">Compliance gaps must be detected within 24 hours (automated evidence checks)</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The 12 control domains derived from NIST CSF cover all FERPA, GDPR, DPDP, COPPA requirements</w:t>
      </w:r>
    </w:p>
    <w:p>
      <w:pPr>
        <w:pStyle w:val="ListParagraph"/>
        <w:numPr>
          <w:ilvl w:val="0"/>
          <w:numId w:val="1"/>
        </w:numPr>
        <w:spacing w:after="60" w:line="312"/>
        <w:ind w:left="720" w:hanging="360"/>
      </w:pPr>
      <w:r>
        <w:rPr>
          <w:rFonts w:ascii="Inter" w:eastAsia="Inter"/>
          <w:color w:val="1E293B"/>
          <w:sz w:val="22"/>
          <w:szCs w:val="22"/>
        </w:rPr>
        <w:t xml:space="preserve">Automated evidence collection from Postgres, Splunk, and AWS Config covers &gt;= 90% of required evidence</w:t>
      </w:r>
    </w:p>
    <w:p>
      <w:pPr>
        <w:pStyle w:val="ListParagraph"/>
        <w:numPr>
          <w:ilvl w:val="0"/>
          <w:numId w:val="1"/>
        </w:numPr>
        <w:spacing w:after="60" w:line="312"/>
        <w:ind w:left="720" w:hanging="360"/>
      </w:pPr>
      <w:r>
        <w:rPr>
          <w:rFonts w:ascii="Inter" w:eastAsia="Inter"/>
          <w:color w:val="1E293B"/>
          <w:sz w:val="22"/>
          <w:szCs w:val="22"/>
        </w:rPr>
        <w:t xml:space="preserve">The 3-person Compliance Operations team can manage the framework</w:t>
      </w:r>
    </w:p>
    <w:p>
      <w:pPr>
        <w:pStyle w:val="ListParagraph"/>
        <w:numPr>
          <w:ilvl w:val="0"/>
          <w:numId w:val="1"/>
        </w:numPr>
        <w:spacing w:after="60" w:line="312"/>
        <w:ind w:left="720" w:hanging="360"/>
      </w:pPr>
      <w:r>
        <w:rPr>
          <w:rFonts w:ascii="Inter" w:eastAsia="Inter"/>
          <w:color w:val="1E293B"/>
          <w:sz w:val="22"/>
          <w:szCs w:val="22"/>
        </w:rPr>
        <w:t xml:space="preserve">SOC 2 Type II and ISO 27001 audits will accept the unified framework's evidence</w:t>
      </w:r>
    </w:p>
    <w:p>
      <w:pPr>
        <w:pStyle w:val="ListParagraph"/>
        <w:numPr>
          <w:ilvl w:val="0"/>
          <w:numId w:val="1"/>
        </w:numPr>
        <w:spacing w:after="60" w:line="312"/>
        <w:ind w:left="720" w:hanging="360"/>
      </w:pPr>
      <w:r>
        <w:rPr>
          <w:rFonts w:ascii="Inter" w:eastAsia="Inter"/>
          <w:color w:val="1E293B"/>
          <w:sz w:val="22"/>
          <w:szCs w:val="22"/>
        </w:rPr>
        <w:t xml:space="preserve">New regulations (e.g., EU AI Act) can be mapped to the existing 12 control domains</w:t>
      </w:r>
    </w:p>
    <w:p>
      <w:pPr>
        <w:pStyle w:val="ListParagraph"/>
        <w:numPr>
          <w:ilvl w:val="0"/>
          <w:numId w:val="1"/>
        </w:numPr>
        <w:spacing w:after="60" w:line="312"/>
        <w:ind w:left="720" w:hanging="360"/>
      </w:pPr>
      <w:r>
        <w:rPr>
          <w:rFonts w:ascii="Inter" w:eastAsia="Inter"/>
          <w:color w:val="1E293B"/>
          <w:sz w:val="22"/>
          <w:szCs w:val="22"/>
        </w:rPr>
        <w:t xml:space="preserve">The more-stringent-requirement rule produces no impossible-to-satisfy conflicts</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Unified framework: 12 NIST CSF-derived control domains, multi-regulation mapping, automated evidence collection, annual SOC 2 + ISO 27001 audits.</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Single source of truth; operational efficiency (75% reduction vs 4 separate programs); customer-recognised certifications (SOC 2, ISO 27001); extensible to new regulations; automated evidence reduces audit preparation time.</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Requires 3-person Compliance Operations team; upfront framework design effort; ISO 27001 certification cost ($50K/year); potential for over-engineering if regulations do not materialise.</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Adopted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Separate compliance programs per regulation (FERPA, GDPR, DPDP, COPPA).</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Each program is optimised for its regulation; no risk of over-generalisation; auditors see a regulation-specific program.</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4x operational burden (8 engineer-weeks per quarter); inconsistent evidence (legacy problem); no SOC 2 / ISO 27001 certifications; customer procurement failures; infeasible for a 50-engineer organisation.</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Outsource compliance to a managed service (e.g., Drata, Vanta).</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Minimal internal effort; pre-built control mappings; continuous monitoring; SOC 2 / ISO 27001 support.</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Loss of control over evidence format; cost ($50K+/year); evidence may not map cleanly to PreOne's ADR-based architecture; auditors may not accept managed-service evidence without validation.</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Defer formal compliance until customer demand requires it.</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Zero upfront cost; no operational burden.</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Fails customer procurement gates (lose $5M+ ARR); regulatory exposure (GDPR fines up to 4% global revenue); 2025 audit explicitly rejected this option; pre-existing customer contracts require compliance.</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Adopt a unified compliance framework covering FERPA, GDPR, DPDP, and COPPA, structured around 12 NIST CSF-derived control domains: (1) Access Control, (2) Encryption, (3) Audit &amp; Monitoring, (4) Data Retention, (5) Breach Notification, (6) Data Subject Rights, (7) Consent Management, (8) Vendor Management, (9) Incident Response, (10) Vulnerability Management, (11) Security Training, (12) Governance &amp; Risk. Each regulation is mapped to the controls it requires; where regulations conflict, the more stringent requirement applies. A 3-person Compliance Operations team owns the framework, with automated evidence collection from Postgres (audit trail), Splunk (security events), and AWS Config (infrastructure controls). Annual external audits (SOC 2 Type II, ISO 27001) validate the framework. The framework is version-controlled in a dedicated Git repository (compliance-framework).</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The unified framework was chosen because maintaining 4 separate compliance programs is operationally infeasible. The 2025 audit documented the legacy problem: 4 spreadsheets tracking the same controls with inconsistent evidence, consuming 8 engineer-weeks per quarter. The unified framework consolidates to a single source of truth, reducing operational burden by 75%. The 12 control domains, derived from NIST CSF, provide a recognized structure that auditors (SOC 2, ISO 27001) accept without customization.
The NIST CSF derivation was chosen over ISO 27001 Annex A because NIST CSF is more outcome-oriented (Identify, Protect, Detect, Respond, Recover) while ISO 27001 Annex A is more control-oriented. PreOne's framework needs to be outcome-oriented (because the regulations specify outcomes, not controls) but also ISO 27001-compatible (for the certification audit). The 12 domains are a hybrid: derived from NIST CSF's outcomes, but structured as controls (with specific evidence) for ISO 27001 compatibility.
The separate-programs option was rejected based on the 2025 audit's operational-burden finding. The 4 separate spreadsheets consumed 8 engineer-weeks per quarter — equivalent to 1 FTE — and produced inconsistent evidence (the FERPA vs GDPR retention discrepancy was the most visible example, but there were 11 other inconsistencies). The unified framework eliminates the inconsistencies by having a single source of truth.
The managed-service option (Drata, Vanta) was piloted in Q1 2026. The pilot found that the managed services' pre-built control mappings did not map cleanly to PreOne's ADR-based architecture (e.g., Drata's 'access control' control expected an Okta integration; PreOne uses an in-house identity model per ADR-061). Customizing the managed service to fit PreOne's architecture would have cost $50K+/year and still required significant internal effort for evidence customization. The in-house framework costs 3 FTE (Compliance Operations team) but provides full control over evidence format and is more audit-defensible.
The deferral option was rejected because pre-existing customer contracts require compliance. The 2025 audit identified 12 customer contracts with compliance clauses; failure to comply would trigger contract termination and revenue loss. The regulatory exposure (GDPR fines up to 4% of global revenue; DPDP fines up to INR 250 crore) is also material. Deferral is not a viable option.
The automated evidence collection is the operational backbone. The Compliance Operations team built an evidence-collection pipeline that queries: (a) Postgres audit trail (ADR-086) for access-control, audit, and data-subject-rights evidence; (b) Splunk for security-event, incident-response, and vulnerability-management evidence; (c) AWS Config for encryption, infrastructure-access, and configuration-management evidence. The pipeline runs nightly and populates a compliance-evidence Postgres schema, queryable by auditors via a read-only tool (admin/operations/compliance). Missing evidence (e.g., a control with no evidence in the last 24 hours) triggers a Slack alert to the Compliance Operations team.
The annual external audits (SOC 2 Type II, ISO 27001) are customer-procurement requirements. SOC 2 Type II was completed in 2025 (6 weeks, $45K cost); ISO 27001 certification is scheduled for Q1 2027 (estimated 12 weeks, $50K cost). Both audits accept the unified framework's evidence; the auditors praised the automated evidence collection as 'best-in-class' in the 2025 SOC 2 report.
The more-stringent-requirement rule resolves regulatory conflicts. For retention: FERPA requires 7 years for student education records; GDPR requires 'no longer than necessary' (typically 3-5 years for personal data). The more stringent (7 years) applies. For breach notification: GDPR requires 72 hours; DPDP requires 72 hours; FERPA requires 'reasonable' (interpreted as 24 hours). The more stringent (24 hours) applies. The rule produces no impossible-to-satisfy conflicts because the regulations are aligned in spirit (protect individual privacy); conflicts are typically in stringency, not in kind.</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PreOne Unified Compliance Framework                    |
+------------------------------------------------------------------+
|                                                                  |
|  Regulations:                                                    |
|  +--------+ +------+ +------+ +------+                           |
|  | FERPA  | | GDPR | | DPDP | |COPPA |  ... (extensible)         |
|  +---+----+ +--+---+ +--+---+ +--+---+                           |
|      |         |        |        |                               |
|      +-----+---+--------+--------+                               |
|            |                                                     |
|            v                                                     |
|  +-------------------+                                           |
|  | Regulation-to-    |  (mapping; more stringent wins)          |
|  | Control Mapping   |                                           |
|  +---------+---------+                                           |
|            |                                                     |
|            v                                                     |
|  +-------------------+                                           |
|  | 12 Control        |  (NIST CSF-derived)                       |
|  | Domains:          |                                           |
|  | 1. Access Control |                                           |
|  | 2. Encryption     |                                           |
|  | 3. Audit &amp; Monitor|                                           |
|  | 4. Retention      |                                           |
|  | 5. Breach Notif.  |                                           |
|  | 6. Data Subject   |                                           |
|  | 7. Consent Mgmt   |                                           |
|  | 8. Vendor Mgmt    |                                           |
|  | 9. Incident Resp. |                                           |
|  | 10. Vuln Mgmt     |                                           |
|  | 11. Training      |                                           |
|  | 12. Governance    |                                           |
|  +---------+---------+                                           |
|            |                                                     |
|            v                                                     |
|  +-------------------+                                           |
|  | Evidence          |  (automated collection)                  |
|  | Collection Pipeline|                                          |
|  +---------+---------+                                           |
|            |                                                     |
|       +----+---+---+                                             |
|       v    v   v                                                 |
|  +------+ +-----+ +--------+                                     |
|  |Postgres| |Splunk| |AWS Conf|                                  |
|  |(audit)| |(sec) | |(infra) |                                   |
|  +------+ +-----+ +--------+                                     |
|            |                                                     |
|            v                                                     |
|  +-------------------+                                           |
|  | Compliance        |  (read-only auditor tool)                |
|  | Evidence Schema   |                                           |
|  +---------+---------+                                           |
|            |                                                     |
|            v                                                     |
|  +-------------------+                                           |
|  | Annual Audits:    |                                           |
|  | SOC 2 Type II     |                                           |
|  | ISO 27001         |                                           |
|  +-------------------+                                           |
+------------------------------------------------------------------+</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Regulation (FERPA/GDPR/DPDP/COPPA) -&gt; Framework: requirement
Framework -&gt; Control Mapping: map to 12 domains
Control Mapping -&gt; Control Domain: assign (more stringent wins)
Control Domain -&gt; Evidence Pipeline: collect evidence nightly
Evidence Pipeline -&gt; Postgres: query audit trail
Evidence Pipeline -&gt; Splunk: query security events
Evidence Pipeline -&gt; AWS Config: query infrastructure controls
Evidence Pipeline -&gt; Compliance Schema: write evidence
Note over Evidence Pipeline, Compliance Schema: missing evidence -&gt; Slack alert
Auditor -&gt; Admin Tool: query compliance evidence
Admin Tool -&gt; Compliance Schema: SELECT ... WHERE control = X AND date BETWEEN ...
Compliance Schema -&gt; Admin Tool: rows
Admin Tool -&gt; Auditor: CSV / table view
Annual Audit:
External Auditor -&gt; Framework: SOC 2 / ISO 27001 audit
Framework -&gt; External Auditor: evidence + control mappings
External Auditor -&gt; PreOne: certification (or findings)</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ADR-088 — Compliance Framework  -  Component View     |
+-------------------------------------------------------------+
|                                                             |
|  +----------------+        +----------------------+         |
|  | Regulations    |  map   | 12 Control Domains   |         |
|  | (FERPA/GDPR/   |-------&gt;| (NIST CSF-derived)   |         |
|  |  DPDP/COPPA)   |        |                      |         |
|  +----------------+        +----------+-----------+         |
|                                       |                     |
|                                       | collect evidence    |
|                                       v                     |
|  +-------------+ +--------+ +--------+                      |
|  | Postgres    | | Splunk | | AWS   |                       |
|  | (audit)     | | (sec)  | | Config|                       |
|  +-------------+ +--------+ +--------+                      |
|            \       |        /                               |
|             \      |       /                                |
|              v     v      v                                 |
|              +-----------+                                  |
|              | Evidence  |                                  |
|              | Pipeline  |                                  |
|              +-----+-----+                                  |
|                    |                                        |
|                    v                                        |
|              +-----------+                                  |
|              | Compliance|                                  |
|              | Schema    |                                  |
|              +-----------+                                  |
|                                                             |
|  Audits: SOC 2 Type II (annual) + ISO 27001 (Q1 2027)      |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Evidence Collection Flow (nightly):
  Pipeline -&gt; Postgres: query audit trail (access control evidence)
  Pipeline -&gt; Splunk: query security events (incident response evidence)
  Pipeline -&gt; AWS Config: query infrastructure (encryption evidence)
  Pipeline -&gt; Compliance Schema: write evidence rows
  Pipeline -&gt; Slack: alert on missing evidence
Auditor Query Flow:
  Auditor -&gt; Admin Tool: query (control + date range)
  Admin Tool -&gt; Compliance Schema: SELECT
  Admin Tool -&gt; Auditor: CSV / table view
Annual Audit Flow:
  External Auditor -&gt; PreOne: SOC 2 / ISO 27001 audit
  Compliance Ops -&gt; Admin Tool: evidence queries
  External Auditor -&gt; PreOne: certification (or findings)</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Compliance framework adds a dedicated Postgres schema (compliance.*) with the following tables: compliance.control_definitions (12 rows, the control catalog), compliance.regulations (4 rows, the regulation catalog), compliance.control_mapping (many-to-many between regulations and controls, with stringency annotation), compliance.evidence (the automated-evidence table, ~10K rows/day), compliance.evidence_gaps (missing-evidence alerts, ~10 rows/day). The compliance schema is read-replica-friendly for auditor queries. The audit trail (ADR-086) is the primary evidence source for access-control, audit, and data-subject-rights controls. No business-schema changes are required.</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No public API changes. The admin API exposes GET /admin/compliance/evidence with filters (control, regulation, date range, status). The admin API is RBAC-controlled (admin or auditor role only); auditors receive a 24-hour temporary account. The API enforces a maximum date range of 90 days per query (consistent with the audit trail API). A separate endpoint (GET /admin/compliance/gaps) surfaces missing-evidence alerts for the Compliance Operations team.</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The Compliance Framework surfaces in the admin UI as the 'Compliance' dashboard (admin/operations/compliance, accessible to Compliance Ops and ARB members). The dashboard shows the 12 control domains with coverage status (green / yellow / red), evidence freshness, and open audit findings. The 'Auditor Onboarding' workflow (admin/operations/compliance/auditor-onboarding) allows Compliance Ops to create 24-hour temporary accounts for external auditors. The security page (preone.com/security) displays 'SOC 2 Type II Certified' and 'ISO 27001 Certified' badges (the latter after Q1 2027 certification), enabling customer procurement. No end-user UI changes were required.</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The compliance framework is the meta-control that ensures all other security controls are present, evidenced, and audit-ready. It provides: (1) a single source of truth for control status; (2) automated evidence collection (eliminates manual-gathering errors); (3) missing-evidence detection (24-hour alert); (4) auditor self-service (reduces internal coordination); (5) annual external-audit support (SOC 2, ISO 27001). The framework directly enables customer procurement ($5M+ ARR from enterprise customers requiring certifications) and reduces regulatory risk (GDPR, DPDP fines).</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The compliance framework has minimal performance impact. The evidence-collection pipeline runs nightly (off-peak) and queries read replicas (no OLTP impact). The compliance schema is small (10K rows/day = 3.6M rows/year); partitioning by month keeps query latency under 500ms p95 for auditor queries. The missing-evidence detection job runs hourly and completes in under 5 minutes. The admin tool's auditor queries run against read replicas; no impact on production traffic.</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The framework scales linearly with regulation count (currently 4, projected 6-8 by 2028 with EU AI Act, India DPDP Rules, US state privacy laws). Each new regulation requires: (1) mapping to the 12 control domains (1-2 days); (2) identifying any control gaps (1 day); (3) updating the evidence-collection pipeline if new evidence sources are needed (1-5 days). The 3-person Compliance Operations team can absorb 2-3 new regulations per year without additional headcount. The evidence volume scales with audit-event volume (~500 events/second = 10K evidence rows/day); Postgres capacity is sufficient through 2030.</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The Compliance Operations team (3 people) owns the framework. The team coordinates: (a) annual external audits (SOC 2, ISO 27001); (b) quarterly internal control reviews; (c) missing-evidence alert triage (target: &lt;5 open alerts at any time); (d) new-regulation onboarding; (e) evidence-pipeline maintenance. The team monitors a #compliance-alerts Slack channel where missing-evidence alerts post automatically. The monthly compliance scorecard tracks: (a) control coverage rate (target: 100%); (b) evidence freshness (target: &lt;24 hours); (c) open audit findings (target: 0); (d) audit-readiness score (composite metric). Quarterly, the ARB reviews the framework and approves new-regulation onboarding.</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New regulation (e.g., EU AI Act) requires controls not in the 12 domains</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12 domains derived from NIST CSF (comprehensive); new domains can be added (framework is extensible); annual framework review identifies gaps</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Automated evidence pipeline fails (missing-evidence false negative)</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Pipeline has retry + dead-letter queue; missing-evidence alert validates pipeline output; weekly manual sample-audit of 10 random controls</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External auditor rejects the framework (insufficient evidence format)</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 SOC 2 audit accepted the framework; ISO 27001 pre-assessment in Q4 2026 will validate; auditor feedback incorporated annually</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Compliance Operations team loses a member (single-point-of-knowledge)</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Cross-training within team; framework documentation in Git; runbooks for all routine operations; deputy appointment mandatory</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Customer requests a regulation not yet covered (e.g., Brazil LGPD)</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Framework is extensible; new regulation onboarding takes 2-5 days; customer communication sets realistic timeline</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Single source of truth across 4 regulations</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3-person Compliance Operations team cost</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Automated evidence collection (75% operational reduction)</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Pipeline development effort (8 engineer-weeks upfront)</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Customer-recognised certifications (SOC 2, ISO 27001)</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Annual audit cost ($45K SOC 2 + $50K ISO 27001)</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Extensible to new regulations</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Risk of over-engineering if regulations do not materialise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Auditor self-service (reduces internal coordination)</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Auditor onboarding training (1 hour per auditor)</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The separate-programs option was the legacy model and was documented in the 2025 audit as operationally infeasible (8 engineer-weeks per quarter, inconsistent evidence). The managed-service option (Drata, Vanta) was piloted in Q1 2026; the pilot found that pre-built control mappings did not fit PreOne's ADR-based architecture, and customization cost ($50K+/year) plus internal effort exceeded the in-house framework cost. The deferral option was rejected because pre-existing customer contracts require compliance; deferral would trigger contract termination and regulatory fines. The unified framework was the only option that satisfied all requirements: operational efficiency, customer recognition, extensibility, and audit-readiness.</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Phase 1 (Q4 2025, complete): Framework designed (12 control domains, regulation mapping). Phase 2 (Q1 2026, complete): Evidence-collection pipeline deployed. Phase 3 (Q1 2026, complete): Compliance Operations team hired (3 people). Phase 4 (Q2 2026, complete): 2025 SOC 2 Type II audit completed (6 weeks, $45K). Phase 5 (Q3 2026, complete): Auditor self-service tool deployed. Phase 6 (Q4 2026, planned): ISO 27001 pre-assessment. Phase 7 (Q1 2027, planned): ISO 27001 certification audit. Phase 8 (ongoing): New-regulation onboarding (EU AI Act expected Q2 2027).</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The framework is tested at three levels. (1) Control tests: each of the 12 control domains has an automated test that verifies the control is in effect (e.g., the 'encryption' control test verifies that all RDS instances have encryption-at-rest enabled, queried from AWS Config). (2) Evidence tests: the evidence-collection pipeline has a synthetic-evidence generator that injects test evidence and verifies it appears in the compliance schema. (3) End-to-end audit simulation: quarterly, the Compliance Operations team simulates an external audit (using the same queries an auditor would use) and verifies the framework produces complete, accurate evidence. The annual external audit (SOC 2, ISO 27001) is the ultimate test.</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Splunk dashboards track: (a) control coverage rate (target: 100%); (b) evidence freshness by control (target: &lt;24 hours); (c) open audit findings by severity and age; (d) missing-evidence alerts (target: 0 open alerts &gt;24 hours); (e) evidence-pipeline health (success rate, duration); (f) audit-readiness score (composite metric: coverage + freshness + findings). Anomalies (e.g., a control's evidence freshness exceeds 48 hours) trigger Slack alerts to #compliance-alerts. The compliance dashboard (admin/operations/compliance) provides a real-time view for the Compliance Operations team and the ARB. Annual report: the Compliance Operations Lead presents the framework summary to the ARB and CTO each January.</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Three evolutions are likely. First, the framework will be extended to cover the EU AI Act (taking effect 2026), which requires AI-system risk assessments, transparency, and human oversight — these will map to the existing 'governance' and 'audit' domains with new sub-controls. Second, the framework may adopt continuous-audit technology (e.g., Hyperproof, AuditBoard) to replace the annual external audit with continuous certification — gated on the maturity of the automated evidence pipeline. Third, the framework may be exposed to customers via a 'trust center' (e.g., trust.preone.com) where customers can self-serve compliance evidence (SOC 2 report, ISO 27001 certificate, control matrix) under NDA — gated on customer demand and the security of the trust-center platform.</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ADR-002 — Modular Monolith Strategy (compliance framework covers the monolith's controls)</w:t>
      </w:r>
    </w:p>
    <w:p>
      <w:pPr>
        <w:pStyle w:val="ListParagraph"/>
        <w:numPr>
          <w:ilvl w:val="0"/>
          <w:numId w:val="1"/>
        </w:numPr>
        <w:spacing w:after="60" w:line="312"/>
        <w:ind w:left="720" w:hanging="360"/>
      </w:pPr>
      <w:r>
        <w:rPr>
          <w:rFonts w:ascii="Inter" w:eastAsia="Inter"/>
          <w:color w:val="1E293B"/>
          <w:sz w:val="22"/>
          <w:szCs w:val="22"/>
        </w:rPr>
        <w:t xml:space="preserve">ADR-041 — PostgreSQL Strategy (compliance evidence stored in Postgres compliance schema)</w:t>
      </w:r>
    </w:p>
    <w:p>
      <w:pPr>
        <w:pStyle w:val="ListParagraph"/>
        <w:numPr>
          <w:ilvl w:val="0"/>
          <w:numId w:val="1"/>
        </w:numPr>
        <w:spacing w:after="60" w:line="312"/>
        <w:ind w:left="720" w:hanging="360"/>
      </w:pPr>
      <w:r>
        <w:rPr>
          <w:rFonts w:ascii="Inter" w:eastAsia="Inter"/>
          <w:color w:val="1E293B"/>
          <w:sz w:val="22"/>
          <w:szCs w:val="22"/>
        </w:rPr>
        <w:t xml:space="preserve">ADR-043 — Tenant Isolation (access-control control references tenant isolation)</w:t>
      </w:r>
    </w:p>
    <w:p>
      <w:pPr>
        <w:pStyle w:val="ListParagraph"/>
        <w:numPr>
          <w:ilvl w:val="0"/>
          <w:numId w:val="1"/>
        </w:numPr>
        <w:spacing w:after="60" w:line="312"/>
        <w:ind w:left="720" w:hanging="360"/>
      </w:pPr>
      <w:r>
        <w:rPr>
          <w:rFonts w:ascii="Inter" w:eastAsia="Inter"/>
          <w:color w:val="1E293B"/>
          <w:sz w:val="22"/>
          <w:szCs w:val="22"/>
        </w:rPr>
        <w:t xml:space="preserve">ADR-053 — Data Retention (retention control references data retention ADR)</w:t>
      </w:r>
    </w:p>
    <w:p>
      <w:pPr>
        <w:pStyle w:val="ListParagraph"/>
        <w:numPr>
          <w:ilvl w:val="0"/>
          <w:numId w:val="1"/>
        </w:numPr>
        <w:spacing w:after="60" w:line="312"/>
        <w:ind w:left="720" w:hanging="360"/>
      </w:pPr>
      <w:r>
        <w:rPr>
          <w:rFonts w:ascii="Inter" w:eastAsia="Inter"/>
          <w:color w:val="1E293B"/>
          <w:sz w:val="22"/>
          <w:szCs w:val="22"/>
        </w:rPr>
        <w:t xml:space="preserve">ADR-077 — Encryption (encryption control references encryption ADR)</w:t>
      </w:r>
    </w:p>
    <w:p>
      <w:pPr>
        <w:pStyle w:val="ListParagraph"/>
        <w:numPr>
          <w:ilvl w:val="0"/>
          <w:numId w:val="1"/>
        </w:numPr>
        <w:spacing w:after="60" w:line="312"/>
        <w:ind w:left="720" w:hanging="360"/>
      </w:pPr>
      <w:r>
        <w:rPr>
          <w:rFonts w:ascii="Inter" w:eastAsia="Inter"/>
          <w:color w:val="1E293B"/>
          <w:sz w:val="22"/>
          <w:szCs w:val="22"/>
        </w:rPr>
        <w:t xml:space="preserve">ADR-079 — PII Protection (data-subject-rights control references PII protection)</w:t>
      </w:r>
    </w:p>
    <w:p>
      <w:pPr>
        <w:pStyle w:val="ListParagraph"/>
        <w:numPr>
          <w:ilvl w:val="0"/>
          <w:numId w:val="1"/>
        </w:numPr>
        <w:spacing w:after="60" w:line="312"/>
        <w:ind w:left="720" w:hanging="360"/>
      </w:pPr>
      <w:r>
        <w:rPr>
          <w:rFonts w:ascii="Inter" w:eastAsia="Inter"/>
          <w:color w:val="1E293B"/>
          <w:sz w:val="22"/>
          <w:szCs w:val="22"/>
        </w:rPr>
        <w:t xml:space="preserve">ADR-083 — Vulnerability Management (vuln-mgmt control references vuln-mgmt ADR)</w:t>
      </w:r>
    </w:p>
    <w:p>
      <w:pPr>
        <w:pStyle w:val="ListParagraph"/>
        <w:numPr>
          <w:ilvl w:val="0"/>
          <w:numId w:val="1"/>
        </w:numPr>
        <w:spacing w:after="60" w:line="312"/>
        <w:ind w:left="720" w:hanging="360"/>
      </w:pPr>
      <w:r>
        <w:rPr>
          <w:rFonts w:ascii="Inter" w:eastAsia="Inter"/>
          <w:color w:val="1E293B"/>
          <w:sz w:val="22"/>
          <w:szCs w:val="22"/>
        </w:rPr>
        <w:t xml:space="preserve">ADR-086 — Audit Trail (audit control references audit-trail ADR)</w:t>
      </w:r>
    </w:p>
    <w:p>
      <w:pPr>
        <w:pStyle w:val="ListParagraph"/>
        <w:numPr>
          <w:ilvl w:val="0"/>
          <w:numId w:val="1"/>
        </w:numPr>
        <w:spacing w:after="60" w:line="312"/>
        <w:ind w:left="720" w:hanging="360"/>
      </w:pPr>
      <w:r>
        <w:rPr>
          <w:rFonts w:ascii="Inter" w:eastAsia="Inter"/>
          <w:color w:val="1E293B"/>
          <w:sz w:val="22"/>
          <w:szCs w:val="22"/>
        </w:rPr>
        <w:t xml:space="preserve">ADR-090 — Incident Response (incident-response control references IR ADR)</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Upstream PRD: PRD-007 (Security Requirements — compliance section)</w:t>
      </w:r>
    </w:p>
    <w:p>
      <w:pPr>
        <w:pStyle w:val="ListParagraph"/>
        <w:numPr>
          <w:ilvl w:val="0"/>
          <w:numId w:val="1"/>
        </w:numPr>
        <w:spacing w:after="60" w:line="312"/>
        <w:ind w:left="720" w:hanging="360"/>
      </w:pPr>
      <w:r>
        <w:rPr>
          <w:rFonts w:ascii="Inter" w:eastAsia="Inter"/>
          <w:color w:val="1E293B"/>
          <w:sz w:val="22"/>
          <w:szCs w:val="22"/>
        </w:rPr>
        <w:t xml:space="preserve">Downstream ERD: ERD-088 (compliance.* schema)</w:t>
      </w:r>
    </w:p>
    <w:p>
      <w:pPr>
        <w:pStyle w:val="ListParagraph"/>
        <w:numPr>
          <w:ilvl w:val="0"/>
          <w:numId w:val="1"/>
        </w:numPr>
        <w:spacing w:after="60" w:line="312"/>
        <w:ind w:left="720" w:hanging="360"/>
      </w:pPr>
      <w:r>
        <w:rPr>
          <w:rFonts w:ascii="Inter" w:eastAsia="Inter"/>
          <w:color w:val="1E293B"/>
          <w:sz w:val="22"/>
          <w:szCs w:val="22"/>
        </w:rPr>
        <w:t xml:space="preserve">Downstream API Spec: API-088 (internal compliance dashboard endpoints)</w:t>
      </w:r>
    </w:p>
    <w:p>
      <w:pPr>
        <w:pStyle w:val="ListParagraph"/>
        <w:numPr>
          <w:ilvl w:val="0"/>
          <w:numId w:val="1"/>
        </w:numPr>
        <w:spacing w:after="60" w:line="312"/>
        <w:ind w:left="720" w:hanging="360"/>
      </w:pPr>
      <w:r>
        <w:rPr>
          <w:rFonts w:ascii="Inter" w:eastAsia="Inter"/>
          <w:color w:val="1E293B"/>
          <w:sz w:val="22"/>
          <w:szCs w:val="22"/>
        </w:rPr>
        <w:t xml:space="preserve">Downstream Test Cases: TC-088 (control tests, evidence tests, audit simulation)</w:t>
      </w:r>
    </w:p>
    <w:p>
      <w:pPr>
        <w:pStyle w:val="ListParagraph"/>
        <w:numPr>
          <w:ilvl w:val="0"/>
          <w:numId w:val="1"/>
        </w:numPr>
        <w:spacing w:after="60" w:line="312"/>
        <w:ind w:left="720" w:hanging="360"/>
      </w:pPr>
      <w:r>
        <w:rPr>
          <w:rFonts w:ascii="Inter" w:eastAsia="Inter"/>
          <w:color w:val="1E293B"/>
          <w:sz w:val="22"/>
          <w:szCs w:val="22"/>
        </w:rPr>
        <w:t xml:space="preserve">External: NIST Cybersecurity Framework v2.0</w:t>
      </w:r>
    </w:p>
    <w:p>
      <w:pPr>
        <w:pStyle w:val="ListParagraph"/>
        <w:numPr>
          <w:ilvl w:val="0"/>
          <w:numId w:val="1"/>
        </w:numPr>
        <w:spacing w:after="60" w:line="312"/>
        <w:ind w:left="720" w:hanging="360"/>
      </w:pPr>
      <w:r>
        <w:rPr>
          <w:rFonts w:ascii="Inter" w:eastAsia="Inter"/>
          <w:color w:val="1E293B"/>
          <w:sz w:val="22"/>
          <w:szCs w:val="22"/>
        </w:rPr>
        <w:t xml:space="preserve">External: ISO/IEC 27001:2022</w:t>
      </w:r>
    </w:p>
    <w:p>
      <w:pPr>
        <w:pStyle w:val="ListParagraph"/>
        <w:numPr>
          <w:ilvl w:val="0"/>
          <w:numId w:val="1"/>
        </w:numPr>
        <w:spacing w:after="60" w:line="312"/>
        <w:ind w:left="720" w:hanging="360"/>
      </w:pPr>
      <w:r>
        <w:rPr>
          <w:rFonts w:ascii="Inter" w:eastAsia="Inter"/>
          <w:color w:val="1E293B"/>
          <w:sz w:val="22"/>
          <w:szCs w:val="22"/>
        </w:rPr>
        <w:t xml:space="preserve">External: FERPA 34 CFR Part 99</w:t>
      </w:r>
    </w:p>
    <w:p>
      <w:pPr>
        <w:pStyle w:val="ListParagraph"/>
        <w:numPr>
          <w:ilvl w:val="0"/>
          <w:numId w:val="1"/>
        </w:numPr>
        <w:spacing w:after="60" w:line="312"/>
        <w:ind w:left="720" w:hanging="360"/>
      </w:pPr>
      <w:r>
        <w:rPr>
          <w:rFonts w:ascii="Inter" w:eastAsia="Inter"/>
          <w:color w:val="1E293B"/>
          <w:sz w:val="22"/>
          <w:szCs w:val="22"/>
        </w:rPr>
        <w:t xml:space="preserve">External: GDPR (Regulation (EU) 2016/679)</w:t>
      </w:r>
    </w:p>
    <w:p>
      <w:pPr>
        <w:pStyle w:val="ListParagraph"/>
        <w:numPr>
          <w:ilvl w:val="0"/>
          <w:numId w:val="1"/>
        </w:numPr>
        <w:spacing w:after="60" w:line="312"/>
        <w:ind w:left="720" w:hanging="360"/>
      </w:pPr>
      <w:r>
        <w:rPr>
          <w:rFonts w:ascii="Inter" w:eastAsia="Inter"/>
          <w:color w:val="1E293B"/>
          <w:sz w:val="22"/>
          <w:szCs w:val="22"/>
        </w:rPr>
        <w:t xml:space="preserve">External: India DPDP Act 2023</w:t>
      </w:r>
    </w:p>
    <w:p>
      <w:pPr>
        <w:pStyle w:val="ListParagraph"/>
        <w:numPr>
          <w:ilvl w:val="0"/>
          <w:numId w:val="1"/>
        </w:numPr>
        <w:spacing w:after="60" w:line="312"/>
        <w:ind w:left="720" w:hanging="360"/>
      </w:pPr>
      <w:r>
        <w:rPr>
          <w:rFonts w:ascii="Inter" w:eastAsia="Inter"/>
          <w:color w:val="1E293B"/>
          <w:sz w:val="22"/>
          <w:szCs w:val="22"/>
        </w:rPr>
        <w:t xml:space="preserve">External: COPPA 16 CFR Part 312</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2025-10-06</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Compliance Operations Lead</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options enumerated; consultation with security and engineering teams</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2025-11-22</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Compliance Operations Lead</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Architecture Review Board after cross-team review</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2025-12-20</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published to architecture repository</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2026-07-15</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cross-references to Vol 1-3 ADRs added; 34-section template applied</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Chief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Compliance Operations Lead</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ARB Chair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2025-12-20</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ADR published to architecture repository (Done)</w:t>
      </w:r>
    </w:p>
    <w:p>
      <w:pPr>
        <w:pStyle w:val="ListParagraph"/>
        <w:numPr>
          <w:ilvl w:val="0"/>
          <w:numId w:val="1"/>
        </w:numPr>
        <w:spacing w:after="60" w:line="312"/>
        <w:ind w:left="720" w:hanging="360"/>
      </w:pPr>
      <w:r>
        <w:rPr>
          <w:rFonts w:ascii="Inter" w:eastAsia="Inter"/>
          <w:color w:val="1E293B"/>
          <w:sz w:val="22"/>
          <w:szCs w:val="22"/>
        </w:rPr>
        <w:t xml:space="preserve">Cross-references to upstream/downstream artefacts added (Done)</w:t>
      </w:r>
    </w:p>
    <w:p>
      <w:pPr>
        <w:pStyle w:val="ListParagraph"/>
        <w:numPr>
          <w:ilvl w:val="0"/>
          <w:numId w:val="1"/>
        </w:numPr>
        <w:spacing w:after="60" w:line="312"/>
        <w:ind w:left="720" w:hanging="360"/>
      </w:pPr>
      <w:r>
        <w:rPr>
          <w:rFonts w:ascii="Inter" w:eastAsia="Inter"/>
          <w:color w:val="1E293B"/>
          <w:sz w:val="22"/>
          <w:szCs w:val="22"/>
        </w:rPr>
        <w:t xml:space="preserve">Security team briefed in monthly architecture sync (Done)</w:t>
      </w:r>
    </w:p>
    <w:p>
      <w:pPr>
        <w:pStyle w:val="ListParagraph"/>
        <w:numPr>
          <w:ilvl w:val="0"/>
          <w:numId w:val="1"/>
        </w:numPr>
        <w:spacing w:after="60" w:line="312"/>
        <w:ind w:left="720" w:hanging="360"/>
      </w:pPr>
      <w:r>
        <w:rPr>
          <w:rFonts w:ascii="Inter" w:eastAsia="Inter"/>
          <w:color w:val="1E293B"/>
          <w:sz w:val="22"/>
          <w:szCs w:val="22"/>
        </w:rPr>
        <w:t xml:space="preserve">Code review checklist updated to enforce this ADR (Done)</w:t>
      </w:r>
    </w:p>
    <w:p>
      <w:pPr>
        <w:pStyle w:val="ListParagraph"/>
        <w:numPr>
          <w:ilvl w:val="0"/>
          <w:numId w:val="1"/>
        </w:numPr>
        <w:spacing w:after="60" w:line="312"/>
        <w:ind w:left="720" w:hanging="360"/>
      </w:pPr>
      <w:r>
        <w:rPr>
          <w:rFonts w:ascii="Inter" w:eastAsia="Inter"/>
          <w:color w:val="1E293B"/>
          <w:sz w:val="22"/>
          <w:szCs w:val="22"/>
        </w:rPr>
        <w:t xml:space="preserve">On-call runbook updated with operational procedures (Done)</w:t>
      </w:r>
    </w:p>
    <w:p>
      <w:pPr>
        <w:pStyle w:val="ListParagraph"/>
        <w:numPr>
          <w:ilvl w:val="0"/>
          <w:numId w:val="1"/>
        </w:numPr>
        <w:spacing w:after="60" w:line="312"/>
        <w:ind w:left="720" w:hanging="360"/>
      </w:pPr>
      <w:r>
        <w:rPr>
          <w:rFonts w:ascii="Inter" w:eastAsia="Inter"/>
          <w:color w:val="1E293B"/>
          <w:sz w:val="22"/>
          <w:szCs w:val="22"/>
        </w:rPr>
        <w:t xml:space="preserve">12 control domains defined (NIST CSF-derived) (Done)</w:t>
      </w:r>
    </w:p>
    <w:p>
      <w:pPr>
        <w:pStyle w:val="ListParagraph"/>
        <w:numPr>
          <w:ilvl w:val="0"/>
          <w:numId w:val="1"/>
        </w:numPr>
        <w:spacing w:after="60" w:line="312"/>
        <w:ind w:left="720" w:hanging="360"/>
      </w:pPr>
      <w:r>
        <w:rPr>
          <w:rFonts w:ascii="Inter" w:eastAsia="Inter"/>
          <w:color w:val="1E293B"/>
          <w:sz w:val="22"/>
          <w:szCs w:val="22"/>
        </w:rPr>
        <w:t xml:space="preserve">Regulation mapping (FERPA/GDPR/DPDP/COPPA) (Done)</w:t>
      </w:r>
    </w:p>
    <w:p>
      <w:pPr>
        <w:pStyle w:val="ListParagraph"/>
        <w:numPr>
          <w:ilvl w:val="0"/>
          <w:numId w:val="1"/>
        </w:numPr>
        <w:spacing w:after="60" w:line="312"/>
        <w:ind w:left="720" w:hanging="360"/>
      </w:pPr>
      <w:r>
        <w:rPr>
          <w:rFonts w:ascii="Inter" w:eastAsia="Inter"/>
          <w:color w:val="1E293B"/>
          <w:sz w:val="22"/>
          <w:szCs w:val="22"/>
        </w:rPr>
        <w:t xml:space="preserve">Evidence-collection pipeline (Postgres + Splunk + AWS Config) (Done)</w:t>
      </w:r>
    </w:p>
    <w:p>
      <w:pPr>
        <w:pStyle w:val="ListParagraph"/>
        <w:numPr>
          <w:ilvl w:val="0"/>
          <w:numId w:val="1"/>
        </w:numPr>
        <w:spacing w:after="60" w:line="312"/>
        <w:ind w:left="720" w:hanging="360"/>
      </w:pPr>
      <w:r>
        <w:rPr>
          <w:rFonts w:ascii="Inter" w:eastAsia="Inter"/>
          <w:color w:val="1E293B"/>
          <w:sz w:val="22"/>
          <w:szCs w:val="22"/>
        </w:rPr>
        <w:t xml:space="preserve">Compliance Operations team hired (3 people) (Done)</w:t>
      </w:r>
    </w:p>
    <w:p>
      <w:pPr>
        <w:pStyle w:val="ListParagraph"/>
        <w:numPr>
          <w:ilvl w:val="0"/>
          <w:numId w:val="1"/>
        </w:numPr>
        <w:spacing w:after="60" w:line="312"/>
        <w:ind w:left="720" w:hanging="360"/>
      </w:pPr>
      <w:r>
        <w:rPr>
          <w:rFonts w:ascii="Inter" w:eastAsia="Inter"/>
          <w:color w:val="1E293B"/>
          <w:sz w:val="22"/>
          <w:szCs w:val="22"/>
        </w:rPr>
        <w:t xml:space="preserve">SOC 2 Type II audit completed (Done — Q2 2026)</w:t>
      </w:r>
    </w:p>
    <w:p>
      <w:pPr>
        <w:pStyle w:val="ListParagraph"/>
        <w:numPr>
          <w:ilvl w:val="0"/>
          <w:numId w:val="1"/>
        </w:numPr>
        <w:spacing w:after="60" w:line="312"/>
        <w:ind w:left="720" w:hanging="360"/>
      </w:pPr>
      <w:r>
        <w:rPr>
          <w:rFonts w:ascii="Inter" w:eastAsia="Inter"/>
          <w:color w:val="1E293B"/>
          <w:sz w:val="22"/>
          <w:szCs w:val="22"/>
        </w:rPr>
        <w:t xml:space="preserve">Auditor self-service tool deployed (Done)</w:t>
      </w:r>
    </w:p>
    <w:p>
      <w:pPr>
        <w:pStyle w:val="ListParagraph"/>
        <w:numPr>
          <w:ilvl w:val="0"/>
          <w:numId w:val="1"/>
        </w:numPr>
        <w:spacing w:after="60" w:line="312"/>
        <w:ind w:left="720" w:hanging="360"/>
      </w:pPr>
      <w:r>
        <w:rPr>
          <w:rFonts w:ascii="Inter" w:eastAsia="Inter"/>
          <w:color w:val="1E293B"/>
          <w:sz w:val="22"/>
          <w:szCs w:val="22"/>
        </w:rPr>
        <w:t xml:space="preserve">ISO 27001 pre-assessment (Planned — Q4 2026)</w:t>
      </w:r>
    </w:p>
    <w:p>
      <w:pPr>
        <w:pStyle w:val="ListParagraph"/>
        <w:numPr>
          <w:ilvl w:val="0"/>
          <w:numId w:val="1"/>
        </w:numPr>
        <w:spacing w:after="60" w:line="312"/>
        <w:ind w:left="720" w:hanging="360"/>
      </w:pPr>
      <w:r>
        <w:rPr>
          <w:rFonts w:ascii="Inter" w:eastAsia="Inter"/>
          <w:color w:val="1E293B"/>
          <w:sz w:val="22"/>
          <w:szCs w:val="22"/>
        </w:rPr>
        <w:t xml:space="preserve">ISO 27001 certification audit (Planned — Q1 2027)</w:t>
      </w:r>
    </w:p>
    <w:p>
      <w:pPr>
        <w:spacing w:after="60" w:before="360" w:line="280"/>
      </w:pPr>
      <w:r>
        <w:rPr>
          <w:rFonts w:ascii="Inter" w:eastAsia="Inter"/>
          <w:b/>
          <w:bCs/>
          <w:color w:val="4F46E5"/>
          <w:spacing w:val="60"/>
          <w:sz w:val="22"/>
          <w:szCs w:val="22"/>
        </w:rPr>
        <w:t xml:space="preserve">ADR-089</w:t>
      </w:r>
    </w:p>
    <w:p>
      <w:pPr>
        <w:pStyle w:val="Heading1"/>
        <w:spacing w:after="200" w:before="60" w:line="312"/>
      </w:pPr>
      <w:r>
        <w:rPr>
          <w:rFonts w:ascii="Inter" w:eastAsia="Inter"/>
          <w:b/>
          <w:bCs/>
          <w:color w:val="0F172A"/>
          <w:sz w:val="36"/>
          <w:szCs w:val="36"/>
        </w:rPr>
        <w:t xml:space="preserve">Data Loss Prevention</w:t>
      </w:r>
    </w:p>
    <w:p>
      <w:pPr>
        <w:spacing w:after="120" w:line="280"/>
      </w:pPr>
      <w:r>
        <w:rPr>
          <w:rFonts w:ascii="Inter" w:eastAsia="Inter"/>
          <w:color w:val="64748B"/>
          <w:sz w:val="20"/>
          <w:szCs w:val="20"/>
        </w:rPr>
        <w:t xml:space="preserve">Volume 4 — Security Architecture  -  </w:t>
      </w:r>
      <w:r>
        <w:rPr>
          <w:rFonts w:ascii="Inter" w:eastAsia="Inter"/>
          <w:color w:val="64748B"/>
          <w:sz w:val="20"/>
          <w:szCs w:val="20"/>
        </w:rPr>
        <w:t xml:space="preserve">Identity &amp; Security</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Adopt a layered Data Loss Prevention (DLP) strategy combining: (1) in-app egress controls (field-level encryption of PII per ADR-079; row-level export logging via ADR-086 audit trail); (2) email DLP via Google Workspace DLP scanning outbound email for PII patterns (SSN, Aadhaar, student ID) with quarantine for matches; (3) endpoint DLP via Jamf Pro configuration profiles on managed MacBooks blocking USB mass storage and clipboard copy of PII-classified fields; (4) SaaS DLP via CASB (Cloud Access Security Broker) monitoring sanctioned SaaS apps (Slack, Notion, Google Drive) for PII uploads. DLP findings route to Splunk and trigger Slack alerts to #security-alerts for high-severity matches.</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2026-01-08</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Security Engineering Lead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review, or on trigger event (incident, major version upgrade, or strategic shift)</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refreshes for series alignment and cross-references)</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PreOne processes regulated student data (PII: name, DOB, address, guardian info, academic records, health info) across the application, email, endpoints, and SaaS tools. Each egress channel is a potential data-loss vector. The 2025 audit identified DLP as a 'gap' — the legacy platform had no DLP controls beyond the application's RBAC, leaving email, endpoint, and SaaS channels unmonitored.
The audit cited two 2024 incidents: (1) a teacher emailed a student's report card (containing PII) to a personal Gmail account, detected 2 weeks later via a manual log review; (2) an engineer uploaded a production data extract (containing 500 student records) to a personal Google Drive for 'debugging', detected when the engineer mentioned it in a Slack message. Neither incident caused regulatory action (no evidence of misuse), but both represented near-misses that DLP controls would have caught at the egress point.
PreOne's DLP strategy is layered because no single control covers all channels. In-app controls (RBAC, encryption, audit logging) prevent most application-level egress but cannot prevent email, endpoint, or SaaS egress. Email DLP catches outbound email containing PII; endpoint DLP catches USB and clipboard egress; SaaS DLP catches uploads to sanctioned SaaS apps. Unsancioned SaaS apps (personal Google Drive, Dropbox) are blocked at the network layer (AWS Network Firewall egress filtering) per ADR-080.
The DLP strategy must balance security with employee productivity. Overly-aggressive DLP (e.g., blocking all email with any name) would prevent legitimate business communication. The strategy uses a 'detect and warn' model for most patterns, with 'block and quarantine' reserved for high-confidence matches (e.g., 10+ Aadhaar numbers in a single email — almost certainly a data extract, not legitimate communication).</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The primary driver is regulatory compliance. FERPA, GDPR, DPDP, and COPPA all require 'reasonable' controls to prevent unauthorized disclosure of PII. DLP is a standard 'reasonable' control; its absence would be a compliance finding. The 2025 audit explicitly recommended DLP adoption as a priority-2 control.
A secondary driver is incident prevention. The 2024 near-misses (emailed report card, Google Drive upload) could have caused regulatory action if misused; DLP would have caught both at the egress point. The estimated cost-avoidance is $200K per prevented incident (regulatory fine + customer notification + reputational damage).
A tertiary driver is customer trust. Enterprise customers (state university systems) require DLP controls as a procurement gate; the DLP strategy enables $3M+ in annual recurring revenue from these customers. The DLP controls are documented in the customer-facing security whitepaper.
A quaternary driver is employee education. DLP 'detect and warn' alerts (e.g., 'You are about to email a document containing Aadhaar numbers. Are you sure?') educate employees on PII handling, reducing future incidents. The 2024 incidents were caused by employees who did not understand the sensitivity of the data they were handling; DLP alerts provide just-in-time training.</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PreOne requires a layered DLP strategy covering application, email, endpoint, and SaaS egress channels — with PII pattern detection, detect-and-warn for low-confidence matches, block-and-quarantine for high-confidence matches, and full audit logging — to prevent unauthorized disclosure of regulated student data.</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DLP must cover application, email, endpoint, and SaaS egress channels</w:t>
      </w:r>
    </w:p>
    <w:p>
      <w:pPr>
        <w:pStyle w:val="ListParagraph"/>
        <w:numPr>
          <w:ilvl w:val="0"/>
          <w:numId w:val="1"/>
        </w:numPr>
        <w:spacing w:after="60" w:line="312"/>
        <w:ind w:left="720" w:hanging="360"/>
      </w:pPr>
      <w:r>
        <w:rPr>
          <w:rFonts w:ascii="Inter" w:eastAsia="Inter"/>
          <w:color w:val="1E293B"/>
          <w:sz w:val="22"/>
          <w:szCs w:val="22"/>
        </w:rPr>
        <w:t xml:space="preserve">PII patterns must include: SSN, Aadhaar, PAN, passport, student ID, email, phone, DOB, address</w:t>
      </w:r>
    </w:p>
    <w:p>
      <w:pPr>
        <w:pStyle w:val="ListParagraph"/>
        <w:numPr>
          <w:ilvl w:val="0"/>
          <w:numId w:val="1"/>
        </w:numPr>
        <w:spacing w:after="60" w:line="312"/>
        <w:ind w:left="720" w:hanging="360"/>
      </w:pPr>
      <w:r>
        <w:rPr>
          <w:rFonts w:ascii="Inter" w:eastAsia="Inter"/>
          <w:color w:val="1E293B"/>
          <w:sz w:val="22"/>
          <w:szCs w:val="22"/>
        </w:rPr>
        <w:t xml:space="preserve">Detect-and-warn for low-confidence matches (single PII instance in business context)</w:t>
      </w:r>
    </w:p>
    <w:p>
      <w:pPr>
        <w:pStyle w:val="ListParagraph"/>
        <w:numPr>
          <w:ilvl w:val="0"/>
          <w:numId w:val="1"/>
        </w:numPr>
        <w:spacing w:after="60" w:line="312"/>
        <w:ind w:left="720" w:hanging="360"/>
      </w:pPr>
      <w:r>
        <w:rPr>
          <w:rFonts w:ascii="Inter" w:eastAsia="Inter"/>
          <w:color w:val="1E293B"/>
          <w:sz w:val="22"/>
          <w:szCs w:val="22"/>
        </w:rPr>
        <w:t xml:space="preserve">Block-and-quarantine for high-confidence matches (bulk PII, clear data extracts)</w:t>
      </w:r>
    </w:p>
    <w:p>
      <w:pPr>
        <w:pStyle w:val="ListParagraph"/>
        <w:numPr>
          <w:ilvl w:val="0"/>
          <w:numId w:val="1"/>
        </w:numPr>
        <w:spacing w:after="60" w:line="312"/>
        <w:ind w:left="720" w:hanging="360"/>
      </w:pPr>
      <w:r>
        <w:rPr>
          <w:rFonts w:ascii="Inter" w:eastAsia="Inter"/>
          <w:color w:val="1E293B"/>
          <w:sz w:val="22"/>
          <w:szCs w:val="22"/>
        </w:rPr>
        <w:t xml:space="preserve">DLP findings must route to Splunk with full context (user, channel, PII type, action taken)</w:t>
      </w:r>
    </w:p>
    <w:p>
      <w:pPr>
        <w:pStyle w:val="ListParagraph"/>
        <w:numPr>
          <w:ilvl w:val="0"/>
          <w:numId w:val="1"/>
        </w:numPr>
        <w:spacing w:after="60" w:line="312"/>
        <w:ind w:left="720" w:hanging="360"/>
      </w:pPr>
      <w:r>
        <w:rPr>
          <w:rFonts w:ascii="Inter" w:eastAsia="Inter"/>
          <w:color w:val="1E293B"/>
          <w:sz w:val="22"/>
          <w:szCs w:val="22"/>
        </w:rPr>
        <w:t xml:space="preserve">High-severity findings must trigger Slack alert to #security-alerts within 5 minutes</w:t>
      </w:r>
    </w:p>
    <w:p>
      <w:pPr>
        <w:pStyle w:val="ListParagraph"/>
        <w:numPr>
          <w:ilvl w:val="0"/>
          <w:numId w:val="1"/>
        </w:numPr>
        <w:spacing w:after="60" w:line="312"/>
        <w:ind w:left="720" w:hanging="360"/>
      </w:pPr>
      <w:r>
        <w:rPr>
          <w:rFonts w:ascii="Inter" w:eastAsia="Inter"/>
          <w:color w:val="1E293B"/>
          <w:sz w:val="22"/>
          <w:szCs w:val="22"/>
        </w:rPr>
        <w:t xml:space="preserve">DLP must not block legitimate business communication (false-positive rate &lt;1%)</w:t>
      </w:r>
    </w:p>
    <w:p>
      <w:pPr>
        <w:pStyle w:val="ListParagraph"/>
        <w:numPr>
          <w:ilvl w:val="0"/>
          <w:numId w:val="1"/>
        </w:numPr>
        <w:spacing w:after="60" w:line="312"/>
        <w:ind w:left="720" w:hanging="360"/>
      </w:pPr>
      <w:r>
        <w:rPr>
          <w:rFonts w:ascii="Inter" w:eastAsia="Inter"/>
          <w:color w:val="1E293B"/>
          <w:sz w:val="22"/>
          <w:szCs w:val="22"/>
        </w:rPr>
        <w:t xml:space="preserve">Endpoint DLP must cover all managed MacBooks (Jamf Pro enrolled); BYOD is out of scope</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Google Workspace DLP covers &gt;= 95% of outbound email (PreOne uses Google Workspace)</w:t>
      </w:r>
    </w:p>
    <w:p>
      <w:pPr>
        <w:pStyle w:val="ListParagraph"/>
        <w:numPr>
          <w:ilvl w:val="0"/>
          <w:numId w:val="1"/>
        </w:numPr>
        <w:spacing w:after="60" w:line="312"/>
        <w:ind w:left="720" w:hanging="360"/>
      </w:pPr>
      <w:r>
        <w:rPr>
          <w:rFonts w:ascii="Inter" w:eastAsia="Inter"/>
          <w:color w:val="1E293B"/>
          <w:sz w:val="22"/>
          <w:szCs w:val="22"/>
        </w:rPr>
        <w:t xml:space="preserve">Jamf Pro configuration profiles can block USB mass storage and clipboard PII copy without disrupting legitimate use</w:t>
      </w:r>
    </w:p>
    <w:p>
      <w:pPr>
        <w:pStyle w:val="ListParagraph"/>
        <w:numPr>
          <w:ilvl w:val="0"/>
          <w:numId w:val="1"/>
        </w:numPr>
        <w:spacing w:after="60" w:line="312"/>
        <w:ind w:left="720" w:hanging="360"/>
      </w:pPr>
      <w:r>
        <w:rPr>
          <w:rFonts w:ascii="Inter" w:eastAsia="Inter"/>
          <w:color w:val="1E293B"/>
          <w:sz w:val="22"/>
          <w:szCs w:val="22"/>
        </w:rPr>
        <w:t xml:space="preserve">CASB integration with Slack, Notion, and Google Drive covers &gt;= 90% of sanctioned SaaS usage</w:t>
      </w:r>
    </w:p>
    <w:p>
      <w:pPr>
        <w:pStyle w:val="ListParagraph"/>
        <w:numPr>
          <w:ilvl w:val="0"/>
          <w:numId w:val="1"/>
        </w:numPr>
        <w:spacing w:after="60" w:line="312"/>
        <w:ind w:left="720" w:hanging="360"/>
      </w:pPr>
      <w:r>
        <w:rPr>
          <w:rFonts w:ascii="Inter" w:eastAsia="Inter"/>
          <w:color w:val="1E293B"/>
          <w:sz w:val="22"/>
          <w:szCs w:val="22"/>
        </w:rPr>
        <w:t xml:space="preserve">PII pattern detection (regex + ML) has &lt;1% false-positive rate for the defined patterns</w:t>
      </w:r>
    </w:p>
    <w:p>
      <w:pPr>
        <w:pStyle w:val="ListParagraph"/>
        <w:numPr>
          <w:ilvl w:val="0"/>
          <w:numId w:val="1"/>
        </w:numPr>
        <w:spacing w:after="60" w:line="312"/>
        <w:ind w:left="720" w:hanging="360"/>
      </w:pPr>
      <w:r>
        <w:rPr>
          <w:rFonts w:ascii="Inter" w:eastAsia="Inter"/>
          <w:color w:val="1E293B"/>
          <w:sz w:val="22"/>
          <w:szCs w:val="22"/>
        </w:rPr>
        <w:t xml:space="preserve">Employees will accept DLP 'detect and warn' alerts as constructive, not adversarial</w:t>
      </w:r>
    </w:p>
    <w:p>
      <w:pPr>
        <w:pStyle w:val="ListParagraph"/>
        <w:numPr>
          <w:ilvl w:val="0"/>
          <w:numId w:val="1"/>
        </w:numPr>
        <w:spacing w:after="60" w:line="312"/>
        <w:ind w:left="720" w:hanging="360"/>
      </w:pPr>
      <w:r>
        <w:rPr>
          <w:rFonts w:ascii="Inter" w:eastAsia="Inter"/>
          <w:color w:val="1E293B"/>
          <w:sz w:val="22"/>
          <w:szCs w:val="22"/>
        </w:rPr>
        <w:t xml:space="preserve">Network Firewall egress filtering (blocking unsanctioned SaaS) is enforceable on the corporate network</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Layered DLP: in-app + Google Workspace DLP (email) + Jamf Pro (endpoint) + CASB (SaaS) + Network Firewall (unsanctioned SaaS).</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Comprehensive coverage of all egress channels; each layer is best-of-breed; integrates with existing tooling (Google Workspace, Jamf, AWS Network Firewall); detect-and-warn balances security and productivity.</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Four DLP technologies to manage; potential for alert fatigue if false-positive rate exceeds 1%; CASB cost ($30K/year); requires dedicated DLP engineer (0.5 FTE).</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Adopted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Single-vendor DLP suite (e.g., Symantec, McAfee, Forcepoint) covering all channels.</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Single vendor; unified policy and reporting; one integration point.</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Symantec/McAfee DLP is heavy-weight (endpoint agent is intrusive); does not integrate well with Google Workspace (PreOne's email platform); cost ($100K+/year); legacy architecture (on-prem console); poor employee experience.</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Application-only DLP (in-app controls only; no email/endpoint/SaaS DLP).</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Lowest cost (in-app controls already exist per ADR-079); no new tooling.</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Misses email, endpoint, SaaS egress (the channels of the 2024 near-misses); fails the 2025 audit recommendation; unacceptable risk for a regulated education platform.</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Outsource DLP to a managed service (e.g., Zscaler, Netskope).</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Minimal internal effort; pre-built DLP policies; managed SLAs.</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Cost ($80K+/year); loss of control over policy tuning; Zscaler/Netskope are full SSE platforms (overkill for DLP-only); auditors prefer in-house DLP for regulated data.</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Adopt a layered DLP strategy with four egress controls. (1) In-app: field-level encryption (ADR-079), RBAC (ADR-063), audit logging (ADR-086) — existing controls. (2) Email: Google Workspace DLP scanning outbound email for PII patterns (SSN, Aadhaar, PAN, passport, student ID, bulk email/phone), with detect-and-warn for low-confidence matches and block-and-quarantine for high-confidence matches (10+ PII instances). (3) Endpoint: Jamf Pro configuration profiles on managed MacBooks blocking USB mass storage and clipboard copy of PII-classified fields (via Data Loss Prevention API on macOS). (4) SaaS: CASB (Microsoft Defender for Cloud Apps) monitoring Slack, Notion, and Google Drive for PII uploads, with detect-and-warn and block-quarantine parallel to email DLP. Unsancioned SaaS blocked at network layer (AWS Network Firewall egress filtering). DLP findings route to Splunk; high-severity findings trigger Slack alerts to #security-alerts within 5 minutes. A 0.5 FTE DLP engineer owns policy tuning and false-positive reduction.</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The layered approach was chosen because no single DLP technology covers all egress channels effectively. Google Workspace DLP is the best email DLP for PreOne (which uses Google Workspace) — native integration, no separate agent, accurate PII detection. Jamf Pro is the de facto standard for macOS endpoint management; its configuration profiles can block USB mass storage and (with the macOS Data Loss Prevention API, available in macOS 14+) clipboard copy of PII fields. Microsoft Defender for Cloud Apps (CASB) integrates with Slack, Notion, and Google Drive via APIs, monitoring file uploads for PII patterns. AWS Network Firewall blocks unsanctioned SaaS (personal Google Drive, Dropbox) at the network layer — defense-in-depth, since the CASB cannot monitor unsanctioned apps.
The single-vendor option (Symantec, McAfee) was rejected because the endpoint agents are intrusive (high CPU, frequent false positives on legitimate activity) and the email DLP does not integrate well with Google Workspace (Symantec expects on-prem Exchange or Microsoft 365). The cost ($100K+/year) is also significantly higher than the layered approach ($30K CASB + existing Google Workspace / Jamf licenses). The legacy architecture (on-prem console, manual policy updates) is incompatible with PreOne's API-driven operations.
The application-only option was rejected because the 2024 near-misses were email and SaaS egress, not application egress. The application's RBAC, encryption, and audit logging prevent most application-level egress (an attacker with stolen credentials cannot bulk-export student records without triggering audit alerts), but email and SaaS egress are not covered by application controls. A teacher with legitimate application access can email a report card; an engineer with legitimate production access can upload a data extract to Google Drive. Only email and SaaS DLP catch these channels.
The managed-service option (Zscaler, Netskope) was rejected because the SSE platforms are overkill for DLP-only (they include SWG, CASB, ZTNA, etc.); PreOne already has WAF (ADR-084), Shield (ADR-085), and CASB (this ADR) — adding Zsceler would duplicate controls. The cost ($80K+/year) and loss of policy-tuning control also disqualify it.
The detect-and-warn vs block-and-quarantine distinction is the critical UX decision. Detect-and-warn (for low-confidence matches — single PII instance in business context) shows the user a warning ('You are about to email a document containing an Aadhaar number. Are you sure?') and allows them to proceed with a logged reason. Block-and-quarantine (for high-confidence matches — 10+ PII instances, clear data extracts) blocks the email and quarantines it for security team review. This balances security (block clear data extracts) with productivity (allow legitimate communication containing single PII instances, like a teacher emailing a parent about their child). The threshold (10+ instances) was calibrated against historical email volume — the 2024 near-miss (emailed report card) would have been detect-and-warn (single student's PII), not block-quarantine; the 500-record extract (had it been emailed) would have been block-quarantine.
The 0.5 FTE DLP engineer is the operational backbone. DLP policies require continuous tuning — new PII patterns, false-positive reduction, new SaaS apps. Without a dedicated owner, DLP policies drift and become either too permissive (missing real incidents) or too restrictive (blocking legitimate work). The DLP engineer also triages high-severity findings (block-and-quarantine events), deciding whether to release the email/file or escalate to incident response (ADR-090).
The Splunk integration is the audit-evidence backbone. Every DLP finding — detect-and-warn, block-and-quarantine, false-positive dismissal — is logged to Splunk with full context (user, channel, PII type, action taken, dismissal reason). Auditors can query Splunk for 'all DLP findings in Q3 2026 involving Aadhaar numbers' and get a complete answer in seconds. This audit trail is the difference between a smooth compliance review and a multi-week evidence-gathering exercise.</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PreOne Layered DLP Architecture                        |
+------------------------------------------------------------------+
|                                                                  |
|  Egress Channels:                                                |
|                                                                  |
|  Channel 1: Application Egress                                   |
|  +-------------------+                                           |
|  | In-App Controls   |  - RBAC (ADR-063)                        |
|  | (existing)        |  - Field encryption (ADR-079)            |
|  +---------+---------+  - Audit logging (ADR-086)                |
|            |                                                     |
|            v                                                     |
|  +-------------------+                                           |
|  | Splunk            |  (DLP findings)                          |
|  +-------------------+                                           |
|                                                                  |
|  Channel 2: Email Egress                                         |
|  +-------------------+                                           |
|  | Google Workspace  |  - PII pattern scan                     |
|  | DLP               |  - detect-and-warn (1+ PII)              |
|  +---------+---------+  - block-quarantine (10+ PII)            |
|            |                                                     |
|            v                                                     |
|  +-------------------+                                           |
|  | Splunk            |                                           |
|  +-------------------+                                           |
|                                                                  |
|  Channel 3: Endpoint Egress                                      |
|  +-------------------+                                           |
|  | Jamf Pro          |  - USB mass storage block                |
|  | (managed MacBooks)|  - clipboard PII copy block              |
|  +---------+---------+                                           |
|            |                                                     |
|            v                                                     |
|  +-------------------+                                           |
|  | Splunk            |                                           |
|  +-------------------+                                           |
|                                                                  |
|  Channel 4: SaaS Egress                                          |
|  +-------------------+                                           |
|  | CASB              |  - Slack, Notion, Google Drive           |
|  | (MS Defender for  |  - PII upload scan                       |
|  |  Cloud Apps)      |  - detect-and-warn / block-quarantine    |
|  +---------+---------+                                           |
|            |                                                     |
|            v                                                     |
|  +-------------------+                                           |
|  | Splunk            |                                           |
|  +-------------------+                                           |
|                                                                  |
|  Network Layer:                                                  |
|  AWS Network Firewall blocks unsanctioned SaaS                  |
|                                                                  |
|  Alerts:                                                         |
|  High-severity -&gt; #security-alerts Slack (5-min SLA)             |
+------------------------------------------------------------------+</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Employee -&gt; Gmail: compose email with attachment
Gmail -&gt; Google Workspace DLP: scan outbound
Google Workspace DLP -&gt; DLP Engine: match PII patterns
alt no PII
  DLP Engine -&gt; Gmail: allow
  Gmail -&gt; Recipient: deliver
else low-confidence (1+ PII)
  DLP Engine -&gt; Employee: warn ('contains Aadhaar; send?')
  Employee -&gt; DLP Engine: confirm / cancel
  DLP Engine -&gt; Splunk: log (detect-and-warn)
  alt confirm
    Gmail -&gt; Recipient: deliver
  end
else high-confidence (10+ PII)
  DLP Engine -&gt; Gmail: block + quarantine
  DLP Engine -&gt; Security Team: review notification
  DLP Engine -&gt; Splunk: log (block-quarantine)
  Security Team -&gt; DLP Engine: release / escalate
end
Employee -&gt; Slack: upload file
Slack -&gt; CASB: scan (API integration)
CASB -&gt; DLP Engine: match PII
DLP Engine -&gt; Splunk: log
alt high-confidence
  DLP Engine -&gt; #security-alerts: Slack alert
  CASB -&gt; Slack: block upload
end</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ADR-089 — Data Loss Prevention  -  Component View     |
+-------------------------------------------------------------+
|                                                             |
|  Channel 1: Application Egress                              |
|  +----------------+        +----------------------+         |
|  | In-App Controls|  RBAC  | ADR-063/079/086      |         |
|  +----------------+        +----------------------+         |
|                                                             |
|  Channel 2: Email Egress                                    |
|  +----------------+        +----------------------+         |
|  | Google Workspace|  scan | DLP Engine (PII      |         |
|  | (outbound)     |-------&gt;|  patterns)           |         |
|  +----------------+        +----------+-----------+         |
|                                       | warn / block        |
|                                       v                     |
|  Channel 3: Endpoint Egress                                 |
|  +----------------+        +----------------------+         |
|  | Jamf Pro       |  block | USB + clipboard      |         |
|  +----------------+        +----------------------+         |
|                                                             |
|  Channel 4: SaaS Egress                                     |
|  +----------------+        +----------------------+         |
|  | CASB           |  scan  | Slack/Notion/Drive   |         |
|  +----------------+        +----------------------+         |
|                                                             |
|  All findings -&gt; Splunk -&gt; #security-alerts (high-sev)     |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Data Flow:
  Producer -&gt; App Service -&gt; Security Component -&gt; Audit
  Security Component -&gt; Splunk (logs)
  Security Component -&gt; Alert (if anomaly)
Read Flow:
  Consumer -&gt; App Service -&gt; Security Component -&gt; allow/deny</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DLP has minimal direct database impact. DLP findings are stored in Splunk (not Postgres). A materialised view (security.dlp_summary, from ADR-083) includes DLP finding counts for the security scorecard. The DLP engineer's policy configuration is stored in Git (compliance-dlp-policies repository). The CASB's API integration with Slack/Notion/Google Drive is read-only (the CASB monitors but does not modify business data). No business-schema changes are required.</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No public API changes. The admin API exposes GET /admin/dlp-findings with filters (channel, PII type, action, date range). The admin API is RBAC-controlled (admin or security role only). A separate endpoint (GET /admin/dlp-policies) surfaces the current DLP policy configuration for audit. The DLP engineer uses a CI/CD pipeline (GitHub Actions) to deploy policy changes from Git to Google Workspace, Jamf Pro, and CASB — no console-only changes.</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The UI surface for this ADR is minimal — the decision is primarily a security-layer concern. Where the decision affects the user experience, it is through indirect mechanisms (authentication flow, authorization visibility, performance, latency) rather than direct UI elements. The admin UI may include a read-only status page showing the relevant security configuration or health metrics for SRE visibility; end-user-facing changes are limited to incidental security or reliability improvements.</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DLP is a critical security control for a regulated-data platform. It provides: (1) PII egress detection across all channels; (2) block-and-quarantine for clear data extracts; (3) audit trail for compliance evidence; (4) just-in-time employee education via detect-and-warn alerts. The 2025 audit cited DLP as a priority-2 gap; this ADR closes the gap. The 2024 near-misses (emailed report card, Google Drive upload) would have been caught by DLP — the estimated cost-avoidance is $200K per prevented incident.</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DLP has minimal performance impact. Email DLP adds &lt;1 second to outbound email delivery (Google Workspace's native DLP is highly optimised). Endpoint DLP (USB block, clipboard monitoring) adds negligible CPU (&lt;1% on managed MacBooks). SaaS DLP (CASB API integration) does not affect application performance (the CASB queries Slack/Notion/Google Drive APIs asynchronously). The Splunk integration is asynchronous and does not affect egress latency. No customer-visible performance impact.</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DLP scales linearly with employee count and egress volume. At 200 employees (current), Google Workspace DLP handles 5K outbound emails/day with no performance impact. Jamf Pro scales to 10K+ managed MacBooks (PreOne's projected 2028 headcount is 400). CASB scales with SaaS usage (Slack messages, Notion pages, Google Drive uploads); the current volume (50K events/day) is well within CASB capacity. The 0.5 FTE DLP engineer is sufficient through 500 employees; beyond that, a second DLP engineer may be needed for policy tuning. Splunk ingestion (2GB/day DLP findings) is well within the Splunk license.</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The 0.5 FTE DLP engineer owns the DLP program. The engineer's responsibilities: (a) policy tuning (weekly review of top false positives); (b) high-severity finding triage (block-and-quarantine events, 5-minute SLA for review); (c) new PII pattern onboarding (as new data types are added); (d) quarterly DLP effectiveness review (finding trends, false-positive rate, employee training opportunities). The engineer monitors a #dlp-alerts Slack channel where high-severity findings post automatically. The monthly security scorecard tracks: (a) DLP finding count by channel and severity; (b) false-positive rate (target: &lt;1%); (c) block-and-quarantine review time (target: &lt;5 minutes); (d) employee training opportunities (recurring detect-and-warn recipients).</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False-positive block-and-quarantine disrupts legitimate business communication</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5-minute review SLA; one-click release with logged reason; weekly false-positive review and policy tuning</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DLP agent (Jamf Pro configuration profile) causes endpoint performance issues</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Profile tested in pilot group before fleet-wide rollout; Jamf Pro's native performance monitoring; rollback within 1 hour via Jamf Pro console</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CASB API integration with SaaS apps breaks (SaaS API change)</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CASB vendor (Microsoft) maintains API integration; weekly integration-health check; fallback to SaaS-native audit logging (Slack audit logs, Notion admin logs)</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Employee bypasses DLP (e.g., screenshots PII, photos screen with phone)</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Detect-and-warn for screenshots (macOS DLP API); accept residual risk for phone-photos (unenforceable); employee training on DLP rationale; audit trail detects unusual access patterns</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New egress channel not covered (e.g., new SaaS app adopted without DLP onboarding)</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SaaS adoption policy requires DLP onboarding; quarterly SaaS inventory review; unsanctioned SaaS blocked at network layer</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Comprehensive coverage across all egress channels</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Four DLP technologies to manage (operational complexity)</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Detect-and-warn balances security with productivity</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Some false-positive alerts (target &lt;1%)</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Block-and-quarantine for clear data extracts</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5-minute review SLA requires on-call DLP engineer</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Splunk audit trail for compliance evidence</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Splunk ingestion cost (~$1K/month for DLP findings)</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Just-in-time employee education via alerts</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Alert fatigue if false-positive rate exceeds 1%</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The single-vendor DLP suite (Symantec, McAfee) was piloted in Q4 2025. The pilot found the endpoint agent consumed 8% CPU on managed MacBooks (vs &lt;1% for Jamf Pro configuration profiles), and the email DLP required a separate mail relay (incompatible with Google Workspace native email). The cost ($100K+/year) was 3x the layered approach. The application-only option was rejected because the 2024 near-misses were email and SaaS egress, not application egress — in-app controls would not have caught them. The managed-service option (Zscaler, Netskope) was rejected because the SSE platforms duplicate existing controls (WAF, Shield, CASB) at higher cost. The layered approach was the only option that satisfied all requirements: comprehensive coverage, low operational burden, acceptable cost, and minimal employee friction.</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Phase 1 (Q4 2025, complete): In-app controls verified (ADR-079 encryption, ADR-086 audit). Phase 2 (Q1 2026, complete): Google Workspace DLP deployed with initial PII patterns (SSN, Aadhaar, PAN, passport). Phase 3 (Q1 2026, complete): Jamf Pro configuration profiles deployed to pilot group (50 MacBooks); 2-week pilot, no performance issues. Phase 4 (Q2 2026, complete): Jamf Pro profiles deployed to all managed MacBooks. Phase 5 (Q2 2026, complete): CASB (Microsoft Defender for Cloud Apps) integrated with Slack, Notion, Google Drive. Phase 6 (Q3 2026, complete): AWS Network Firewall egress filtering for unsanctioned SaaS. Phase 7 (ongoing): DLP policy tuning (weekly); new PII pattern onboarding (as needed).</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DLP is tested via synthetic PII egress. Each DLP layer has a test scenario: (1) Email DLP: send a test email containing synthetic Aadhaar numbers (clearly marked as test data) and verify detect-and-warn or block-and-quarantine triggers. (2) Endpoint DLP: attempt to copy a synthetic PII file to USB and verify block. (3) SaaS DLP: upload a synthetic PII file to Slack and verify CASB detection. The synthetic tests run weekly and catch policy regressions (e.g., a pattern update that stops matching Aadhaar numbers). Quarterly, the DLP engineer performs a manual review of 10 random findings per channel to verify accuracy. Annually, a red-team exercise (ADR-087) tests DLP bypass attempts.</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Splunk dashboards track: (a) DLP findings per week by channel and severity; (b) false-positive rate per channel (target: &lt;1%); (c) block-and-quarantine review time (target: &lt;5 minutes); (d) detect-and-warn recipient trends (recurring recipients indicate training opportunity); (e) policy effectiveness (findings caught per policy rule). Anomalies (e.g., a 10x spike in block-and-quarantine events) trigger Slack alerts to #dlp-alerts. The DLP dashboard (admin/operations/security/dlp) provides a real-time view for the DLP engineer and the Security Engineering Lead.</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Three evolutions are likely. First, DLP may be extended to cover AI/ML egress (e.g., employees pasting PII into ChatGPT or other LLMs) — currently blocked at the network layer, but finer-grained controls (e.g., browser extension that warns on PII paste) may be added. Second, DLP may adopt ML-based PII detection (beyond regex patterns) for unstructured data — useful for free-text fields that contain PII without matching a pattern. Third, DLP may be exposed to customers (tenants) via a self-service 'data egress report' API, enabling schools to audit their own data egress — gated on customer demand.</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ADR-043 — Tenant Isolation (in-app DLP complements tenant isolation)</w:t>
      </w:r>
    </w:p>
    <w:p>
      <w:pPr>
        <w:pStyle w:val="ListParagraph"/>
        <w:numPr>
          <w:ilvl w:val="0"/>
          <w:numId w:val="1"/>
        </w:numPr>
        <w:spacing w:after="60" w:line="312"/>
        <w:ind w:left="720" w:hanging="360"/>
      </w:pPr>
      <w:r>
        <w:rPr>
          <w:rFonts w:ascii="Inter" w:eastAsia="Inter"/>
          <w:color w:val="1E293B"/>
          <w:sz w:val="22"/>
          <w:szCs w:val="22"/>
        </w:rPr>
        <w:t xml:space="preserve">ADR-063 — Authorization (RBAC is the first layer of in-app DLP)</w:t>
      </w:r>
    </w:p>
    <w:p>
      <w:pPr>
        <w:pStyle w:val="ListParagraph"/>
        <w:numPr>
          <w:ilvl w:val="0"/>
          <w:numId w:val="1"/>
        </w:numPr>
        <w:spacing w:after="60" w:line="312"/>
        <w:ind w:left="720" w:hanging="360"/>
      </w:pPr>
      <w:r>
        <w:rPr>
          <w:rFonts w:ascii="Inter" w:eastAsia="Inter"/>
          <w:color w:val="1E293B"/>
          <w:sz w:val="22"/>
          <w:szCs w:val="22"/>
        </w:rPr>
        <w:t xml:space="preserve">ADR-077 — Encryption (encryption-at-rest reduces DLP incident impact)</w:t>
      </w:r>
    </w:p>
    <w:p>
      <w:pPr>
        <w:pStyle w:val="ListParagraph"/>
        <w:numPr>
          <w:ilvl w:val="0"/>
          <w:numId w:val="1"/>
        </w:numPr>
        <w:spacing w:after="60" w:line="312"/>
        <w:ind w:left="720" w:hanging="360"/>
      </w:pPr>
      <w:r>
        <w:rPr>
          <w:rFonts w:ascii="Inter" w:eastAsia="Inter"/>
          <w:color w:val="1E293B"/>
          <w:sz w:val="22"/>
          <w:szCs w:val="22"/>
        </w:rPr>
        <w:t xml:space="preserve">ADR-079 — PII Protection (field-level encryption is in-app DLP)</w:t>
      </w:r>
    </w:p>
    <w:p>
      <w:pPr>
        <w:pStyle w:val="ListParagraph"/>
        <w:numPr>
          <w:ilvl w:val="0"/>
          <w:numId w:val="1"/>
        </w:numPr>
        <w:spacing w:after="60" w:line="312"/>
        <w:ind w:left="720" w:hanging="360"/>
      </w:pPr>
      <w:r>
        <w:rPr>
          <w:rFonts w:ascii="Inter" w:eastAsia="Inter"/>
          <w:color w:val="1E293B"/>
          <w:sz w:val="22"/>
          <w:szCs w:val="22"/>
        </w:rPr>
        <w:t xml:space="preserve">ADR-080 — Rate Limiting (network-layer DLP via egress filtering)</w:t>
      </w:r>
    </w:p>
    <w:p>
      <w:pPr>
        <w:pStyle w:val="ListParagraph"/>
        <w:numPr>
          <w:ilvl w:val="0"/>
          <w:numId w:val="1"/>
        </w:numPr>
        <w:spacing w:after="60" w:line="312"/>
        <w:ind w:left="720" w:hanging="360"/>
      </w:pPr>
      <w:r>
        <w:rPr>
          <w:rFonts w:ascii="Inter" w:eastAsia="Inter"/>
          <w:color w:val="1E293B"/>
          <w:sz w:val="22"/>
          <w:szCs w:val="22"/>
        </w:rPr>
        <w:t xml:space="preserve">ADR-083 — Vulnerability Management (DLP findings feed the unified findings registry)</w:t>
      </w:r>
    </w:p>
    <w:p>
      <w:pPr>
        <w:pStyle w:val="ListParagraph"/>
        <w:numPr>
          <w:ilvl w:val="0"/>
          <w:numId w:val="1"/>
        </w:numPr>
        <w:spacing w:after="60" w:line="312"/>
        <w:ind w:left="720" w:hanging="360"/>
      </w:pPr>
      <w:r>
        <w:rPr>
          <w:rFonts w:ascii="Inter" w:eastAsia="Inter"/>
          <w:color w:val="1E293B"/>
          <w:sz w:val="22"/>
          <w:szCs w:val="22"/>
        </w:rPr>
        <w:t xml:space="preserve">ADR-086 — Audit Trail (DLP findings logged to audit trail)</w:t>
      </w:r>
    </w:p>
    <w:p>
      <w:pPr>
        <w:pStyle w:val="ListParagraph"/>
        <w:numPr>
          <w:ilvl w:val="0"/>
          <w:numId w:val="1"/>
        </w:numPr>
        <w:spacing w:after="60" w:line="312"/>
        <w:ind w:left="720" w:hanging="360"/>
      </w:pPr>
      <w:r>
        <w:rPr>
          <w:rFonts w:ascii="Inter" w:eastAsia="Inter"/>
          <w:color w:val="1E293B"/>
          <w:sz w:val="22"/>
          <w:szCs w:val="22"/>
        </w:rPr>
        <w:t xml:space="preserve">ADR-087 — Penetration Testing Program (pentests include DLP bypass attempts)</w:t>
      </w:r>
    </w:p>
    <w:p>
      <w:pPr>
        <w:pStyle w:val="ListParagraph"/>
        <w:numPr>
          <w:ilvl w:val="0"/>
          <w:numId w:val="1"/>
        </w:numPr>
        <w:spacing w:after="60" w:line="312"/>
        <w:ind w:left="720" w:hanging="360"/>
      </w:pPr>
      <w:r>
        <w:rPr>
          <w:rFonts w:ascii="Inter" w:eastAsia="Inter"/>
          <w:color w:val="1E293B"/>
          <w:sz w:val="22"/>
          <w:szCs w:val="22"/>
        </w:rPr>
        <w:t xml:space="preserve">ADR-088 — Compliance Framework (DLP is a required control for FERPA/GDPR/DPDP/COPPA)</w:t>
      </w:r>
    </w:p>
    <w:p>
      <w:pPr>
        <w:pStyle w:val="ListParagraph"/>
        <w:numPr>
          <w:ilvl w:val="0"/>
          <w:numId w:val="1"/>
        </w:numPr>
        <w:spacing w:after="60" w:line="312"/>
        <w:ind w:left="720" w:hanging="360"/>
      </w:pPr>
      <w:r>
        <w:rPr>
          <w:rFonts w:ascii="Inter" w:eastAsia="Inter"/>
          <w:color w:val="1E293B"/>
          <w:sz w:val="22"/>
          <w:szCs w:val="22"/>
        </w:rPr>
        <w:t xml:space="preserve">ADR-090 — Incident Response (DLP high-severity findings may trigger IR)</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Upstream PRD: PRD-007 (Security Requirements — DLP section)</w:t>
      </w:r>
    </w:p>
    <w:p>
      <w:pPr>
        <w:pStyle w:val="ListParagraph"/>
        <w:numPr>
          <w:ilvl w:val="0"/>
          <w:numId w:val="1"/>
        </w:numPr>
        <w:spacing w:after="60" w:line="312"/>
        <w:ind w:left="720" w:hanging="360"/>
      </w:pPr>
      <w:r>
        <w:rPr>
          <w:rFonts w:ascii="Inter" w:eastAsia="Inter"/>
          <w:color w:val="1E293B"/>
          <w:sz w:val="22"/>
          <w:szCs w:val="22"/>
        </w:rPr>
        <w:t xml:space="preserve">Downstream ERD: ERD-089 (security.dlp_summary materialised view)</w:t>
      </w:r>
    </w:p>
    <w:p>
      <w:pPr>
        <w:pStyle w:val="ListParagraph"/>
        <w:numPr>
          <w:ilvl w:val="0"/>
          <w:numId w:val="1"/>
        </w:numPr>
        <w:spacing w:after="60" w:line="312"/>
        <w:ind w:left="720" w:hanging="360"/>
      </w:pPr>
      <w:r>
        <w:rPr>
          <w:rFonts w:ascii="Inter" w:eastAsia="Inter"/>
          <w:color w:val="1E293B"/>
          <w:sz w:val="22"/>
          <w:szCs w:val="22"/>
        </w:rPr>
        <w:t xml:space="preserve">Downstream API Spec: API-089 (internal DLP dashboard endpoints)</w:t>
      </w:r>
    </w:p>
    <w:p>
      <w:pPr>
        <w:pStyle w:val="ListParagraph"/>
        <w:numPr>
          <w:ilvl w:val="0"/>
          <w:numId w:val="1"/>
        </w:numPr>
        <w:spacing w:after="60" w:line="312"/>
        <w:ind w:left="720" w:hanging="360"/>
      </w:pPr>
      <w:r>
        <w:rPr>
          <w:rFonts w:ascii="Inter" w:eastAsia="Inter"/>
          <w:color w:val="1E293B"/>
          <w:sz w:val="22"/>
          <w:szCs w:val="22"/>
        </w:rPr>
        <w:t xml:space="preserve">Downstream Test Cases: TC-089 (synthetic PII egress tests per channel)</w:t>
      </w:r>
    </w:p>
    <w:p>
      <w:pPr>
        <w:pStyle w:val="ListParagraph"/>
        <w:numPr>
          <w:ilvl w:val="0"/>
          <w:numId w:val="1"/>
        </w:numPr>
        <w:spacing w:after="60" w:line="312"/>
        <w:ind w:left="720" w:hanging="360"/>
      </w:pPr>
      <w:r>
        <w:rPr>
          <w:rFonts w:ascii="Inter" w:eastAsia="Inter"/>
          <w:color w:val="1E293B"/>
          <w:sz w:val="22"/>
          <w:szCs w:val="22"/>
        </w:rPr>
        <w:t xml:space="preserve">External: Google Workspace DLP Documentation</w:t>
      </w:r>
    </w:p>
    <w:p>
      <w:pPr>
        <w:pStyle w:val="ListParagraph"/>
        <w:numPr>
          <w:ilvl w:val="0"/>
          <w:numId w:val="1"/>
        </w:numPr>
        <w:spacing w:after="60" w:line="312"/>
        <w:ind w:left="720" w:hanging="360"/>
      </w:pPr>
      <w:r>
        <w:rPr>
          <w:rFonts w:ascii="Inter" w:eastAsia="Inter"/>
          <w:color w:val="1E293B"/>
          <w:sz w:val="22"/>
          <w:szCs w:val="22"/>
        </w:rPr>
        <w:t xml:space="preserve">External: Jamf Pro Data Loss Prevention Documentation</w:t>
      </w:r>
    </w:p>
    <w:p>
      <w:pPr>
        <w:pStyle w:val="ListParagraph"/>
        <w:numPr>
          <w:ilvl w:val="0"/>
          <w:numId w:val="1"/>
        </w:numPr>
        <w:spacing w:after="60" w:line="312"/>
        <w:ind w:left="720" w:hanging="360"/>
      </w:pPr>
      <w:r>
        <w:rPr>
          <w:rFonts w:ascii="Inter" w:eastAsia="Inter"/>
          <w:color w:val="1E293B"/>
          <w:sz w:val="22"/>
          <w:szCs w:val="22"/>
        </w:rPr>
        <w:t xml:space="preserve">External: Microsoft Defender for Cloud Apps Documentation</w:t>
      </w:r>
    </w:p>
    <w:p>
      <w:pPr>
        <w:pStyle w:val="ListParagraph"/>
        <w:numPr>
          <w:ilvl w:val="0"/>
          <w:numId w:val="1"/>
        </w:numPr>
        <w:spacing w:after="60" w:line="312"/>
        <w:ind w:left="720" w:hanging="360"/>
      </w:pPr>
      <w:r>
        <w:rPr>
          <w:rFonts w:ascii="Inter" w:eastAsia="Inter"/>
          <w:color w:val="1E293B"/>
          <w:sz w:val="22"/>
          <w:szCs w:val="22"/>
        </w:rPr>
        <w:t xml:space="preserve">External: NIST SP 800-137 (Information Security Continuous Monitoring)</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2025-10-25</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Security Engineering Lead</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options enumerated; consultation with security and engineering teams</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2025-12-11</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Security Engineering Lead</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Architecture Review Board after cross-team review</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2026-01-08</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published to architecture repository</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2026-07-15</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cross-references to Vol 1-3 ADRs added; 34-section template applied</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Chief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Security Engineering Lead</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ARB Chair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2026-01-08</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ADR published to architecture repository (Done)</w:t>
      </w:r>
    </w:p>
    <w:p>
      <w:pPr>
        <w:pStyle w:val="ListParagraph"/>
        <w:numPr>
          <w:ilvl w:val="0"/>
          <w:numId w:val="1"/>
        </w:numPr>
        <w:spacing w:after="60" w:line="312"/>
        <w:ind w:left="720" w:hanging="360"/>
      </w:pPr>
      <w:r>
        <w:rPr>
          <w:rFonts w:ascii="Inter" w:eastAsia="Inter"/>
          <w:color w:val="1E293B"/>
          <w:sz w:val="22"/>
          <w:szCs w:val="22"/>
        </w:rPr>
        <w:t xml:space="preserve">Cross-references to upstream/downstream artefacts added (Done)</w:t>
      </w:r>
    </w:p>
    <w:p>
      <w:pPr>
        <w:pStyle w:val="ListParagraph"/>
        <w:numPr>
          <w:ilvl w:val="0"/>
          <w:numId w:val="1"/>
        </w:numPr>
        <w:spacing w:after="60" w:line="312"/>
        <w:ind w:left="720" w:hanging="360"/>
      </w:pPr>
      <w:r>
        <w:rPr>
          <w:rFonts w:ascii="Inter" w:eastAsia="Inter"/>
          <w:color w:val="1E293B"/>
          <w:sz w:val="22"/>
          <w:szCs w:val="22"/>
        </w:rPr>
        <w:t xml:space="preserve">Security team briefed in monthly architecture sync (Done)</w:t>
      </w:r>
    </w:p>
    <w:p>
      <w:pPr>
        <w:pStyle w:val="ListParagraph"/>
        <w:numPr>
          <w:ilvl w:val="0"/>
          <w:numId w:val="1"/>
        </w:numPr>
        <w:spacing w:after="60" w:line="312"/>
        <w:ind w:left="720" w:hanging="360"/>
      </w:pPr>
      <w:r>
        <w:rPr>
          <w:rFonts w:ascii="Inter" w:eastAsia="Inter"/>
          <w:color w:val="1E293B"/>
          <w:sz w:val="22"/>
          <w:szCs w:val="22"/>
        </w:rPr>
        <w:t xml:space="preserve">Code review checklist updated to enforce this ADR (Done)</w:t>
      </w:r>
    </w:p>
    <w:p>
      <w:pPr>
        <w:pStyle w:val="ListParagraph"/>
        <w:numPr>
          <w:ilvl w:val="0"/>
          <w:numId w:val="1"/>
        </w:numPr>
        <w:spacing w:after="60" w:line="312"/>
        <w:ind w:left="720" w:hanging="360"/>
      </w:pPr>
      <w:r>
        <w:rPr>
          <w:rFonts w:ascii="Inter" w:eastAsia="Inter"/>
          <w:color w:val="1E293B"/>
          <w:sz w:val="22"/>
          <w:szCs w:val="22"/>
        </w:rPr>
        <w:t xml:space="preserve">On-call runbook updated with operational procedures (Done)</w:t>
      </w:r>
    </w:p>
    <w:p>
      <w:pPr>
        <w:spacing w:after="60" w:before="360" w:line="280"/>
      </w:pPr>
      <w:r>
        <w:rPr>
          <w:rFonts w:ascii="Inter" w:eastAsia="Inter"/>
          <w:b/>
          <w:bCs/>
          <w:color w:val="4F46E5"/>
          <w:spacing w:val="60"/>
          <w:sz w:val="22"/>
          <w:szCs w:val="22"/>
        </w:rPr>
        <w:t xml:space="preserve">ADR-090</w:t>
      </w:r>
    </w:p>
    <w:p>
      <w:pPr>
        <w:pStyle w:val="Heading1"/>
        <w:spacing w:after="200" w:before="60" w:line="312"/>
      </w:pPr>
      <w:r>
        <w:rPr>
          <w:rFonts w:ascii="Inter" w:eastAsia="Inter"/>
          <w:b/>
          <w:bCs/>
          <w:color w:val="0F172A"/>
          <w:sz w:val="36"/>
          <w:szCs w:val="36"/>
        </w:rPr>
        <w:t xml:space="preserve">Incident Response</w:t>
      </w:r>
    </w:p>
    <w:p>
      <w:pPr>
        <w:spacing w:after="120" w:line="280"/>
      </w:pPr>
      <w:r>
        <w:rPr>
          <w:rFonts w:ascii="Inter" w:eastAsia="Inter"/>
          <w:color w:val="64748B"/>
          <w:sz w:val="20"/>
          <w:szCs w:val="20"/>
        </w:rPr>
        <w:t xml:space="preserve">Volume 4 — Security Architecture  -  </w:t>
      </w:r>
      <w:r>
        <w:rPr>
          <w:rFonts w:ascii="Inter" w:eastAsia="Inter"/>
          <w:color w:val="64748B"/>
          <w:sz w:val="20"/>
          <w:szCs w:val="20"/>
        </w:rPr>
        <w:t xml:space="preserve">Identity &amp; Security</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Adopt a NIST SP 800-61-aligned Incident Response plan with 4 phases (Preparation, Detection &amp; Analysis, Containment Eradication &amp; Recovery, Post-Incident Activity). The plan defines 4 severity levels (SEV-1 critical, SEV-2 high, SEV-3 medium, SEV-4 low) with escalation matrices, response SLAs (SEV-1: 15-minute ack, 1-hour containment; SEV-2: 1-hour ack, 4-hour containment), and a dedicated Incident Commander role. The plan is tested via quarterly tabletop exercises and an annual full-scale simulation. All incidents are logged in a Splunk-backed incident registry; post-mortems are published within 5 business days. Regulatory notification timelines (GDPR 72hr, DPDP 72hr, FERPA 24hr) are enforced via automated alerts.</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2026-01-15</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Security Engineering Lead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review, or on regulatory update, or after each major incident</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refreshes for series alignment and cross-references)</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PreOne processes regulated student data across multiple jurisdictions. A security incident (data breach, unauthorized access, service outage) triggers regulatory notification obligations with strict timelines: GDPR requires notification to the supervisory authority within 72 hours of becoming aware; DPDP requires notification to the Data Protection Board within 72 hours; FERPA requires 'reasonable' notification (interpreted by PreOne's counsel as 24 hours to affected individuals). Missing these timelines triggers regulatory fines (GDPR: up to 4% of global revenue; DPDP: up to INR 250 crore).
The legacy platform had an ad-hoc incident response process: the on-call engineer would page the Security Engineering Lead, who would assemble a team ad-hoc. The 2024 Google Drive upload incident (from ADR-089) took 4 hours to acknowledge and 12 hours to contain — well within regulatory timelines, but the ad-hoc process produced no post-mortem, no remediation tracking, and no lessons-learned dissemination. The 2025 audit cited IR as a 'mature but undocumented' area and recommended formalisation per NIST SP 800-61.
PreOne's threat model identifies the most likely incident types as: (1) unauthorized data access (insider threat or compromised credentials); (2) data exfiltration (DLP bypass); (3) ransomware / destructive attack; (4) availability attack (DDoS, misconfiguration); (5) third-party breach (vendor compromise). Each type has a specific response playbook. The IR plan must cover all 5 types with role clarity, communication templates, and regulatory-notification workflows.
The IR plan is operated by a rotating Incident Commander role (filled by senior engineers trained in IR) with the Security Engineering Lead as escalation. The plan is tested quarterly via tabletop exercises (1-hour scenario discussions) and annually via a full-scale simulation (4-hour live exercise with simulated attack, containment, and post-mortem). Testing is critical because an untested plan degrades rapidly — engineers forget roles, runbooks drift from reality, and tooling changes break workflows.</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The primary driver is regulatory compliance. GDPR, DPDP, and FERPA all require incident response capabilities with documented plans and notification timelines. The IR plan is the canonical evidence for compliance audits (ADR-088); its absence would be a compliance finding. The 2025 audit recommended IR formalisation as a priority-1 control.
A secondary driver is incident-cost reduction. The 2024 Google Drive incident cost $50K (engineering time, customer communication, audit); a formal IR plan with automated workflows would have reduced this to $15K. Industry research (IBM Cost of a Data Breach Report 2025) shows that organisations with formal IR plans and testing have 50% lower breach costs than those without.
A tertiary driver is customer trust. Enterprise customers (state university systems) require an IR plan as a procurement gate; the plan is documented in the customer-facing security whitepaper. Post-incident, customers expect timely notification (per contractual SLAs) and a post-mortem — the IR plan ensures consistent delivery.
A quaternary driver is employee confidence. Engineers who know there is a tested IR plan are more likely to report incidents early (rather than hide them out of fear), reducing time-to-detection. The 2024 incident was reported by the engineer who uploaded the data — an example of healthy incident-reporting culture that the IR plan reinforces.</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PreOne requires a formal Incident Response plan aligned with NIST SP 800-61 that defines severity levels, escalation matrices, response SLAs, role clarity (Incident Commander), playbooks per incident type, regulatory-notification workflows (GDPR 72hr, DPDP 72hr, FERPA 24hr), and is tested via quarterly tabletop exercises and annual full-scale simulation.</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Plan must align with NIST SP 800-61 (4 phases: Preparation, Detection &amp; Analysis, Containment/Eradication/Recovery, Post-Incident Activity)</w:t>
      </w:r>
    </w:p>
    <w:p>
      <w:pPr>
        <w:pStyle w:val="ListParagraph"/>
        <w:numPr>
          <w:ilvl w:val="0"/>
          <w:numId w:val="1"/>
        </w:numPr>
        <w:spacing w:after="60" w:line="312"/>
        <w:ind w:left="720" w:hanging="360"/>
      </w:pPr>
      <w:r>
        <w:rPr>
          <w:rFonts w:ascii="Inter" w:eastAsia="Inter"/>
          <w:color w:val="1E293B"/>
          <w:sz w:val="22"/>
          <w:szCs w:val="22"/>
        </w:rPr>
        <w:t xml:space="preserve">4 severity levels (SEV-1 to SEV-4) with documented escalation matrices</w:t>
      </w:r>
    </w:p>
    <w:p>
      <w:pPr>
        <w:pStyle w:val="ListParagraph"/>
        <w:numPr>
          <w:ilvl w:val="0"/>
          <w:numId w:val="1"/>
        </w:numPr>
        <w:spacing w:after="60" w:line="312"/>
        <w:ind w:left="720" w:hanging="360"/>
      </w:pPr>
      <w:r>
        <w:rPr>
          <w:rFonts w:ascii="Inter" w:eastAsia="Inter"/>
          <w:color w:val="1E293B"/>
          <w:sz w:val="22"/>
          <w:szCs w:val="22"/>
        </w:rPr>
        <w:t xml:space="preserve">Response SLAs: SEV-1 ack 15min, containment 1hr; SEV-2 ack 1hr, containment 4hr; SEV-3 ack 4hr, containment 24hr; SEV-4 ack 1 business day</w:t>
      </w:r>
    </w:p>
    <w:p>
      <w:pPr>
        <w:pStyle w:val="ListParagraph"/>
        <w:numPr>
          <w:ilvl w:val="0"/>
          <w:numId w:val="1"/>
        </w:numPr>
        <w:spacing w:after="60" w:line="312"/>
        <w:ind w:left="720" w:hanging="360"/>
      </w:pPr>
      <w:r>
        <w:rPr>
          <w:rFonts w:ascii="Inter" w:eastAsia="Inter"/>
          <w:color w:val="1E293B"/>
          <w:sz w:val="22"/>
          <w:szCs w:val="22"/>
        </w:rPr>
        <w:t xml:space="preserve">Incident Commander role (rotating senior engineer); Security Engineering Lead as escalation</w:t>
      </w:r>
    </w:p>
    <w:p>
      <w:pPr>
        <w:pStyle w:val="ListParagraph"/>
        <w:numPr>
          <w:ilvl w:val="0"/>
          <w:numId w:val="1"/>
        </w:numPr>
        <w:spacing w:after="60" w:line="312"/>
        <w:ind w:left="720" w:hanging="360"/>
      </w:pPr>
      <w:r>
        <w:rPr>
          <w:rFonts w:ascii="Inter" w:eastAsia="Inter"/>
          <w:color w:val="1E293B"/>
          <w:sz w:val="22"/>
          <w:szCs w:val="22"/>
        </w:rPr>
        <w:t xml:space="preserve">Playbooks for 5 incident types: unauthorized access, data exfiltration, ransomware, availability attack, third-party breach</w:t>
      </w:r>
    </w:p>
    <w:p>
      <w:pPr>
        <w:pStyle w:val="ListParagraph"/>
        <w:numPr>
          <w:ilvl w:val="0"/>
          <w:numId w:val="1"/>
        </w:numPr>
        <w:spacing w:after="60" w:line="312"/>
        <w:ind w:left="720" w:hanging="360"/>
      </w:pPr>
      <w:r>
        <w:rPr>
          <w:rFonts w:ascii="Inter" w:eastAsia="Inter"/>
          <w:color w:val="1E293B"/>
          <w:sz w:val="22"/>
          <w:szCs w:val="22"/>
        </w:rPr>
        <w:t xml:space="preserve">Regulatory notification: GDPR 72hr, DPDP 72hr, FERPA 24hr (automated alerts at 50% and 90% of deadline)</w:t>
      </w:r>
    </w:p>
    <w:p>
      <w:pPr>
        <w:pStyle w:val="ListParagraph"/>
        <w:numPr>
          <w:ilvl w:val="0"/>
          <w:numId w:val="1"/>
        </w:numPr>
        <w:spacing w:after="60" w:line="312"/>
        <w:ind w:left="720" w:hanging="360"/>
      </w:pPr>
      <w:r>
        <w:rPr>
          <w:rFonts w:ascii="Inter" w:eastAsia="Inter"/>
          <w:color w:val="1E293B"/>
          <w:sz w:val="22"/>
          <w:szCs w:val="22"/>
        </w:rPr>
        <w:t xml:space="preserve">Post-mortem published within 5 business days of incident closure</w:t>
      </w:r>
    </w:p>
    <w:p>
      <w:pPr>
        <w:pStyle w:val="ListParagraph"/>
        <w:numPr>
          <w:ilvl w:val="0"/>
          <w:numId w:val="1"/>
        </w:numPr>
        <w:spacing w:after="60" w:line="312"/>
        <w:ind w:left="720" w:hanging="360"/>
      </w:pPr>
      <w:r>
        <w:rPr>
          <w:rFonts w:ascii="Inter" w:eastAsia="Inter"/>
          <w:color w:val="1E293B"/>
          <w:sz w:val="22"/>
          <w:szCs w:val="22"/>
        </w:rPr>
        <w:t xml:space="preserve">Quarterly tabletop exercise (1hr); annual full-scale simulation (4hr)</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NIST SP 800-61 is the appropriate framework (industry-standard; auditor-recognised)</w:t>
      </w:r>
    </w:p>
    <w:p>
      <w:pPr>
        <w:pStyle w:val="ListParagraph"/>
        <w:numPr>
          <w:ilvl w:val="0"/>
          <w:numId w:val="1"/>
        </w:numPr>
        <w:spacing w:after="60" w:line="312"/>
        <w:ind w:left="720" w:hanging="360"/>
      </w:pPr>
      <w:r>
        <w:rPr>
          <w:rFonts w:ascii="Inter" w:eastAsia="Inter"/>
          <w:color w:val="1E293B"/>
          <w:sz w:val="22"/>
          <w:szCs w:val="22"/>
        </w:rPr>
        <w:t xml:space="preserve">Senior engineers can fill the Incident Commander role with 4 hours of training</w:t>
      </w:r>
    </w:p>
    <w:p>
      <w:pPr>
        <w:pStyle w:val="ListParagraph"/>
        <w:numPr>
          <w:ilvl w:val="0"/>
          <w:numId w:val="1"/>
        </w:numPr>
        <w:spacing w:after="60" w:line="312"/>
        <w:ind w:left="720" w:hanging="360"/>
      </w:pPr>
      <w:r>
        <w:rPr>
          <w:rFonts w:ascii="Inter" w:eastAsia="Inter"/>
          <w:color w:val="1E293B"/>
          <w:sz w:val="22"/>
          <w:szCs w:val="22"/>
        </w:rPr>
        <w:t xml:space="preserve">Quarterly tabletop + annual simulation is sufficient to maintain readiness</w:t>
      </w:r>
    </w:p>
    <w:p>
      <w:pPr>
        <w:pStyle w:val="ListParagraph"/>
        <w:numPr>
          <w:ilvl w:val="0"/>
          <w:numId w:val="1"/>
        </w:numPr>
        <w:spacing w:after="60" w:line="312"/>
        <w:ind w:left="720" w:hanging="360"/>
      </w:pPr>
      <w:r>
        <w:rPr>
          <w:rFonts w:ascii="Inter" w:eastAsia="Inter"/>
          <w:color w:val="1E293B"/>
          <w:sz w:val="22"/>
          <w:szCs w:val="22"/>
        </w:rPr>
        <w:t xml:space="preserve">Splunk can serve as the incident registry (single source of truth for all incidents)</w:t>
      </w:r>
    </w:p>
    <w:p>
      <w:pPr>
        <w:pStyle w:val="ListParagraph"/>
        <w:numPr>
          <w:ilvl w:val="0"/>
          <w:numId w:val="1"/>
        </w:numPr>
        <w:spacing w:after="60" w:line="312"/>
        <w:ind w:left="720" w:hanging="360"/>
      </w:pPr>
      <w:r>
        <w:rPr>
          <w:rFonts w:ascii="Inter" w:eastAsia="Inter"/>
          <w:color w:val="1E293B"/>
          <w:sz w:val="22"/>
          <w:szCs w:val="22"/>
        </w:rPr>
        <w:t xml:space="preserve">Regulatory notification timelines will remain stable (GDPR 72hr, DPDP 72hr, FERPA 24hr)</w:t>
      </w:r>
    </w:p>
    <w:p>
      <w:pPr>
        <w:pStyle w:val="ListParagraph"/>
        <w:numPr>
          <w:ilvl w:val="0"/>
          <w:numId w:val="1"/>
        </w:numPr>
        <w:spacing w:after="60" w:line="312"/>
        <w:ind w:left="720" w:hanging="360"/>
      </w:pPr>
      <w:r>
        <w:rPr>
          <w:rFonts w:ascii="Inter" w:eastAsia="Inter"/>
          <w:color w:val="1E293B"/>
          <w:sz w:val="22"/>
          <w:szCs w:val="22"/>
        </w:rPr>
        <w:t xml:space="preserve">Post-mortems will be published transparently (no blame-game culture)</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NIST SP 800-61-aligned IR plan with 4 severity levels, dedicated Incident Commander role, quarterly tabletop + annual simulation.</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Industry-standard framework; auditor-recognised; tested via exercises; role clarity; automated regulatory-notification alerts; transparent post-mortems.</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Requires 4 hours of training per senior engineer (Incident Commander qualification); quarterly tabletop consumes 1 engineering-hour per senior engineer; annual simulation consumes 4 engineering-hours per participant.</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Adopted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ISO 27035-aligned IR plan (international standard for incident management).</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International standard; aligns with ISO 27001 certification (ADR-088).</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Less prescriptive than NIST SP 800-61 (no severity-level SLAs); less recognised in the US (where PreOne's primary market is); training materials less available.</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Outsource IR to a managed service (e.g., Mandiant, CrowdStrike).</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Expert IR team on-demand; no internal training required; vendor SLAs.</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Cost ($100K+/year retainer + $50K per incident); loss of internal IR capability; vendor may not be available during a major incident (industry-wide); internal team lacks IR skills (organisational risk).</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Continue ad-hoc IR (no formal plan).</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Zero upfront cost; no training overhead.</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Fails regulatory compliance (FERPA, GDPR, DPDP require documented IR); 2025 audit explicitly rejected this; ad-hoc process produced no post-mortem for the 2024 incident (lessons lost); customer procurement failure.</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Adopt a NIST SP 800-61-aligned Incident Response plan with 4 phases (Preparation, Detection &amp; Analysis, Containment/Eradication/Recovery, Post-Incident Activity) and 4 severity levels (SEV-1 critical, SEV-2 high, SEV-3 medium, SEV-4 low). The plan defines an Incident Commander role (rotating senior engineers with 4 hours of IR training; Security Engineering Lead as escalation) with documented escalation matrices. Response SLAs: SEV-1 ack 15min/containment 1hr; SEV-2 ack 1hr/containment 4hr; SEV-3 ack 4hr/containment 24hr; SEV-4 ack 1 business day. Playbooks exist for 5 incident types: unauthorized access, data exfiltration, ransomware, availability attack, third-party breach. Regulatory notification timelines (GDPR 72hr, DPDP 72hr, FERPA 24hr) are enforced via automated Splunk alerts at 50% and 90% of deadline. All incidents logged in Splunk-backed incident registry; post-mortems published within 5 business days. Quarterly tabletop exercise (1hr); annual full-scale simulation (4hr).</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NIST SP 800-61 was chosen as the framework because it is the industry standard for IT incident response, recognised by US auditors (FERPA, COPPA) and accepted internationally (GDPR, DPDP). The 4-phase structure (Preparation, Detection &amp; Analysis, Containment/Eradication/Recovery, Post-Incident Activity) is intuitive and maps cleanly to PreOne's incident lifecycle. The framework is prescriptive enough to guide action but flexible enough to adapt to PreOne's specific needs.
ISO 27035 was considered for alignment with the ISO 27001 certification (ADR-088). However, ISO 27035 is less prescriptive than NIST SP 800-61 (no severity-level SLAs, no role definitions) and less recognised in the US market. The NIST framework is sufficient for ISO 27001 audit purposes (the ISO 27001 auditor accepts NIST SP 800-61 as a 'recognized incident management framework').
The managed-service option (Mandiant, CrowdStrike) was attractive for expertise on-demand but was rejected for three reasons. First, cost: the retainer ($100K+/year) plus per-incident fees ($50K) exceed the cost of building internal capability (4 hours of training per senior engineer × 10 engineers = 40 hours = ~$4K). Second, availability: during a major industry-wide incident (e.g., SolarWinds), managed services are overwhelmed and may not be available. Third, organisational risk: outsourcing IR means the internal team never develops IR skills, creating a permanent dependency. PreOne retains a Mandiant retainer for catastrophic incidents (SEV-1 with unclear scope) as a backup, but the primary IR capability is internal.
The ad-hoc option was the legacy process and was documented in the 2025 audit as inadequate. The 2024 Google Drive incident produced no post-mortem, no remediation tracking, and no lessons-learned — the same mistake could be repeated. The audit recommended formalisation as a priority-1 control.
The 4 severity levels were calibrated against industry benchmarks (Google SRE Book, AWS Incident Response). SEV-1 (critical) is a customer-impacting outage or confirmed data breach; SEV-2 (high) is a likely data breach or severe degradation; SEV-3 (medium) is a contained incident with limited impact; SEV-4 (low) is a near-miss or policy violation with no impact. The SLAs (SEV-1 ack 15min, containment 1hr) are aggressive but achievable — the 2024 incident was acknowledged in 4 hours and contained in 12 hours (SEV-2); the new SLA would have required 1-hour ack and 4-hour containment, forcing faster escalation.
The Incident Commander role is the critical design choice. Without a single accountable commander, incidents devolve into committee discussions. The IC is a rotating role (weekly rotation) filled by senior engineers who have completed 4 hours of IR training (NIST SP 800-61 fundamentals, PreOne-specific playbooks, communication templates). The IC's authority during an incident is absolute — they can override normal change-management to contain the incident (e.g., disable a compromised account, block an IP). The Security Engineering Lead is the escalation for SEV-1 incidents or when the IC needs guidance.
The playbooks per incident type are the operational backbone. Each playbook is a runbook (in Notion) with: (1) detection signals (Splunk queries, alert thresholds); (2) initial triage steps (verify the signal, assess scope); (3) containment actions (specific steps per incident type); (4) eradication steps (root-cause removal); (5) recovery steps (restore service, verify integrity); (6) communication templates (internal, customer, regulatory). The playbooks are reviewed annually and updated after each incident based on lessons learned.
The regulatory-notification workflows are automated via Splunk. When an incident is declared with a 'data breach' or 'unauthorized access' classification, Splunk starts timers for GDPR (72hr), DPDP (72hr), and FERPA (24hr). Alerts fire at 50% (36hr/36hr/12hr) and 90% (64hr/64hr/21hr) of each deadline, ensuring the Compliance Operations team (ADR-088) has time to prepare and submit notifications. The notifications themselves are manual (drafted by Compliance Ops, approved by Legal, submitted by the CTO) but the deadline tracking is automated.
The quarterly tabletop exercise is the readiness backbone. Each exercise simulates a specific incident type (rotating through the 5 types over 5 quarters). The exercise is a 1-hour discussion: the facilitator presents a scenario ('a DLP alert fired: 500 student records uploaded to a personal Google Drive'), and the IC walks through the response (detection, triage, containment, communication). The exercise surfaces gaps (e.g., 'who is the GDPR notification contact during Indian business hours?') that are remediated before a real incident. The annual full-scale simulation is a 4-hour live exercise with a simulated attack (red-team), real containment (blue-team), and real post-mortem — the closest thing to a real incident without the impact.
The post-mortem culture is the cultural backbone. Post-mortems are published within 5 business days of incident closure, are blameless (focus on systemic causes, not individual mistakes), and are shared company-wide. The 2024 Google Drive incident's post-mortem (the first under the new plan) identified 3 systemic causes (no DLP, no production-data-access approval, no engineer training on data sensitivity) and drove the ADRs for DLP (ADR-089) and this ADR. The blameless culture encourages engineers to report incidents early (rather than hide them), reducing time-to-detection.</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PreOne Incident Response Plan                          |
+------------------------------------------------------------------+
|                                                                  |
|  NIST SP 800-61 4 Phases:                                        |
|  +-------------------+                                           |
|  | 1. Preparation    |  - playbooks, training, tooling            |
|  +---------+---------+  - quarterly tabletop, annual simulation |
|            |                                                     |
|            v                                                     |
|  +-------------------+                                           |
|  | 2. Detection &amp;    |  - Splunk alerts (SIEM)                  |
|  |    Analysis       |  - DLP findings (ADR-089)                |
|  +---------+---------+  - Audit trail anomalies (ADR-086)        |
|            |                                                     |
|            v                                                     |
|  +-------------------+                                           |
|  | 3. Containment,   |  - Incident Commander leads              |
|  |    Eradication,   |  - playbooks per incident type           |
|  |    Recovery       |  - automated regulatory timers           |
|  +---------+---------+                                           |
|            |                                                     |
|            v                                                     |
|  +-------------------+                                           |
|  | 4. Post-Incident  |  - post-mortem within 5 business days    |
|  |    Activity       |  - remediation tracking in Jira          |
|  +---------+---------+  - lessons-learned dissemination          |
|            |                                                     |
|            v                                                     |
|  +-------------------+                                           |
|  | Splunk Incident   |  (single source of truth)                |
|  | Registry          |                                           |
|  +---------+---------+                                           |
|                                                                  |
|  Severity Levels:                                                |
|  SEV-1 (critical): ack 15min, contain 1hr (page IC + SecEng Lead)|
|  SEV-2 (high):     ack 1hr,  contain 4hr (page IC)               |
|  SEV-3 (medium):   ack 4hr,  contain 24hr (Slack IC)             |
|  SEV-4 (low):      ack 1 business day (ticket IC)                |
|                                                                  |
|  Regulatory Timers (auto-started for data-breach incidents):     |
|  GDPR: 72hr  | DPDP: 72hr  | FERPA: 24hr                         |
|  Alerts at 50% and 90% of each deadline                          |
|                                                                  |
|  Testing:                                                        |
|  Quarterly tabletop (1hr, rotating scenario)                    |
|  Annual full-scale simulation (4hr, live red-team + blue-team)  |
+------------------------------------------------------------------+</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Detection Source -&gt; Splunk: alert (e.g., DLP block-quarantine)
Splunk -&gt; PagerDuty: page on-call IC (severity-based)
IC -&gt; Splunk: acknowledge incident (start SLA timer)
IC -&gt; Slack: open #incident-X channel
IC -&gt; Playbook: lookup (incident type)
Note over IC, Playbook: IC follows playbook steps
IC -&gt; Containment Actions:
  - disable compromised account
  - block malicious IP (WAF)
  - revoke OAuth tokens
  - snapshot affected systems
alt data-breach indicator
  Splunk -&gt; Compliance Ops: start regulatory timers
  Splunk -&gt; Compliance Ops: alert at 50% deadline
  Splunk -&gt; Compliance Ops: alert at 90% deadline
  Compliance Ops -&gt; Legal: draft notification
  Legal -&gt; CTO: approve notification
  CTO -&gt; Regulator: submit notification (within deadline)
end
IC -&gt; Recovery:
  - restore from backup if needed
  - verify integrity
  - monitor for recurrence
IC -&gt; Closure: declare incident closed
IC -&gt; Post-Mortem Author: assign (within 5 business days)
Post-Mortem Author -&gt; All-Company: publish (blameless)
Post-Mortem -&gt; Jira: remediation tickets</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ADR-090 — Incident Response  -  Component View        |
+-------------------------------------------------------------+
|                                                             |
|  NIST SP 800-61 4 Phases:                                   |
|  +----------------+        +----------------------+         |
|  | 1. Preparation |  train  | IC roster +          |         |
|  |                |-------&gt;| playbooks +           |         |
|  +----------------+        | tooling               |         |
|                              +----------------------+         |
|                                                             |
|  +----------------+        +----------------------+         |
|  | 2. Detection &amp; |  alert  | Splunk (SIEM) +      |         |
|  |    Analysis    |-------&gt;| DLP (ADR-089) +       |         |
|  +----------------+        | Audit (ADR-086)       |         |
|                              +----------------------+         |
|                                                             |
|  +----------------+        +----------------------+         |
|  | 3. Containment |  lead   | Incident Commander   |         |
|  |    + Recovery  |-------&gt;| + Playbook            |         |
|  +----------------+        | + Regulatory Timers   |         |
|                              +----------------------+         |
|                                                             |
|  +----------------+        +----------------------+         |
|  | 4. Post-Incid. |  publish| Post-mortem (5 days) |         |
|  |    Activity    |-------&gt;| + Jira remediation    |         |
|  +----------------+        +----------------------+         |
|                                                             |
|  Severity: SEV-1 (15min/1hr) SEV-2 (1hr/4hr) SEV-3 SEV-4   |
|  Testing: quarterly tabletop + annual simulation           |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Incident Detection Flow:
  Splunk Alert / DLP / Audit -&gt; PagerDuty: page IC (severity-based)
  PagerDuty -&gt; IC: notification (15min ack SLA for SEV-1)
  IC -&gt; Splunk: acknowledge + open #incident-X Slack channel
Containment Flow:
  IC -&gt; Playbook: lookup (incident type)
  IC -&gt; Containment Actions:
    - disable compromised account
    - block IP (WAF)
    - revoke OAuth tokens
    - snapshot affected systems
Regulatory Notification Flow (data-breach incidents):
  Splunk -&gt; Compliance Ops: start timers (GDPR 72h / DPDP 72h / FERPA 24h)
  Splunk -&gt; Compliance Ops: alert at 50% deadline
  Splunk -&gt; Compliance Ops: alert at 90% deadline
  Compliance Ops -&gt; Legal: draft notification
  Legal -&gt; CTO: approve
  CTO -&gt; Regulator: submit (within deadline)
Post-Incident Flow:
  IC -&gt; Closure: declare incident closed
  Post-Mortem Author -&gt; All-Company: publish (5 business days, blameless)
  Post-Mortem -&gt; Jira: remediation tickets (30-day SLA)</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IR has no direct database impact. Incidents are logged in Splunk (not Postgres). A materialised view (security.incidents_summary) in Postgres includes incident counts and SLA compliance for the security scorecard, populated by a Splunk-to-Postgres ETL job. During a containment action, the IC may freeze specific data (e.g., prevent writes to a compromised tenant's tables) via Postgres RLS policy updates — a documented runbook step for the 'unauthorized access' playbook. No schema changes are required for this ADR.</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No public API changes. During a SEV-1 incident, the API may return elevated error rates or a maintenance page (per the DDoS runbook, ADR-085). The status page (status.preone.com) is updated within 15 minutes of SEV-1 declaration with the estimated impact and resolution time. Post-incident, the status page is updated with a post-mortem summary within 48 hours. The admin API exposes GET /admin/incidents (RBAC-controlled: admin or security role) for incident tracking and metrics.</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Incident Response surfaces in the UI during an incident as the status page (status.preone.com), updated within 15 minutes of SEV-1 declaration. The status page shows incident severity, affected components, estimated resolution time, and updates every 30 minutes during the incident. Post-incident, the status page displays a post-mortem summary within 48 hours. The admin UI includes an 'Incidents' dashboard (admin/operations/security/incidents, accessible to Security Engineering) showing incident history, SLA compliance, and post-mortem publication status. For internal users, a Slack bot posts incident declarations and closures to #incidents, keeping the engineering team informed.</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The IR plan is the meta-control that ensures all other security controls' failures are detected, contained, and learned from. It provides: (1) documented response procedures (no ad-hoc decisions under pressure); (2) role clarity (Incident Commander has authority); (3) regulatory compliance (automated notification timers); (4) organisational learning (blameless post-mortems). The 2025 audit cited IR formalisation as priority-1; this ADR closes the gap. The 2024 Google Drive incident would have had a post-mortem and remediation under the new plan; the lack of post-mortem in 2024 was a direct cause of the 2025 audit finding.</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IR has no performance impact on production. During an incident, containment actions (e.g., disabling an account, blocking an IP) may briefly affect specific users but are necessary for incident containment. The Splunk alerting pipeline has sub-minute latency for SEV-1 detection. The quarterly tabletop and annual simulation are conducted in staging or off-hours; no production impact. The post-mortem process is asynchronous (5 business days) and does not affect ongoing operations.</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The IR plan scales with incident volume. At 10-20 incidents/year (current), the rotating IC role (10 senior engineers × 4 hours training = 40 hours upfront + 1 hour/quarter tabletop + 4 hours/year simulation per IC) is sustainable. At 50+ incidents/year (projected 2028), a dedicated IR manager may be needed. The Splunk incident registry scales to any volume. The playbooks are version-controlled in Git and updated annually. The regulatory timers scale with regulation count (currently 3: GDPR, DPDP, FERPA; extensible to new regulations per ADR-088).</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The Security Engineering Lead owns the IR plan. The IC rotation (weekly) is managed by the Security Engineering team. The team coordinates: (a) IC training (4-hour course, quarterly refreshers); (b) tabletop exercise facilitation (quarterly, rotating scenario); (c) annual full-scale simulation (red-team + blue-team); (d) post-mortem review (within 5 business days of each incident); (e) remediation tracking (Jira tickets with 30-day SLA for post-mortem action items). The team monitors a #incidents Slack channel where new incidents post automatically. The monthly security scorecard tracks: (a) incident count by severity and type; (b) SLA compliance rate (ack time, containment time); (c) post-mortem publication rate (target: 100% within 5 business days); (d) remediation ticket closure rate (target: 90% within 30 days); (e) tabletop and simulation completion.</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SEV-1 incident occurs during IC handoff (rotation gap)</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Outgoing IC briefs incoming IC every Monday; 'IC on-call' PagerDuty schedule has 30-minute overlap; Security Engineering Lead is always secondary on-call</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Tabletop exercise reveals runbook gaps that are not remediated</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Exercise outputs tracked as Jira tickets with 30-day SLA; CTO reviews open tickets quarterly; exercise repeated until gaps closed</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Post-mortem culture degrades into blame-game</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Blameless post-mortem training for all ICs; CTO reinforces culture in all-hands; post-mortems reviewed by Security Engineering Lead before publication; blame-language flagged and rewritten</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Regulatory notification missed (deadline exceeded)</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Automated Splunk timers at 50% and 90%; Compliance Ops on-call for SEV-1 incidents; Legal pre-approved templates for common notification types; backup notification submitter if CTO unavailable</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Incident volume exceeds IC rotation capacity</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IC rotation expanded to 15 senior engineers (currently 10); dedicated IR manager budgeted for 2028 if volume exceeds 30 incidents/year</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Formal IR plan with documented procedures</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4 hours of training per senior engineer (upfront)</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Role clarity (Incident Commander authority)</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IC rotation overhead (weekly handoff, 30-min overlap)</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Automated regulatory notification timers</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Splunk configuration maintenance</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Tested via quarterly tabletop + annual simulation</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1 hour/quarter + 4 hours/year per IC</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Blameless post-mortem culture</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Cultural discipline required (CTO reinforcement)</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ISO 27035 was considered for alignment with the ISO 27001 certification (ADR-088) but was rejected as less prescriptive (no severity-level SLAs, no role definitions) and less recognised in the US market. The managed-service option (Mandiant, CrowdStrike) was rejected for cost ($100K+/year retainer), availability risk during industry-wide incidents, and organisational risk (outsourcing IR creates permanent dependency). PreOne retains a Mandiant retainer as backup for catastrophic incidents. The ad-hoc option was the legacy process, documented in the 2025 audit as inadequate (no post-mortem for the 2024 incident, no remediation tracking, no lessons-learned). The NIST SP 800-61-aligned plan was the only option that satisfied all requirements: prescriptive framework, role clarity, regulatory compliance, tested readiness, and organisational learning.</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Phase 1 (Q4 2025, complete): IR plan documented in Notion (4 phases, 4 severity levels, 5 playbooks). Phase 2 (Q1 2026, complete): 10 senior engineers completed IC training (4 hours each). Phase 3 (Q1 2026, complete): Splunk incident registry deployed with automated regulatory timers. Phase 4 (Q1 2026, complete): First quarterly tabletop exercise conducted (scenario: data exfiltration via email); 3 runbook gaps identified and remediated. Phase 5 (Q2 2026, complete): First annual full-scale simulation conducted (4-hour live exercise); simulation report published. Phase 6 (Q2 2026, complete): Blameless post-mortem training delivered to all ICs. Phase 7 (ongoing): Quarterly tabletop, annual simulation, post-mortem per incident.</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The IR plan is tested via three mechanisms. (1) Quarterly tabletop exercise: 1-hour scenario discussion, rotating through the 5 incident types over 5 quarters. The exercise is facilitated by the Security Engineering Lead and attended by the rotating IC roster. Outputs: runbook gaps (Jira tickets, 30-day SLA), IC readiness assessment. (2) Annual full-scale simulation: 4-hour live exercise with simulated red-team attack, real blue-team containment, and real post-mortem. The simulation is observed by the CTO and an external consultant (Bishop Fox, $15K). Outputs: end-to-end readiness assessment, regulatory-notification workflow validation. (3) Real incidents: every real incident is a test of the plan. Post-mortems identify what worked and what did not; runbook updates are tracked as Jira tickets. The plan is reviewed annually based on tabletop, simulation, and real-incident learnings.</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Splunk dashboards track: (a) incident count by severity, type, and quarter; (b) SLA compliance rate (ack time, containment time) by severity; (c) post-mortem publication rate (target: 100% within 5 business days); (d) remediation ticket closure rate (target: 90% within 30 days); (e) tabletop and simulation completion; (f) regulatory-notification timeliness (target: 100% within deadline). Anomalies (e.g., a 10x spike in SEV-2 incidents) trigger Slack alerts to #security-alerts. The IR dashboard (admin/operations/security/incidents) provides a real-time view for the Security Engineering team and the ARB. Annual report: the Security Engineering Lead presents the IR plan summary to the ARB and CTO each January, including incident trends, SLA compliance, and lessons learned.</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Three evolutions are likely. First, the IR plan may adopt AI-assisted incident detection (e.g., Splunk ML-based anomaly detection) to reduce detection time for novel attack patterns. Second, the plan may integrate with a dedicated IR platform (e.g., PagerDuty Incident Response, Jira Service Management) for more structured workflow — currently the plan uses Splunk + Slack + Jira, which is functional but not purpose-built. Third, the plan may be extended to cover AI-specific incidents (e.g., AI model compromise, training-data poisoning) as the AI roadmap (ADR-148) matures — gated on the first AI incident type that the current playbooks do not cover.</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ADR-002 — Modular Monolith Strategy (IR plan covers the monolith's incidents)</w:t>
      </w:r>
    </w:p>
    <w:p>
      <w:pPr>
        <w:pStyle w:val="ListParagraph"/>
        <w:numPr>
          <w:ilvl w:val="0"/>
          <w:numId w:val="1"/>
        </w:numPr>
        <w:spacing w:after="60" w:line="312"/>
        <w:ind w:left="720" w:hanging="360"/>
      </w:pPr>
      <w:r>
        <w:rPr>
          <w:rFonts w:ascii="Inter" w:eastAsia="Inter"/>
          <w:color w:val="1E293B"/>
          <w:sz w:val="22"/>
          <w:szCs w:val="22"/>
        </w:rPr>
        <w:t xml:space="preserve">ADR-041 — PostgreSQL Strategy (backup/restore is critical to IR recovery phase)</w:t>
      </w:r>
    </w:p>
    <w:p>
      <w:pPr>
        <w:pStyle w:val="ListParagraph"/>
        <w:numPr>
          <w:ilvl w:val="0"/>
          <w:numId w:val="1"/>
        </w:numPr>
        <w:spacing w:after="60" w:line="312"/>
        <w:ind w:left="720" w:hanging="360"/>
      </w:pPr>
      <w:r>
        <w:rPr>
          <w:rFonts w:ascii="Inter" w:eastAsia="Inter"/>
          <w:color w:val="1E293B"/>
          <w:sz w:val="22"/>
          <w:szCs w:val="22"/>
        </w:rPr>
        <w:t xml:space="preserve">ADR-055 — Backup Strategy (backups enable recovery in IR)</w:t>
      </w:r>
    </w:p>
    <w:p>
      <w:pPr>
        <w:pStyle w:val="ListParagraph"/>
        <w:numPr>
          <w:ilvl w:val="0"/>
          <w:numId w:val="1"/>
        </w:numPr>
        <w:spacing w:after="60" w:line="312"/>
        <w:ind w:left="720" w:hanging="360"/>
      </w:pPr>
      <w:r>
        <w:rPr>
          <w:rFonts w:ascii="Inter" w:eastAsia="Inter"/>
          <w:color w:val="1E293B"/>
          <w:sz w:val="22"/>
          <w:szCs w:val="22"/>
        </w:rPr>
        <w:t xml:space="preserve">ADR-056 — Restore Strategy (restore is the recovery mechanism in IR)</w:t>
      </w:r>
    </w:p>
    <w:p>
      <w:pPr>
        <w:pStyle w:val="ListParagraph"/>
        <w:numPr>
          <w:ilvl w:val="0"/>
          <w:numId w:val="1"/>
        </w:numPr>
        <w:spacing w:after="60" w:line="312"/>
        <w:ind w:left="720" w:hanging="360"/>
      </w:pPr>
      <w:r>
        <w:rPr>
          <w:rFonts w:ascii="Inter" w:eastAsia="Inter"/>
          <w:color w:val="1E293B"/>
          <w:sz w:val="22"/>
          <w:szCs w:val="22"/>
        </w:rPr>
        <w:t xml:space="preserve">ADR-080 — Rate Limiting (rate-limiting containment action in IR playbooks)</w:t>
      </w:r>
    </w:p>
    <w:p>
      <w:pPr>
        <w:pStyle w:val="ListParagraph"/>
        <w:numPr>
          <w:ilvl w:val="0"/>
          <w:numId w:val="1"/>
        </w:numPr>
        <w:spacing w:after="60" w:line="312"/>
        <w:ind w:left="720" w:hanging="360"/>
      </w:pPr>
      <w:r>
        <w:rPr>
          <w:rFonts w:ascii="Inter" w:eastAsia="Inter"/>
          <w:color w:val="1E293B"/>
          <w:sz w:val="22"/>
          <w:szCs w:val="22"/>
        </w:rPr>
        <w:t xml:space="preserve">ADR-083 — Vulnerability Management (vuln-mgmt findings may trigger IR)</w:t>
      </w:r>
    </w:p>
    <w:p>
      <w:pPr>
        <w:pStyle w:val="ListParagraph"/>
        <w:numPr>
          <w:ilvl w:val="0"/>
          <w:numId w:val="1"/>
        </w:numPr>
        <w:spacing w:after="60" w:line="312"/>
        <w:ind w:left="720" w:hanging="360"/>
      </w:pPr>
      <w:r>
        <w:rPr>
          <w:rFonts w:ascii="Inter" w:eastAsia="Inter"/>
          <w:color w:val="1E293B"/>
          <w:sz w:val="22"/>
          <w:szCs w:val="22"/>
        </w:rPr>
        <w:t xml:space="preserve">ADR-084 — Web Application Firewall (WAF containment action in IR playbooks)</w:t>
      </w:r>
    </w:p>
    <w:p>
      <w:pPr>
        <w:pStyle w:val="ListParagraph"/>
        <w:numPr>
          <w:ilvl w:val="0"/>
          <w:numId w:val="1"/>
        </w:numPr>
        <w:spacing w:after="60" w:line="312"/>
        <w:ind w:left="720" w:hanging="360"/>
      </w:pPr>
      <w:r>
        <w:rPr>
          <w:rFonts w:ascii="Inter" w:eastAsia="Inter"/>
          <w:color w:val="1E293B"/>
          <w:sz w:val="22"/>
          <w:szCs w:val="22"/>
        </w:rPr>
        <w:t xml:space="preserve">ADR-085 — DDoS Protection (DDoS incidents follow the availability-attack playbook)</w:t>
      </w:r>
    </w:p>
    <w:p>
      <w:pPr>
        <w:pStyle w:val="ListParagraph"/>
        <w:numPr>
          <w:ilvl w:val="0"/>
          <w:numId w:val="1"/>
        </w:numPr>
        <w:spacing w:after="60" w:line="312"/>
        <w:ind w:left="720" w:hanging="360"/>
      </w:pPr>
      <w:r>
        <w:rPr>
          <w:rFonts w:ascii="Inter" w:eastAsia="Inter"/>
          <w:color w:val="1E293B"/>
          <w:sz w:val="22"/>
          <w:szCs w:val="22"/>
        </w:rPr>
        <w:t xml:space="preserve">ADR-086 — Audit Trail (audit trail is primary evidence in IR analysis phase)</w:t>
      </w:r>
    </w:p>
    <w:p>
      <w:pPr>
        <w:pStyle w:val="ListParagraph"/>
        <w:numPr>
          <w:ilvl w:val="0"/>
          <w:numId w:val="1"/>
        </w:numPr>
        <w:spacing w:after="60" w:line="312"/>
        <w:ind w:left="720" w:hanging="360"/>
      </w:pPr>
      <w:r>
        <w:rPr>
          <w:rFonts w:ascii="Inter" w:eastAsia="Inter"/>
          <w:color w:val="1E293B"/>
          <w:sz w:val="22"/>
          <w:szCs w:val="22"/>
        </w:rPr>
        <w:t xml:space="preserve">ADR-087 — Penetration Testing Program (pentest findings may trigger IR)</w:t>
      </w:r>
    </w:p>
    <w:p>
      <w:pPr>
        <w:pStyle w:val="ListParagraph"/>
        <w:numPr>
          <w:ilvl w:val="0"/>
          <w:numId w:val="1"/>
        </w:numPr>
        <w:spacing w:after="60" w:line="312"/>
        <w:ind w:left="720" w:hanging="360"/>
      </w:pPr>
      <w:r>
        <w:rPr>
          <w:rFonts w:ascii="Inter" w:eastAsia="Inter"/>
          <w:color w:val="1E293B"/>
          <w:sz w:val="22"/>
          <w:szCs w:val="22"/>
        </w:rPr>
        <w:t xml:space="preserve">ADR-088 — Compliance Framework (IR plan is a required control; regulatory notifications)</w:t>
      </w:r>
    </w:p>
    <w:p>
      <w:pPr>
        <w:pStyle w:val="ListParagraph"/>
        <w:numPr>
          <w:ilvl w:val="0"/>
          <w:numId w:val="1"/>
        </w:numPr>
        <w:spacing w:after="60" w:line="312"/>
        <w:ind w:left="720" w:hanging="360"/>
      </w:pPr>
      <w:r>
        <w:rPr>
          <w:rFonts w:ascii="Inter" w:eastAsia="Inter"/>
          <w:color w:val="1E293B"/>
          <w:sz w:val="22"/>
          <w:szCs w:val="22"/>
        </w:rPr>
        <w:t xml:space="preserve">ADR-089 — Data Loss Prevention (DLP findings may trigger IR)</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Upstream PRD: PRD-007 (Security Requirements — incident response section)</w:t>
      </w:r>
    </w:p>
    <w:p>
      <w:pPr>
        <w:pStyle w:val="ListParagraph"/>
        <w:numPr>
          <w:ilvl w:val="0"/>
          <w:numId w:val="1"/>
        </w:numPr>
        <w:spacing w:after="60" w:line="312"/>
        <w:ind w:left="720" w:hanging="360"/>
      </w:pPr>
      <w:r>
        <w:rPr>
          <w:rFonts w:ascii="Inter" w:eastAsia="Inter"/>
          <w:color w:val="1E293B"/>
          <w:sz w:val="22"/>
          <w:szCs w:val="22"/>
        </w:rPr>
        <w:t xml:space="preserve">Downstream ERD: ERD-090 (security.incidents_summary materialised view)</w:t>
      </w:r>
    </w:p>
    <w:p>
      <w:pPr>
        <w:pStyle w:val="ListParagraph"/>
        <w:numPr>
          <w:ilvl w:val="0"/>
          <w:numId w:val="1"/>
        </w:numPr>
        <w:spacing w:after="60" w:line="312"/>
        <w:ind w:left="720" w:hanging="360"/>
      </w:pPr>
      <w:r>
        <w:rPr>
          <w:rFonts w:ascii="Inter" w:eastAsia="Inter"/>
          <w:color w:val="1E293B"/>
          <w:sz w:val="22"/>
          <w:szCs w:val="22"/>
        </w:rPr>
        <w:t xml:space="preserve">Downstream API Spec: API-090 (internal incident dashboard endpoints)</w:t>
      </w:r>
    </w:p>
    <w:p>
      <w:pPr>
        <w:pStyle w:val="ListParagraph"/>
        <w:numPr>
          <w:ilvl w:val="0"/>
          <w:numId w:val="1"/>
        </w:numPr>
        <w:spacing w:after="60" w:line="312"/>
        <w:ind w:left="720" w:hanging="360"/>
      </w:pPr>
      <w:r>
        <w:rPr>
          <w:rFonts w:ascii="Inter" w:eastAsia="Inter"/>
          <w:color w:val="1E293B"/>
          <w:sz w:val="22"/>
          <w:szCs w:val="22"/>
        </w:rPr>
        <w:t xml:space="preserve">Downstream Test Cases: TC-090 (tabletop exercise scripts, simulation scripts)</w:t>
      </w:r>
    </w:p>
    <w:p>
      <w:pPr>
        <w:pStyle w:val="ListParagraph"/>
        <w:numPr>
          <w:ilvl w:val="0"/>
          <w:numId w:val="1"/>
        </w:numPr>
        <w:spacing w:after="60" w:line="312"/>
        <w:ind w:left="720" w:hanging="360"/>
      </w:pPr>
      <w:r>
        <w:rPr>
          <w:rFonts w:ascii="Inter" w:eastAsia="Inter"/>
          <w:color w:val="1E293B"/>
          <w:sz w:val="22"/>
          <w:szCs w:val="22"/>
        </w:rPr>
        <w:t xml:space="preserve">External: NIST SP 800-61 Rev. 2 (Computer Security Incident Handling Guide)</w:t>
      </w:r>
    </w:p>
    <w:p>
      <w:pPr>
        <w:pStyle w:val="ListParagraph"/>
        <w:numPr>
          <w:ilvl w:val="0"/>
          <w:numId w:val="1"/>
        </w:numPr>
        <w:spacing w:after="60" w:line="312"/>
        <w:ind w:left="720" w:hanging="360"/>
      </w:pPr>
      <w:r>
        <w:rPr>
          <w:rFonts w:ascii="Inter" w:eastAsia="Inter"/>
          <w:color w:val="1E293B"/>
          <w:sz w:val="22"/>
          <w:szCs w:val="22"/>
        </w:rPr>
        <w:t xml:space="preserve">External: Google SRE Book (Chapter 12: Managing Incidents)</w:t>
      </w:r>
    </w:p>
    <w:p>
      <w:pPr>
        <w:pStyle w:val="ListParagraph"/>
        <w:numPr>
          <w:ilvl w:val="0"/>
          <w:numId w:val="1"/>
        </w:numPr>
        <w:spacing w:after="60" w:line="312"/>
        <w:ind w:left="720" w:hanging="360"/>
      </w:pPr>
      <w:r>
        <w:rPr>
          <w:rFonts w:ascii="Inter" w:eastAsia="Inter"/>
          <w:color w:val="1E293B"/>
          <w:sz w:val="22"/>
          <w:szCs w:val="22"/>
        </w:rPr>
        <w:t xml:space="preserve">External: IBM Cost of a Data Breach Report 2025</w:t>
      </w:r>
    </w:p>
    <w:p>
      <w:pPr>
        <w:pStyle w:val="ListParagraph"/>
        <w:numPr>
          <w:ilvl w:val="0"/>
          <w:numId w:val="1"/>
        </w:numPr>
        <w:spacing w:after="60" w:line="312"/>
        <w:ind w:left="720" w:hanging="360"/>
      </w:pPr>
      <w:r>
        <w:rPr>
          <w:rFonts w:ascii="Inter" w:eastAsia="Inter"/>
          <w:color w:val="1E293B"/>
          <w:sz w:val="22"/>
          <w:szCs w:val="22"/>
        </w:rPr>
        <w:t xml:space="preserve">External: GDPR Article 33 (Notification of personal data breach)</w:t>
      </w:r>
    </w:p>
    <w:p>
      <w:pPr>
        <w:pStyle w:val="ListParagraph"/>
        <w:numPr>
          <w:ilvl w:val="0"/>
          <w:numId w:val="1"/>
        </w:numPr>
        <w:spacing w:after="60" w:line="312"/>
        <w:ind w:left="720" w:hanging="360"/>
      </w:pPr>
      <w:r>
        <w:rPr>
          <w:rFonts w:ascii="Inter" w:eastAsia="Inter"/>
          <w:color w:val="1E293B"/>
          <w:sz w:val="22"/>
          <w:szCs w:val="22"/>
        </w:rPr>
        <w:t xml:space="preserve">External: India DPDP Act 2023 (Breach notification requirements)</w:t>
      </w:r>
    </w:p>
    <w:p>
      <w:pPr>
        <w:pStyle w:val="ListParagraph"/>
        <w:numPr>
          <w:ilvl w:val="0"/>
          <w:numId w:val="1"/>
        </w:numPr>
        <w:spacing w:after="60" w:line="312"/>
        <w:ind w:left="720" w:hanging="360"/>
      </w:pPr>
      <w:r>
        <w:rPr>
          <w:rFonts w:ascii="Inter" w:eastAsia="Inter"/>
          <w:color w:val="1E293B"/>
          <w:sz w:val="22"/>
          <w:szCs w:val="22"/>
        </w:rPr>
        <w:t xml:space="preserve">External: FERPA 34 CFR § 99.31 (Notification requirements)</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2025-11-01</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Security Engineering Lead</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options enumerated; consultation with security and engineering teams</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2025-12-18</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Security Engineering Lead</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Architecture Review Board after cross-team review</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2026-01-15</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published to architecture repository</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2026-07-15</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cross-references to Vol 1-3 ADRs added; 34-section template applied</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Chief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Security Engineering Lead</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ARB Chair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2026-01-15</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ADR published to architecture repository (Done)</w:t>
      </w:r>
    </w:p>
    <w:p>
      <w:pPr>
        <w:pStyle w:val="ListParagraph"/>
        <w:numPr>
          <w:ilvl w:val="0"/>
          <w:numId w:val="1"/>
        </w:numPr>
        <w:spacing w:after="60" w:line="312"/>
        <w:ind w:left="720" w:hanging="360"/>
      </w:pPr>
      <w:r>
        <w:rPr>
          <w:rFonts w:ascii="Inter" w:eastAsia="Inter"/>
          <w:color w:val="1E293B"/>
          <w:sz w:val="22"/>
          <w:szCs w:val="22"/>
        </w:rPr>
        <w:t xml:space="preserve">Cross-references to upstream/downstream artefacts added (Done)</w:t>
      </w:r>
    </w:p>
    <w:p>
      <w:pPr>
        <w:pStyle w:val="ListParagraph"/>
        <w:numPr>
          <w:ilvl w:val="0"/>
          <w:numId w:val="1"/>
        </w:numPr>
        <w:spacing w:after="60" w:line="312"/>
        <w:ind w:left="720" w:hanging="360"/>
      </w:pPr>
      <w:r>
        <w:rPr>
          <w:rFonts w:ascii="Inter" w:eastAsia="Inter"/>
          <w:color w:val="1E293B"/>
          <w:sz w:val="22"/>
          <w:szCs w:val="22"/>
        </w:rPr>
        <w:t xml:space="preserve">Security team briefed in monthly architecture sync (Done)</w:t>
      </w:r>
    </w:p>
    <w:p>
      <w:pPr>
        <w:pStyle w:val="ListParagraph"/>
        <w:numPr>
          <w:ilvl w:val="0"/>
          <w:numId w:val="1"/>
        </w:numPr>
        <w:spacing w:after="60" w:line="312"/>
        <w:ind w:left="720" w:hanging="360"/>
      </w:pPr>
      <w:r>
        <w:rPr>
          <w:rFonts w:ascii="Inter" w:eastAsia="Inter"/>
          <w:color w:val="1E293B"/>
          <w:sz w:val="22"/>
          <w:szCs w:val="22"/>
        </w:rPr>
        <w:t xml:space="preserve">Code review checklist updated to enforce this ADR (Done)</w:t>
      </w:r>
    </w:p>
    <w:p>
      <w:pPr>
        <w:pStyle w:val="ListParagraph"/>
        <w:numPr>
          <w:ilvl w:val="0"/>
          <w:numId w:val="1"/>
        </w:numPr>
        <w:spacing w:after="60" w:line="312"/>
        <w:ind w:left="720" w:hanging="360"/>
      </w:pPr>
      <w:r>
        <w:rPr>
          <w:rFonts w:ascii="Inter" w:eastAsia="Inter"/>
          <w:color w:val="1E293B"/>
          <w:sz w:val="22"/>
          <w:szCs w:val="22"/>
        </w:rPr>
        <w:t xml:space="preserve">On-call runbook updated with operational procedures (Done)</w:t>
      </w:r>
    </w:p>
    <w:p>
      <w:pPr>
        <w:pStyle w:val="ListParagraph"/>
        <w:numPr>
          <w:ilvl w:val="0"/>
          <w:numId w:val="1"/>
        </w:numPr>
        <w:spacing w:after="60" w:line="312"/>
        <w:ind w:left="720" w:hanging="360"/>
      </w:pPr>
      <w:r>
        <w:rPr>
          <w:rFonts w:ascii="Inter" w:eastAsia="Inter"/>
          <w:color w:val="1E293B"/>
          <w:sz w:val="22"/>
          <w:szCs w:val="22"/>
        </w:rPr>
        <w:t xml:space="preserve">IR plan documented in Notion (4 phases, 4 severity levels, 5 playbooks) (Done)</w:t>
      </w:r>
    </w:p>
    <w:p>
      <w:pPr>
        <w:pStyle w:val="ListParagraph"/>
        <w:numPr>
          <w:ilvl w:val="0"/>
          <w:numId w:val="1"/>
        </w:numPr>
        <w:spacing w:after="60" w:line="312"/>
        <w:ind w:left="720" w:hanging="360"/>
      </w:pPr>
      <w:r>
        <w:rPr>
          <w:rFonts w:ascii="Inter" w:eastAsia="Inter"/>
          <w:color w:val="1E293B"/>
          <w:sz w:val="22"/>
          <w:szCs w:val="22"/>
        </w:rPr>
        <w:t xml:space="preserve">10 senior engineers completed IC training (4 hours each) (Done)</w:t>
      </w:r>
    </w:p>
    <w:p>
      <w:pPr>
        <w:pStyle w:val="ListParagraph"/>
        <w:numPr>
          <w:ilvl w:val="0"/>
          <w:numId w:val="1"/>
        </w:numPr>
        <w:spacing w:after="60" w:line="312"/>
        <w:ind w:left="720" w:hanging="360"/>
      </w:pPr>
      <w:r>
        <w:rPr>
          <w:rFonts w:ascii="Inter" w:eastAsia="Inter"/>
          <w:color w:val="1E293B"/>
          <w:sz w:val="22"/>
          <w:szCs w:val="22"/>
        </w:rPr>
        <w:t xml:space="preserve">Splunk incident registry with automated regulatory timers (Done)</w:t>
      </w:r>
    </w:p>
    <w:p>
      <w:pPr>
        <w:pStyle w:val="ListParagraph"/>
        <w:numPr>
          <w:ilvl w:val="0"/>
          <w:numId w:val="1"/>
        </w:numPr>
        <w:spacing w:after="60" w:line="312"/>
        <w:ind w:left="720" w:hanging="360"/>
      </w:pPr>
      <w:r>
        <w:rPr>
          <w:rFonts w:ascii="Inter" w:eastAsia="Inter"/>
          <w:color w:val="1E293B"/>
          <w:sz w:val="22"/>
          <w:szCs w:val="22"/>
        </w:rPr>
        <w:t xml:space="preserve">First quarterly tabletop exercise (Done — Q1 2026)</w:t>
      </w:r>
    </w:p>
    <w:p>
      <w:pPr>
        <w:pStyle w:val="ListParagraph"/>
        <w:numPr>
          <w:ilvl w:val="0"/>
          <w:numId w:val="1"/>
        </w:numPr>
        <w:spacing w:after="60" w:line="312"/>
        <w:ind w:left="720" w:hanging="360"/>
      </w:pPr>
      <w:r>
        <w:rPr>
          <w:rFonts w:ascii="Inter" w:eastAsia="Inter"/>
          <w:color w:val="1E293B"/>
          <w:sz w:val="22"/>
          <w:szCs w:val="22"/>
        </w:rPr>
        <w:t xml:space="preserve">First annual full-scale simulation (Done — Q2 2026)</w:t>
      </w:r>
    </w:p>
    <w:p>
      <w:pPr>
        <w:pStyle w:val="ListParagraph"/>
        <w:numPr>
          <w:ilvl w:val="0"/>
          <w:numId w:val="1"/>
        </w:numPr>
        <w:spacing w:after="60" w:line="312"/>
        <w:ind w:left="720" w:hanging="360"/>
      </w:pPr>
      <w:r>
        <w:rPr>
          <w:rFonts w:ascii="Inter" w:eastAsia="Inter"/>
          <w:color w:val="1E293B"/>
          <w:sz w:val="22"/>
          <w:szCs w:val="22"/>
        </w:rPr>
        <w:t xml:space="preserve">Blameless post-mortem training for all ICs (Done)</w:t>
      </w:r>
    </w:p>
    <w:p>
      <w:pPr>
        <w:pStyle w:val="ListParagraph"/>
        <w:numPr>
          <w:ilvl w:val="0"/>
          <w:numId w:val="1"/>
        </w:numPr>
        <w:spacing w:after="60" w:line="312"/>
        <w:ind w:left="720" w:hanging="360"/>
      </w:pPr>
      <w:r>
        <w:rPr>
          <w:rFonts w:ascii="Inter" w:eastAsia="Inter"/>
          <w:color w:val="1E293B"/>
          <w:sz w:val="22"/>
          <w:szCs w:val="22"/>
        </w:rPr>
        <w:t xml:space="preserve">Mandiant retainer for catastrophic SEV-1 (Done)</w:t>
      </w:r>
    </w:p>
    <w:p>
      <w:pPr>
        <w:pStyle w:val="ListParagraph"/>
        <w:numPr>
          <w:ilvl w:val="0"/>
          <w:numId w:val="1"/>
        </w:numPr>
        <w:spacing w:after="60" w:line="312"/>
        <w:ind w:left="720" w:hanging="360"/>
      </w:pPr>
      <w:r>
        <w:rPr>
          <w:rFonts w:ascii="Inter" w:eastAsia="Inter"/>
          <w:color w:val="1E293B"/>
          <w:sz w:val="22"/>
          <w:szCs w:val="22"/>
        </w:rPr>
        <w:t xml:space="preserve">Quarterly tabletop + annual simulation (Ongoing)</w:t>
      </w:r>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spacing w:before="100"/>
      <w:jc w:val="center"/>
    </w:pPr>
    <w:r>
      <w:rPr>
        <w:rFonts w:ascii="Inter" w:eastAsia="Inter"/>
        <w:color w:val="64748B"/>
        <w:sz w:val="18"/>
        <w:szCs w:val="18"/>
      </w:rPr>
      <w:t xml:space="preserve">PreOne ADR Series  -  Phase 5 / 10  -  Vol 4: Security Architecture  -  </w:t>
    </w:r>
    <w:r>
      <w:rPr>
        <w:rFonts w:ascii="Inter" w:eastAsia="Inter"/>
        <w:b/>
        <w:bCs/>
        <w:color w:val="4F46E5"/>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spacing w:before="100"/>
      <w:jc w:val="center"/>
    </w:pPr>
    <w:r>
      <w:rPr>
        <w:rFonts w:ascii="Inter" w:eastAsia="Inter"/>
        <w:color w:val="64748B"/>
        <w:sz w:val="18"/>
        <w:szCs w:val="18"/>
      </w:rPr>
      <w:t xml:space="preserve">PreOne ADR Series  -  Phase 5 / 10  -  Vol 4: Security Architecture  -  </w:t>
    </w:r>
    <w:r>
      <w:rPr>
        <w:rFonts w:ascii="Inter" w:eastAsia="Inter"/>
        <w:b/>
        <w:bCs/>
        <w:color w:val="4F46E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pBdr>
      <w:spacing w:after="100"/>
      <w:jc w:val="right"/>
    </w:pPr>
    <w:r>
      <w:rPr>
        <w:rFonts w:ascii="Inter" w:eastAsia="Inter"/>
        <w:color w:val="64748B"/>
        <w:sz w:val="18"/>
        <w:szCs w:val="18"/>
      </w:rPr>
      <w:t xml:space="preserve">PreOne ADR  -  Volume 4: Security Architecture  </w:t>
    </w:r>
    <w:r>
      <w:rPr>
        <w:rFonts w:ascii="Inter" w:eastAsia="Inter"/>
        <w:b/>
        <w:bCs/>
        <w:color w:val="4F46E5"/>
        <w:sz w:val="18"/>
        <w:szCs w:val="18"/>
      </w:rPr>
      <w:t xml:space="preserve">v3.0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pBdr>
      <w:spacing w:after="100"/>
      <w:jc w:val="right"/>
    </w:pPr>
    <w:r>
      <w:rPr>
        <w:rFonts w:ascii="Inter" w:eastAsia="Inter"/>
        <w:color w:val="64748B"/>
        <w:sz w:val="18"/>
        <w:szCs w:val="18"/>
      </w:rPr>
      <w:t xml:space="preserve">PreOne ADR  -  Volume 4: Security Architecture  </w:t>
    </w:r>
    <w:r>
      <w:rPr>
        <w:rFonts w:ascii="Inter" w:eastAsia="Inter"/>
        <w:b/>
        <w:bCs/>
        <w:color w:val="4F46E5"/>
        <w:sz w:val="18"/>
        <w:szCs w:val="18"/>
      </w:rPr>
      <w:t xml:space="preserve">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eastAsia="Inter"/>
        <w:color w:val="1E293B"/>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PreOne ADR Series - Phase 5 - Volume 4: Security Architecture</dc:title>
  <dc:creator>PreOne Architecture Review Board</dc:creator>
  <dc:description>Phase 5 of 10. Volume 4: 30 ADRs (ADR-061 to ADR-090) covering identity, authentication, authorization, RBAC, MFA, encryption, WAF, DDoS, audit, compliance, DLP, and incident response. Each ADR uses the 34-section v3.0 template.</dc:description>
  <cp:lastModifiedBy>Un-named</cp:lastModifiedBy>
  <cp:revision>1</cp:revision>
  <dcterms:created xsi:type="dcterms:W3CDTF">2026-07-13T19:28:33.838Z</dcterms:created>
  <dcterms:modified xsi:type="dcterms:W3CDTF">2026-07-13T19:28:33.839Z</dcterms:modified>
</cp:coreProperties>
</file>

<file path=docProps/custom.xml><?xml version="1.0" encoding="utf-8"?>
<Properties xmlns="http://schemas.openxmlformats.org/officeDocument/2006/custom-properties" xmlns:vt="http://schemas.openxmlformats.org/officeDocument/2006/docPropsVTypes"/>
</file>