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t xml:space="preserve">Databasegestuurd testen</w:t>
      </w:r>
    </w:p>
    <w:p>
      <w:pPr>
        <w:pStyle w:val="Subtitle"/>
      </w:pPr>
      <w:r>
        <w:t xml:space="preserve">Huidige testdata-opzet • feature/testdata • 1 oktober 2026</w:t>
      </w:r>
    </w:p>
    <w:p>
      <w:pPr>
        <w:pStyle w:val="Heading1"/>
      </w:pPr>
      <w:r>
        <w:t xml:space="preserve">1. Wat ik heb gebouwd en waarom</w:t>
      </w:r>
    </w:p>
    <w:p>
      <w:pPr>
        <w:pStyle w:val="Normal"/>
      </w:pPr>
      <w:r>
        <w:t xml:space="preserve">Ik heb de testgegevens van de Lancyr-autoverzekeringsfunnel verplaatst naar SQLite. Eén Playwright-test gebruikt daardoor meerdere gebruikers en keuzes, zonder aparte testscripts per gebruiker.</w:t>
      </w:r>
    </w:p>
    <w:p>
      <w:pPr>
        <w:pStyle w:val="Normal"/>
      </w:pPr>
      <w:r>
        <w:t xml:space="preserve">SQLite werkt lokaal als één bestand, zonder databaseserver. De Node-runtime in Docker ondersteunt dit al. SQL is de querytaal; SQLite is het databaseproduct voor deze proef. De definitieve gegevensbron voor de Novulo-testsuite wordt later met het team gekozen.</w:t>
      </w:r>
    </w:p>
    <w:p>
      <w:pPr>
        <w:pStyle w:val="Heading1"/>
      </w:pPr>
      <w:r>
        <w:t xml:space="preserve">2. Structuur van de oplossing</w:t>
      </w:r>
    </w:p>
    <w:tbl>
      <w:tblPr>
        <w:tblW w:w="0" w:type="auto"/>
        <w:tblBorders>
          <w:top w:val="single" w:sz="4" w:color="D8E0E8"/>
          <w:left w:val="single" w:sz="4" w:color="D8E0E8"/>
          <w:bottom w:val="single" w:sz="4" w:color="D8E0E8"/>
          <w:right w:val="single" w:sz="4" w:color="D8E0E8"/>
          <w:insideH w:val="single" w:sz="4" w:color="D8E0E8"/>
          <w:insideV w:val="single" w:sz="4" w:color="D8E0E8"/>
        </w:tblBorders>
      </w:tblPr>
      <w:tblGrid>
        <w:gridCol w:w="4350"/>
        <w:gridCol w:w="5150"/>
      </w:tblGrid>
      <w:tr>
        <w:trPr>
          <w:cantSplit/>
          <w:tblHeader/>
        </w:trPr>
        <w:tc>
          <w:tcPr>
            <w:tcW w:w="4350" w:type="dxa"/>
            <w:shd w:fill="E8EFF5"/>
          </w:tcPr>
          <w:p>
            <w:pPr>
              <w:pStyle w:val="TableText"/>
            </w:pPr>
            <w:r>
              <w:rPr>
                <w:b/>
              </w:rPr>
              <w:t>Bestand</w:t>
            </w:r>
          </w:p>
        </w:tc>
        <w:tc>
          <w:tcPr>
            <w:tcW w:w="5150" w:type="dxa"/>
            <w:shd w:fill="E8EFF5"/>
          </w:tcPr>
          <w:p>
            <w:pPr>
              <w:pStyle w:val="TableText"/>
            </w:pPr>
            <w:r>
              <w:rPr>
                <w:b/>
              </w:rPr>
              <w:t>Functie</w:t>
            </w:r>
          </w:p>
        </w:tc>
      </w:tr>
      <w:tr>
        <w:trPr>
          <w:cantSplit/>
        </w:trPr>
        <w:tc>
          <w:tcPr>
            <w:tcW w:w="4350" w:type="dxa"/>
          </w:tcPr>
          <w:p>
            <w:pPr>
              <w:pStyle w:val="TableText"/>
            </w:pPr>
            <w:r>
              <w:t>testdata/seed.sql</w:t>
            </w:r>
          </w:p>
        </w:tc>
        <w:tc>
          <w:tcPr>
            <w:tcW w:w="5150" w:type="dxa"/>
          </w:tcPr>
          <w:p>
            <w:pPr>
              <w:pStyle w:val="TableText"/>
            </w:pPr>
            <w:r>
              <w:t>Tabel en oorspronkelijke startgegevens.</w:t>
            </w:r>
          </w:p>
        </w:tc>
      </w:tr>
      <w:tr>
        <w:trPr>
          <w:cantSplit/>
        </w:trPr>
        <w:tc>
          <w:tcPr>
            <w:tcW w:w="4350" w:type="dxa"/>
          </w:tcPr>
          <w:p>
            <w:pPr>
              <w:pStyle w:val="TableText"/>
            </w:pPr>
            <w:r>
              <w:t>testdata/migrations/001-variatie.sql</w:t>
            </w:r>
          </w:p>
        </w:tc>
        <w:tc>
          <w:tcPr>
            <w:tcW w:w="5150" w:type="dxa"/>
          </w:tcPr>
          <w:p>
            <w:pPr>
              <w:pStyle w:val="TableText"/>
            </w:pPr>
            <w:r>
              <w:t>Extra velden en variaties voor de vijf gebruikers.</w:t>
            </w:r>
          </w:p>
        </w:tc>
      </w:tr>
      <w:tr>
        <w:trPr>
          <w:cantSplit/>
        </w:trPr>
        <w:tc>
          <w:tcPr>
            <w:tcW w:w="4350" w:type="dxa"/>
          </w:tcPr>
          <w:p>
            <w:pPr>
              <w:pStyle w:val="TableText"/>
            </w:pPr>
            <w:r>
              <w:t>testdata/local.sqlite</w:t>
            </w:r>
          </w:p>
        </w:tc>
        <w:tc>
          <w:tcPr>
            <w:tcW w:w="5150" w:type="dxa"/>
          </w:tcPr>
          <w:p>
            <w:pPr>
              <w:pStyle w:val="TableText"/>
            </w:pPr>
            <w:r>
              <w:t>De actuele lokale testdatabase; buiten Git.</w:t>
            </w:r>
          </w:p>
        </w:tc>
      </w:tr>
      <w:tr>
        <w:trPr>
          <w:cantSplit/>
        </w:trPr>
        <w:tc>
          <w:tcPr>
            <w:tcW w:w="4350" w:type="dxa"/>
          </w:tcPr>
          <w:p>
            <w:pPr>
              <w:pStyle w:val="TableText"/>
            </w:pPr>
            <w:r>
              <w:t>testdata/scenarios.ts</w:t>
            </w:r>
          </w:p>
        </w:tc>
        <w:tc>
          <w:tcPr>
            <w:tcW w:w="5150" w:type="dxa"/>
          </w:tcPr>
          <w:p>
            <w:pPr>
              <w:pStyle w:val="TableText"/>
            </w:pPr>
            <w:r>
              <w:t>Scenario ophalen, valideren en ingangsdatum bepalen.</w:t>
            </w:r>
          </w:p>
        </w:tc>
      </w:tr>
      <w:tr>
        <w:trPr>
          <w:cantSplit/>
        </w:trPr>
        <w:tc>
          <w:tcPr>
            <w:tcW w:w="4350" w:type="dxa"/>
          </w:tcPr>
          <w:p>
            <w:pPr>
              <w:pStyle w:val="TableText"/>
            </w:pPr>
            <w:r>
              <w:t>scripts/init-testdata.mjs</w:t>
            </w:r>
          </w:p>
        </w:tc>
        <w:tc>
          <w:tcPr>
            <w:tcW w:w="5150" w:type="dxa"/>
          </w:tcPr>
          <w:p>
            <w:pPr>
              <w:pStyle w:val="TableText"/>
            </w:pPr>
            <w:r>
              <w:t>Database aanmaken en nieuwe migraties eenmaal uitvoeren.</w:t>
            </w:r>
          </w:p>
        </w:tc>
      </w:tr>
      <w:tr>
        <w:trPr>
          <w:cantSplit/>
        </w:trPr>
        <w:tc>
          <w:tcPr>
            <w:tcW w:w="4350" w:type="dxa"/>
          </w:tcPr>
          <w:p>
            <w:pPr>
              <w:pStyle w:val="TableText"/>
            </w:pPr>
            <w:r>
              <w:t>test/lancyr-autoverzekering.spec.ts</w:t>
            </w:r>
          </w:p>
        </w:tc>
        <w:tc>
          <w:tcPr>
            <w:tcW w:w="5150" w:type="dxa"/>
          </w:tcPr>
          <w:p>
            <w:pPr>
              <w:pStyle w:val="TableText"/>
            </w:pPr>
            <w:r>
              <w:t>Browserstappen en controles voor het gekozen scenario.</w:t>
            </w:r>
          </w:p>
        </w:tc>
      </w:tr>
      <w:tr>
        <w:trPr>
          <w:cantSplit/>
        </w:trPr>
        <w:tc>
          <w:tcPr>
            <w:tcW w:w="4350" w:type="dxa"/>
          </w:tcPr>
          <w:p>
            <w:pPr>
              <w:pStyle w:val="TableText"/>
            </w:pPr>
            <w:r>
              <w:t>scripts/run-lancyr-browsers.sh</w:t>
            </w:r>
          </w:p>
        </w:tc>
        <w:tc>
          <w:tcPr>
            <w:tcW w:w="5150" w:type="dxa"/>
          </w:tcPr>
          <w:p>
            <w:pPr>
              <w:pStyle w:val="TableText"/>
            </w:pPr>
            <w:r>
              <w:t>Docker starten, scenario controleren en tests uitvoeren.</w:t>
            </w:r>
          </w:p>
        </w:tc>
      </w:tr>
    </w:tbl>
    <w:p>
      <w:pPr>
        <w:pStyle w:val="Heading1"/>
      </w:pPr>
      <w:r>
        <w:t xml:space="preserve">3. Hoe de gegevens bij de test komen</w:t>
      </w:r>
    </w:p>
    <w:p>
      <w:pPr>
        <w:pStyle w:val="Normal"/>
      </w:pPr>
      <w:r>
        <w:t xml:space="preserve">Het Bash-script bouwt de Docker-image, initialiseert of migreert de database en valideert het scenario. Tijdens de tests is de database alleen-lezen gekoppeld. haalTestscenarioOp() haalt de gekozen rij op met een geparameteriseerde query:</w:t>
      </w:r>
    </w:p>
    <w:p>
      <w:pPr>
        <w:pStyle w:val="Code"/>
      </w:pPr>
      <w:r>
        <w:t xml:space="preserve">SELECT * FROM autoverzekering_scenarios WHERE id = ?;</w:t>
      </w:r>
    </w:p>
    <w:p>
      <w:pPr>
        <w:pStyle w:val="Normal"/>
      </w:pPr>
      <w:r>
        <w:t xml:space="preserve">De database bevat invoer en scenarioafhankelijke verwachtingen: adres, geboortegegevens, gezin, bestuurder, schadevrije jaren, kilometrage, dekking, product en extra’s. De ingangsdatum wordt bepaald uit maand, dag en het eerstvolgende toekomstige jaar. Locators en browserstappen blijven testcode. Ongeldige of ontbrekende data geeft een fout; vaste terugvalwaarden worden niet gebruikt.</w:t>
      </w:r>
    </w:p>
    <w:p>
      <w:r>
        <w:br w:type="page"/>
      </w:r>
    </w:p>
    <w:p>
      <w:pPr>
        <w:pStyle w:val="Heading1"/>
      </w:pPr>
      <w:r>
        <w:t xml:space="preserve">4. Gebruikers en scenario’s</w:t>
      </w:r>
    </w:p>
    <w:p>
      <w:pPr>
        <w:pStyle w:val="Normal"/>
      </w:pPr>
      <w:r>
        <w:t xml:space="preserve">Zes scenario’s gebruiken hetzelfde kenteken. De vijf fictieve gebruikers verschillen in Amsterdams adres, leeftijd, ondernemerschap en schadevrije jaren. Ze dekken vier gezinssituaties, drie bestuurderskeuzes en drie dekkingen af. Privacy blijft Ja; niet alle combinaties worden getest.</w:t>
      </w:r>
    </w:p>
    <w:tbl>
      <w:tblPr>
        <w:tblW w:w="0" w:type="auto"/>
        <w:tblBorders>
          <w:top w:val="single" w:sz="4" w:color="D8E0E8"/>
          <w:left w:val="single" w:sz="4" w:color="D8E0E8"/>
          <w:bottom w:val="single" w:sz="4" w:color="D8E0E8"/>
          <w:right w:val="single" w:sz="4" w:color="D8E0E8"/>
          <w:insideH w:val="single" w:sz="4" w:color="D8E0E8"/>
          <w:insideV w:val="single" w:sz="4" w:color="D8E0E8"/>
        </w:tblBorders>
      </w:tblPr>
      <w:tblGrid>
        <w:gridCol w:w="2200"/>
        <w:gridCol w:w="2900"/>
        <w:gridCol w:w="4400"/>
      </w:tblGrid>
      <w:tr>
        <w:trPr>
          <w:cantSplit/>
          <w:tblHeader/>
        </w:trPr>
        <w:tc>
          <w:tcPr>
            <w:tcW w:w="2200" w:type="dxa"/>
            <w:shd w:fill="E8EFF5"/>
          </w:tcPr>
          <w:p>
            <w:pPr>
              <w:pStyle w:val="TableText"/>
            </w:pPr>
            <w:r>
              <w:rPr>
                <w:b/>
              </w:rPr>
              <w:t>Scenario</w:t>
            </w:r>
          </w:p>
        </w:tc>
        <w:tc>
          <w:tcPr>
            <w:tcW w:w="2900" w:type="dxa"/>
            <w:shd w:fill="E8EFF5"/>
          </w:tcPr>
          <w:p>
            <w:pPr>
              <w:pStyle w:val="TableText"/>
            </w:pPr>
            <w:r>
              <w:rPr>
                <w:b/>
              </w:rPr>
              <w:t>Bestuurder / gezin</w:t>
            </w:r>
          </w:p>
        </w:tc>
        <w:tc>
          <w:tcPr>
            <w:tcW w:w="4400" w:type="dxa"/>
            <w:shd w:fill="E8EFF5"/>
          </w:tcPr>
          <w:p>
            <w:pPr>
              <w:pStyle w:val="TableText"/>
            </w:pPr>
            <w:r>
              <w:rPr>
                <w:b/>
              </w:rPr>
              <w:t>Keuzes en uitkomst</w:t>
            </w:r>
          </w:p>
        </w:tc>
      </w:tr>
      <w:tr>
        <w:trPr>
          <w:cantSplit/>
        </w:trPr>
        <w:tc>
          <w:tcPr>
            <w:tcW w:w="2200" w:type="dxa"/>
          </w:tcPr>
          <w:p>
            <w:pPr>
              <w:pStyle w:val="TableText"/>
            </w:pPr>
            <w:r>
              <w:t>standaard</w:t>
            </w:r>
          </w:p>
        </w:tc>
        <w:tc>
          <w:tcPr>
            <w:tcW w:w="2900" w:type="dxa"/>
          </w:tcPr>
          <w:p>
            <w:pPr>
              <w:pStyle w:val="TableText"/>
            </w:pPr>
            <w:r>
              <w:t>Zelf; alleenstaand zonder kinderen</w:t>
            </w:r>
          </w:p>
        </w:tc>
        <w:tc>
          <w:tcPr>
            <w:tcW w:w="4400" w:type="dxa"/>
          </w:tcPr>
          <w:p>
            <w:pPr>
              <w:pStyle w:val="TableText"/>
            </w:pPr>
            <w:r>
              <w:t>WA+, 15.000–20.000 km, geen extra’s; winkelwagen.</w:t>
            </w:r>
          </w:p>
        </w:tc>
      </w:tr>
      <w:tr>
        <w:trPr>
          <w:cantSplit/>
        </w:trPr>
        <w:tc>
          <w:tcPr>
            <w:tcW w:w="2200" w:type="dxa"/>
          </w:tcPr>
          <w:p>
            <w:pPr>
              <w:pStyle w:val="TableText"/>
            </w:pPr>
            <w:r>
              <w:t>testgebruiker-anna</w:t>
            </w:r>
          </w:p>
        </w:tc>
        <w:tc>
          <w:tcPr>
            <w:tcW w:w="2900" w:type="dxa"/>
          </w:tcPr>
          <w:p>
            <w:pPr>
              <w:pStyle w:val="TableText"/>
            </w:pPr>
            <w:r>
              <w:t>Zelf; alleenstaand zonder kinderen</w:t>
            </w:r>
          </w:p>
        </w:tc>
        <w:tc>
          <w:tcPr>
            <w:tcW w:w="4400" w:type="dxa"/>
          </w:tcPr>
          <w:p>
            <w:pPr>
              <w:pStyle w:val="TableText"/>
            </w:pPr>
            <w:r>
              <w:t>WA, minder dan 7.500 km, 0 schadevrije jaren; gevonden websitefout demonstreren.</w:t>
            </w:r>
          </w:p>
        </w:tc>
      </w:tr>
      <w:tr>
        <w:trPr>
          <w:cantSplit/>
        </w:trPr>
        <w:tc>
          <w:tcPr>
            <w:tcW w:w="2200" w:type="dxa"/>
          </w:tcPr>
          <w:p>
            <w:pPr>
              <w:pStyle w:val="TableText"/>
            </w:pPr>
            <w:r>
              <w:t>testgebruiker-bram</w:t>
            </w:r>
          </w:p>
        </w:tc>
        <w:tc>
          <w:tcPr>
            <w:tcW w:w="2900" w:type="dxa"/>
          </w:tcPr>
          <w:p>
            <w:pPr>
              <w:pStyle w:val="TableText"/>
            </w:pPr>
            <w:r>
              <w:t>Partner; gezin zonder kinderen</w:t>
            </w:r>
          </w:p>
        </w:tc>
        <w:tc>
          <w:tcPr>
            <w:tcW w:w="4400" w:type="dxa"/>
          </w:tcPr>
          <w:p>
            <w:pPr>
              <w:pStyle w:val="TableText"/>
            </w:pPr>
            <w:r>
              <w:t>WA+, 7.500–10.000 km; inzittendendekking.</w:t>
            </w:r>
          </w:p>
        </w:tc>
      </w:tr>
      <w:tr>
        <w:trPr>
          <w:cantSplit/>
        </w:trPr>
        <w:tc>
          <w:tcPr>
            <w:tcW w:w="2200" w:type="dxa"/>
          </w:tcPr>
          <w:p>
            <w:pPr>
              <w:pStyle w:val="TableText"/>
            </w:pPr>
            <w:r>
              <w:t>testgebruiker-celine</w:t>
            </w:r>
          </w:p>
        </w:tc>
        <w:tc>
          <w:tcPr>
            <w:tcW w:w="2900" w:type="dxa"/>
          </w:tcPr>
          <w:p>
            <w:pPr>
              <w:pStyle w:val="TableText"/>
            </w:pPr>
            <w:r>
              <w:t>Zelf; alleenstaand met kinderen</w:t>
            </w:r>
          </w:p>
        </w:tc>
        <w:tc>
          <w:tcPr>
            <w:tcW w:w="4400" w:type="dxa"/>
          </w:tcPr>
          <w:p>
            <w:pPr>
              <w:pStyle w:val="TableText"/>
            </w:pPr>
            <w:r>
              <w:t>Allrisk, 20.000–25.000 km; rechtsbijstand.</w:t>
            </w:r>
          </w:p>
        </w:tc>
      </w:tr>
      <w:tr>
        <w:trPr>
          <w:cantSplit/>
        </w:trPr>
        <w:tc>
          <w:tcPr>
            <w:tcW w:w="2200" w:type="dxa"/>
          </w:tcPr>
          <w:p>
            <w:pPr>
              <w:pStyle w:val="TableText"/>
            </w:pPr>
            <w:r>
              <w:t>testgebruiker-daan</w:t>
            </w:r>
          </w:p>
        </w:tc>
        <w:tc>
          <w:tcPr>
            <w:tcW w:w="2900" w:type="dxa"/>
          </w:tcPr>
          <w:p>
            <w:pPr>
              <w:pStyle w:val="TableText"/>
            </w:pPr>
            <w:r>
              <w:t>Inwonend kind; gezin met kinderen</w:t>
            </w:r>
          </w:p>
        </w:tc>
        <w:tc>
          <w:tcPr>
            <w:tcW w:w="4400" w:type="dxa"/>
          </w:tcPr>
          <w:p>
            <w:pPr>
              <w:pStyle w:val="TableText"/>
            </w:pPr>
            <w:r>
              <w:t>Verwachte blokkade vóór de premieberekening.</w:t>
            </w:r>
          </w:p>
        </w:tc>
      </w:tr>
      <w:tr>
        <w:trPr>
          <w:cantSplit/>
        </w:trPr>
        <w:tc>
          <w:tcPr>
            <w:tcW w:w="2200" w:type="dxa"/>
          </w:tcPr>
          <w:p>
            <w:pPr>
              <w:pStyle w:val="TableText"/>
            </w:pPr>
            <w:r>
              <w:t>testgebruiker-emma</w:t>
            </w:r>
          </w:p>
        </w:tc>
        <w:tc>
          <w:tcPr>
            <w:tcW w:w="2900" w:type="dxa"/>
          </w:tcPr>
          <w:p>
            <w:pPr>
              <w:pStyle w:val="TableText"/>
            </w:pPr>
            <w:r>
              <w:t>Partner; gezin met kinderen</w:t>
            </w:r>
          </w:p>
        </w:tc>
        <w:tc>
          <w:tcPr>
            <w:tcW w:w="4400" w:type="dxa"/>
          </w:tcPr>
          <w:p>
            <w:pPr>
              <w:pStyle w:val="TableText"/>
            </w:pPr>
            <w:r>
              <w:t>Allrisk, meer dan 30.000 km; beide extra dekkingen.</w:t>
            </w:r>
          </w:p>
        </w:tc>
      </w:tr>
    </w:tbl>
    <w:p>
      <w:pPr>
        <w:pStyle w:val="Normal"/>
      </w:pPr>
      <w:r>
        <w:t xml:space="preserve">Partner vereist geboortedatumPartner. aanbodProductId bepaalt het aanbod; extraDekkingen bevat de beschikbare opties en geselecteerdeExtras de te kiezen opties. De test controleert de dekkingsknoppen en gekozen extra’s in het overzicht. De positieve route stopt vóór Sluit af.</w:t>
      </w:r>
    </w:p>
    <w:p>
      <w:pPr>
        <w:pStyle w:val="Heading1"/>
      </w:pPr>
      <w:r>
        <w:t xml:space="preserve">5. Een gebruiker uitvoeren</w:t>
      </w:r>
    </w:p>
    <w:p>
      <w:pPr>
        <w:pStyle w:val="Normal"/>
      </w:pPr>
      <w:r>
        <w:t xml:space="preserve">Start vanuit de projectmap. Iedere opdracht maakt een afzonderlijke run:</w:t>
      </w:r>
    </w:p>
    <w:p>
      <w:pPr>
        <w:pStyle w:val="Code"/>
      </w:pPr>
      <w:r>
        <w:t xml:space="preserve">bash scripts/run-lancyr-browsers.sh headless standaard</w:t>
      </w:r>
    </w:p>
    <w:p>
      <w:pPr>
        <w:pStyle w:val="Code"/>
      </w:pPr>
      <w:r>
        <w:t xml:space="preserve">bash scripts/run-lancyr-browsers.sh headless testgebruiker-anna</w:t>
      </w:r>
    </w:p>
    <w:p>
      <w:pPr>
        <w:pStyle w:val="Code"/>
      </w:pPr>
      <w:r>
        <w:t xml:space="preserve">bash scripts/run-lancyr-browsers.sh headless testgebruiker-bram</w:t>
      </w:r>
    </w:p>
    <w:p>
      <w:pPr>
        <w:pStyle w:val="Code"/>
      </w:pPr>
      <w:r>
        <w:t xml:space="preserve">bash scripts/run-lancyr-browsers.sh headless testgebruiker-celine</w:t>
      </w:r>
    </w:p>
    <w:p>
      <w:pPr>
        <w:pStyle w:val="Code"/>
      </w:pPr>
      <w:r>
        <w:t xml:space="preserve">bash scripts/run-lancyr-browsers.sh headless testgebruiker-daan</w:t>
      </w:r>
    </w:p>
    <w:p>
      <w:pPr>
        <w:pStyle w:val="Code"/>
      </w:pPr>
      <w:r>
        <w:t xml:space="preserve">bash scripts/run-lancyr-browsers.sh headless testgebruiker-emma</w:t>
      </w:r>
    </w:p>
    <w:p>
      <w:pPr>
        <w:pStyle w:val="Normal"/>
      </w:pPr>
      <w:r>
        <w:t xml:space="preserve">Zonder scenario draait standaard. Elke normale run voert drie tests uit in Chromium, Firefox en WebKit. Alleen de funnel gebruikt de gekozen gebruiker; de twee paginatests en aparte visuele tests gebruiken deze data niet.</w:t>
      </w:r>
    </w:p>
    <w:p>
      <w:pPr>
        <w:pStyle w:val="Normal"/>
      </w:pPr>
      <w:r>
        <w:t xml:space="preserve">Vervang headless door visible om mee te kijken via localhost:6080; dit vereist een interactieve terminal. headed gebruikt een virtueel scherm. Bash start Docker vanuit Fedora/WSL. Node, npm en Playwright draaien in de container; lokaal npm installeren is niet nodig.</w:t>
      </w:r>
    </w:p>
    <w:p>
      <w:r>
        <w:br w:type="page"/>
      </w:r>
    </w:p>
    <w:p>
      <w:pPr>
        <w:pStyle w:val="Heading1"/>
      </w:pPr>
      <w:r>
        <w:t xml:space="preserve">6. Fouten aantonen en resultaten terugzien</w:t>
      </w:r>
    </w:p>
    <w:p>
      <w:pPr>
        <w:pStyle w:val="Normal"/>
      </w:pPr>
      <w:r>
        <w:t xml:space="preserve">Anna heeft bewust 0 schadevrije jaren. De premie-API gaf “Ongeldig aantal schadevrije jaren”; het formulier verdween zonder duidelijke foutmelding. De test faalde na 60 seconden wachten op de dekkingspagina. Dit is bij Anna vastgesteld; de oorzaak is onbekend.</w:t>
      </w:r>
    </w:p>
    <w:p>
      <w:pPr>
        <w:pStyle w:val="Normal"/>
      </w:pPr>
      <w:r>
        <w:t xml:space="preserve">Anna gebruikt de normale test, niet funnel-demo. Zij blijft de winkelwagen verwachten en faalt zolang de websitefout optreedt. Daan verwacht juist een melding en blokkade voor een inwonend kind: dat levert een geslaagde test op. De kunstmatige funnel-demo vereist een scenario dat de winkelwagen bereikt.</w:t>
      </w:r>
    </w:p>
    <w:p>
      <w:pPr>
        <w:pStyle w:val="Normal"/>
      </w:pPr>
      <w:r>
        <w:t xml:space="preserve">Iedere run krijgt een map onder test-runs met een HTML-rapport, scenario-ID en JSON-bijlage met de gebruikte data. Bij fouten blijven een screenshot en trace.zip bewaard. De trace toont stappen, paginastanden en netwerkverkeer voor analyse en presentatie.</w:t>
      </w:r>
    </w:p>
    <w:p>
      <w:pPr>
        <w:pStyle w:val="Heading1"/>
      </w:pPr>
      <w:r>
        <w:t xml:space="preserve">7. Testdata wijzigen en controles</w:t>
      </w:r>
    </w:p>
    <w:p>
      <w:pPr>
        <w:pStyle w:val="Normal"/>
      </w:pPr>
      <w:r>
        <w:t xml:space="preserve">Pas waarden aan in testdata/local.sqlite met een SQLite-editor, bijvoorbeeld:</w:t>
      </w:r>
    </w:p>
    <w:p>
      <w:pPr>
        <w:pStyle w:val="Code"/>
      </w:pPr>
      <w:r>
        <w:t xml:space="preserve">UPDATE autoverzekering_scenarios SET schadevrij = '7'
WHERE id = 'standaard';</w:t>
      </w:r>
    </w:p>
    <w:p>
      <w:pPr>
        <w:pStyle w:val="Normal"/>
      </w:pPr>
      <w:r>
        <w:t xml:space="preserve">De volgende run gebruikt de wijziging. seed.sql wijzigt een bestaande database niet. Migraties worden via user_version eenmaal uitgevoerd: de eerste variatiemigratie past de vijf gebruikers aan; daarna blijven handmatige wijzigingen behouden. Database en rapporten staan buiten Git. Gebruik fictieve data, want invoer verschijnt ook in rapporten.</w:t>
      </w:r>
    </w:p>
    <w:p>
      <w:pPr>
        <w:pStyle w:val="Normal"/>
      </w:pPr>
      <w:r>
        <w:t xml:space="preserve">Ondersteunde keuzes wijzig je in de database. Nieuwe routes of velden kunnen extra testcode vereisen. Typecontrole en drie databasecontroles zijn geslaagd: validatie, SQL-wijzigingen en gegevensbehoud na migratie. De controles staan in testdata/scenarios.test.cjs.</w:t>
      </w:r>
    </w:p>
    <w:p>
      <w:pPr>
        <w:pStyle w:val="Normal"/>
      </w:pPr>
      <w:r>
        <w:t xml:space="preserve">Alle zes scenario’s zijn in drie browsers gecontroleerd. Anna slaagde met 1 schadevrij jaar en is daarna teruggezet naar 0 voor de foutdemonstratie. De huidige dataset is daardoor niet volledig groen zolang die fout optreedt.</w:t>
      </w:r>
    </w:p>
    <w:p>
      <w:pPr>
        <w:pStyle w:val="Heading1"/>
      </w:pPr>
      <w:r>
        <w:t xml:space="preserve">8. Vertaling naar de uiteindelijke Novulo-testsuite</w:t>
      </w:r>
    </w:p>
    <w:p>
      <w:pPr>
        <w:pStyle w:val="Normal"/>
      </w:pPr>
      <w:r>
        <w:t xml:space="preserve">De scheiding van testdata en testlogica maakt dezelfde klantreis herbruikbaar en de invoer controleerbaar. SQLite is het lokale fundament; de centrale gegevensbron staat nog niet vast.</w:t>
      </w:r>
    </w:p>
    <w:p>
      <w:pPr>
        <w:pStyle w:val="Normal"/>
      </w:pPr>
      <w:r>
        <w:t xml:space="preserve">Later kan haalTestscenarioOp() een andere database of Novulo-API uitlezen en dezelfde gegevensstructuur leveren. De browserstappen blijven grotendeels behouden. De API-koppeling moet nog worden gebouwd. Met het team stemmen we endpoints, toegang, scenariobeheer, dataherstel en onafhankelijke data voor parallelle runs af. Initialisatie en foutafhandeling worden daarop aangepast.</w:t>
      </w:r>
    </w:p>
    <w:sectPr>
      <w:footerReference w:type="default" r:id="rId2"/>
      <w:pgSz w:w="11906" w:h="16838"/>
      <w:pgMar w:top="900" w:right="1100" w:bottom="900" w:left="1100" w:header="350" w:footer="400"/>
    </w:sectPr>
  </w:body>
</w:document>
</file>

<file path=word/footer1.xml><?xml version="1.0" encoding="utf-8"?>
<w:ftr xmlns:w="http://schemas.openxmlformats.org/wordprocessingml/2006/main">
  <w:p>
    <w:pPr>
      <w:jc w:val="right"/>
    </w:pPr>
    <w:r>
      <w:rPr>
        <w:sz w:val="18"/>
        <w:color w:val="607080"/>
      </w:rPr>
      <w:t>Testdata • Lancyr / Novulo   |   </w:t>
    </w:r>
    <w:fldSimple w:instr="PAGE"/>
  </w:p>
</w:ftr>
</file>

<file path=word/styles.xml><?xml version="1.0" encoding="utf-8"?>
<w:styles xmlns:w="http://schemas.openxmlformats.org/wordprocessingml/2006/main">
  <w:docDefaults>
    <w:rPrDefault>
      <w:rPr>
        <w:rFonts w:ascii="Calibri" w:hAnsi="Calibri"/>
        <w:sz w:val="21"/>
        <w:color w:val="243447"/>
      </w:rPr>
    </w:rPrDefault>
    <w:pPrDefault>
      <w:pPr>
        <w:spacing w:after="110" w:line="250" w:lineRule="auto"/>
      </w:pPr>
    </w:pPrDefault>
  </w:docDefaults>
  <w:style w:type="paragraph" w:default="1" w:styleId="Normal">
    <w:name w:val="Normal"/>
  </w:style>
  <w:style w:type="paragraph" w:styleId="Title">
    <w:name w:val="Title"/>
    <w:pPr>
      <w:keepNext/>
      <w:spacing w:after="90"/>
    </w:pPr>
    <w:rPr>
      <w:b/>
      <w:sz w:val="40"/>
      <w:color w:val="163A56"/>
    </w:rPr>
  </w:style>
  <w:style w:type="paragraph" w:styleId="Subtitle">
    <w:name w:val="Subtitle"/>
    <w:pPr>
      <w:keepNext/>
      <w:spacing w:after="200"/>
    </w:pPr>
    <w:rPr>
      <w:sz w:val="20"/>
      <w:color w:val="607080"/>
    </w:rPr>
  </w:style>
  <w:style w:type="paragraph" w:styleId="Heading1">
    <w:name w:val="heading 1"/>
    <w:pPr>
      <w:keepNext/>
      <w:spacing w:before="180" w:after="90"/>
      <w:outlineLvl w:val="0"/>
    </w:pPr>
    <w:rPr>
      <w:b/>
      <w:sz w:val="26"/>
      <w:color w:val="163A56"/>
    </w:rPr>
  </w:style>
  <w:style w:type="paragraph" w:styleId="Code">
    <w:name w:val="Code"/>
    <w:pPr>
      <w:spacing w:after="60"/>
      <w:shd w:fill="F0F3F6"/>
    </w:pPr>
    <w:rPr>
      <w:rFonts w:ascii="Consolas" w:hAnsi="Consolas"/>
      <w:sz w:val="18"/>
    </w:rPr>
  </w:style>
  <w:style w:type="paragraph" w:styleId="TableText">
    <w:name w:val="Table text"/>
    <w:pPr>
      <w:spacing w:before="65" w:after="65" w:line="220" w:lineRule="auto"/>
    </w:pPr>
    <w:rPr>
      <w:sz w:val="19"/>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