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Subtitle"/>
      </w:pPr>
      <w:r>
        <w:t xml:space="preserve">SIDEQUEST • PROJECTDOCUMENTATIE</w:t>
      </w:r>
    </w:p>
    <w:p>
      <w:pPr>
        <w:pStyle w:val="Title"/>
      </w:pPr>
      <w:r>
        <w:t xml:space="preserve">Basis voor de Novulo-testsuite</w:t>
      </w:r>
    </w:p>
    <w:p>
      <w:pPr>
        <w:pStyle w:val="Subtitle"/>
      </w:pPr>
      <w:r>
        <w:t xml:space="preserve">Van een Lancyr-praktijkproef naar een herbruikbare testomgeving</w:t>
      </w:r>
    </w:p>
    <w:p>
      <w:pPr>
        <w:pStyle w:val="Meta"/>
      </w:pPr>
      <w:r>
        <w:t xml:space="preserve">12 oktober 2026 · SQ1_playwright_Autover</w:t>
      </w:r>
    </w:p>
    <w:p>
      <w:pPr>
        <w:pStyle w:val="Lead"/>
      </w:pPr>
      <w:r>
        <w:t xml:space="preserve">Een toegankelijke uitleg van de aanleiding, ontwikkeling, technische werking en voorbereiding op de echte testsuite.</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De basis</w:t>
            </w:r>
          </w:p>
        </w:tc>
        <w:tc>
          <w:tcPr>
            <w:tcW w:w="6654" w:type="dxa"/>
            <w:shd w:fill="163A59"/>
            <w:vAlign w:val="center"/>
          </w:tcPr>
          <w:p>
            <w:pPr>
              <w:pStyle w:val="TableText"/>
            </w:pPr>
            <w:r>
              <w:rPr>
                <w:b/>
                <w:color w:val="FFFFFF"/>
              </w:rPr>
              <w:t xml:space="preserve">Wat dit document behandelt</w:t>
            </w:r>
          </w:p>
        </w:tc>
      </w:tr>
      <w:tr>
        <w:trPr>
          <w:cantSplit/>
        </w:trPr>
        <w:tc>
          <w:tcPr>
            <w:tcW w:w="2700" w:type="dxa"/>
            <w:shd w:fill="EFF4F8"/>
            <w:vAlign w:val="center"/>
          </w:tcPr>
          <w:p>
            <w:pPr>
              <w:pStyle w:val="TableText"/>
            </w:pPr>
            <w:r>
              <w:rPr/>
              <w:t xml:space="preserve">Uitvoeren</w:t>
            </w:r>
          </w:p>
        </w:tc>
        <w:tc>
          <w:tcPr>
            <w:tcW w:w="6654" w:type="dxa"/>
            <w:shd w:fill="EFF4F8"/>
            <w:vAlign w:val="center"/>
          </w:tcPr>
          <w:p>
            <w:pPr>
              <w:pStyle w:val="TableText"/>
            </w:pPr>
            <w:r>
              <w:rPr/>
              <w:t xml:space="preserve">Playwright, vaste versies, npm en tijdelijke Docker-containers.</w:t>
            </w:r>
          </w:p>
        </w:tc>
      </w:tr>
      <w:tr>
        <w:trPr>
          <w:cantSplit/>
        </w:trPr>
        <w:tc>
          <w:tcPr>
            <w:tcW w:w="2700" w:type="dxa"/>
            <w:shd w:fill="FFFFFF"/>
            <w:vAlign w:val="center"/>
          </w:tcPr>
          <w:p>
            <w:pPr>
              <w:pStyle w:val="TableText"/>
            </w:pPr>
            <w:r>
              <w:rPr/>
              <w:t xml:space="preserve">Controleren</w:t>
            </w:r>
          </w:p>
        </w:tc>
        <w:tc>
          <w:tcPr>
            <w:tcW w:w="6654" w:type="dxa"/>
            <w:shd w:fill="FFFFFF"/>
            <w:vAlign w:val="center"/>
          </w:tcPr>
          <w:p>
            <w:pPr>
              <w:pStyle w:val="TableText"/>
            </w:pPr>
            <w:r>
              <w:rPr/>
              <w:t xml:space="preserve">Autoverzekering, Schade melden en visuele referentietests.</w:t>
            </w:r>
          </w:p>
        </w:tc>
      </w:tr>
      <w:tr>
        <w:trPr>
          <w:cantSplit/>
        </w:trPr>
        <w:tc>
          <w:tcPr>
            <w:tcW w:w="2700" w:type="dxa"/>
            <w:shd w:fill="EFF4F8"/>
            <w:vAlign w:val="center"/>
          </w:tcPr>
          <w:p>
            <w:pPr>
              <w:pStyle w:val="TableText"/>
            </w:pPr>
            <w:r>
              <w:rPr/>
              <w:t xml:space="preserve">Onderzoeken</w:t>
            </w:r>
          </w:p>
        </w:tc>
        <w:tc>
          <w:tcPr>
            <w:tcW w:w="6654" w:type="dxa"/>
            <w:shd w:fill="EFF4F8"/>
            <w:vAlign w:val="center"/>
          </w:tcPr>
          <w:p>
            <w:pPr>
              <w:pStyle w:val="TableText"/>
            </w:pPr>
            <w:r>
              <w:rPr/>
              <w:t xml:space="preserve">Testgegevens, HTML-overzicht, screenshots en traces.</w:t>
            </w:r>
          </w:p>
        </w:tc>
      </w:tr>
      <w:tr>
        <w:trPr>
          <w:cantSplit/>
        </w:trPr>
        <w:tc>
          <w:tcPr>
            <w:tcW w:w="2700" w:type="dxa"/>
            <w:shd w:fill="FFFFFF"/>
            <w:vAlign w:val="center"/>
          </w:tcPr>
          <w:p>
            <w:pPr>
              <w:pStyle w:val="TableText"/>
            </w:pPr>
            <w:r>
              <w:rPr/>
              <w:t xml:space="preserve">Doorontwikkelen</w:t>
            </w:r>
          </w:p>
        </w:tc>
        <w:tc>
          <w:tcPr>
            <w:tcW w:w="6654" w:type="dxa"/>
            <w:shd w:fill="FFFFFF"/>
            <w:vAlign w:val="center"/>
          </w:tcPr>
          <w:p>
            <w:pPr>
              <w:pStyle w:val="TableText"/>
            </w:pPr>
            <w:r>
              <w:rPr/>
              <w:t xml:space="preserve">Hergebruik voor Novulo en de geplande Elasticsearch-koppeling.</w:t>
            </w:r>
          </w:p>
        </w:tc>
      </w:tr>
    </w:tbl>
    <w:p>
      <w:pPr>
        <w:pStyle w:val="TableText"/>
      </w:pPr>
      <w:r>
        <w:t xml:space="preserve"/>
      </w:r>
    </w:p>
    <w:p>
      <w:pPr>
        <w:pStyle w:val="Meta"/>
      </w:pPr>
      <w:r>
        <w:t xml:space="preserve">Gebaseerd op de projectcode, ontwikkelgeschiedenis en opgeslagen resultaten. De toekomstige inrichting wordt onderscheiden van al gebouwde functionaliteit.</w:t>
      </w:r>
    </w:p>
    <w:p>
      <w:r>
        <w:br w:type="page"/>
      </w:r>
    </w:p>
    <w:p>
      <w:pPr>
        <w:pStyle w:val="Heading1"/>
      </w:pPr>
      <w:r>
        <w:t xml:space="preserve">Leeswijzer en inhoud</w:t>
      </w:r>
    </w:p>
    <w:p>
      <w:pPr>
        <w:pStyle w:val="Normal"/>
      </w:pPr>
      <w:r>
        <w:t xml:space="preserve">Lees hoofdstuk 1 en 2 voor de aanleiding en ontwikkeling. Hoofdstuk 3 tot en met 5 beschrijft de omgeving en bediening. Hoofdstuk 6 tot en met 11 legt tests, gegevens en resultaten uit. Hoofdstuk 12 verbindt de proef met Novulo. De bijlagen bevatten begrippen, startcommando’s en bronnen.</w:t>
      </w:r>
    </w:p>
    <w:p>
      <w:pPr>
        <w:pStyle w:val="Contents"/>
      </w:pPr>
      <w:r>
        <w:t xml:space="preserve">1. Aanleiding en doel</w:t>
      </w:r>
    </w:p>
    <w:p>
      <w:pPr>
        <w:pStyle w:val="Contents"/>
      </w:pPr>
      <w:r>
        <w:t xml:space="preserve">2. Hoe het project tot stand kwam</w:t>
      </w:r>
    </w:p>
    <w:p>
      <w:pPr>
        <w:pStyle w:val="Contents"/>
      </w:pPr>
      <w:r>
        <w:t xml:space="preserve">3. Technische opbouw en vaste versies</w:t>
      </w:r>
    </w:p>
    <w:p>
      <w:pPr>
        <w:pStyle w:val="Contents"/>
      </w:pPr>
      <w:r>
        <w:t xml:space="preserve">4. Docker: tijdelijke uitvoering, blijvende resultaten</w:t>
      </w:r>
    </w:p>
    <w:p>
      <w:pPr>
        <w:pStyle w:val="Contents"/>
      </w:pPr>
      <w:r>
        <w:t xml:space="preserve">5. Tests starten en live meekijken</w:t>
      </w:r>
    </w:p>
    <w:p>
      <w:pPr>
        <w:pStyle w:val="Contents"/>
      </w:pPr>
      <w:r>
        <w:t xml:space="preserve">6. Wat wordt er getest?</w:t>
      </w:r>
    </w:p>
    <w:p>
      <w:pPr>
        <w:pStyle w:val="Contents"/>
      </w:pPr>
      <w:r>
        <w:t xml:space="preserve">7. Van CSV-melding naar regressietest</w:t>
      </w:r>
    </w:p>
    <w:p>
      <w:pPr>
        <w:pStyle w:val="Contents"/>
      </w:pPr>
      <w:r>
        <w:t xml:space="preserve">8. Testgegevens los van browserhandelingen</w:t>
      </w:r>
    </w:p>
    <w:p>
      <w:pPr>
        <w:pStyle w:val="Contents"/>
      </w:pPr>
      <w:r>
        <w:t xml:space="preserve">9. Visuele referentietests</w:t>
      </w:r>
    </w:p>
    <w:p>
      <w:pPr>
        <w:pStyle w:val="Contents"/>
      </w:pPr>
      <w:r>
        <w:t xml:space="preserve">10. Resultaten, HTML-overzicht en foutonderzoek</w:t>
      </w:r>
    </w:p>
    <w:p>
      <w:pPr>
        <w:pStyle w:val="Contents"/>
      </w:pPr>
      <w:r>
        <w:t xml:space="preserve">11. Wat de opgeslagen resultaten aantonen</w:t>
      </w:r>
    </w:p>
    <w:p>
      <w:pPr>
        <w:pStyle w:val="Contents"/>
      </w:pPr>
      <w:r>
        <w:t xml:space="preserve">12. De basis meenemen naar Novulo</w:t>
      </w:r>
    </w:p>
    <w:p>
      <w:pPr>
        <w:pStyle w:val="Contents"/>
      </w:pPr>
      <w:r>
        <w:t xml:space="preserve">Bijlage A. Begrippen en startcommando’s</w:t>
      </w:r>
    </w:p>
    <w:p>
      <w:pPr>
        <w:pStyle w:val="Contents"/>
      </w:pPr>
      <w:r>
        <w:t xml:space="preserve">Bijlage B. Onderbouwing en bronnen</w:t>
      </w:r>
    </w:p>
    <w:p>
      <w:pPr>
        <w:pStyle w:val="Callout"/>
      </w:pPr>
      <w:r>
        <w:t xml:space="preserve">Een geslaagde test betekent dat de gekozen verwachting op dat testmoment is gehaald. Het betekent niet dat de gehele applicatie foutloos is.</w:t>
      </w:r>
    </w:p>
    <w:p>
      <w:r>
        <w:br w:type="page"/>
      </w:r>
    </w:p>
    <w:p>
      <w:pPr>
        <w:pStyle w:val="Heading1"/>
      </w:pPr>
      <w:r>
        <w:t xml:space="preserve">1. Aanleiding en doel</w:t>
      </w:r>
    </w:p>
    <w:p>
      <w:pPr>
        <w:pStyle w:val="Normal"/>
      </w:pPr>
      <w:r>
        <w:t xml:space="preserve">Wanneer een applicatie verandert, kunnen onderdelen die eerder werkten onverwacht kapotgaan. Handmatig steeds dezelfde pagina’s en processen controleren kost tijd. Een automatische testsuite herhaalt afgesproken handelingen en controleert of de uitkomst nog klopt.</w:t>
      </w:r>
    </w:p>
    <w:p>
      <w:pPr>
        <w:pStyle w:val="Normal"/>
      </w:pPr>
      <w:r>
        <w:t xml:space="preserve">Deze sidequest is een technische voorbereiding op een centrale testsuite voor Novulo-applicaties. Lancyr is de praktische proefomgeving. Daarmee wordt onderzocht hoe tests kunnen worden uitgevoerd, hoe gegevens worden aangeleverd en hoe resultaten begrijpelijk worden getoond.</w:t>
      </w:r>
    </w:p>
    <w:p>
      <w:pPr>
        <w:pStyle w:val="Normal"/>
      </w:pPr>
      <w:r>
        <w:t xml:space="preserve">Het project test de autoverzekeringsfunnel en de pagina’s van ‘Schade melden’. Een funnel is een reeks stappen die een bezoeker doorloopt, bijvoorbeeld van het invullen van een kenteken tot de winkelwagen. De autoverzekeringstest stopt vóór ‘Sluit af’. Er wordt dus geen definitieve aanvraag via die knop gestart. Eerdere stappen doen wel verzoeken aan de live website.</w:t>
      </w:r>
    </w:p>
    <w:p>
      <w:pPr>
        <w:pStyle w:val="Normal"/>
      </w:pPr>
      <w:r>
        <w:t xml:space="preserve">De beoogde opbrengst is een herbruikbare basis: Playwright-tests, een vaste Docker-omgeving, gescheiden testdata, uitvoerscripts en een centrale HTML-pagina voor resultaten. De Lancyr-specifieke pagina’s en browserhandelingen worden later vervangen of aangevuld met Novulo-processen.</w:t>
      </w:r>
    </w:p>
    <w:p>
      <w:pPr>
        <w:pStyle w:val="Heading2"/>
        <w:keepNext/>
      </w:pPr>
      <w:r>
        <w:t xml:space="preserve">Wat betekent automatisch testen?</w:t>
      </w:r>
    </w:p>
    <w:p>
      <w:pPr>
        <w:pStyle w:val="Normal"/>
      </w:pPr>
      <w:r>
        <w:t xml:space="preserve">Playwright bestuurt een echte browser: het opent pagina’s, vult velden in en klikt op knoppen. Na een handeling controleert de test een verwachting. Alleen klikken is onvoldoende; de test moet bijvoorbeeld ook vaststellen dat de juiste pagina of status verschijnt.</w:t>
      </w:r>
    </w:p>
    <w:p>
      <w:pPr>
        <w:pStyle w:val="Normal"/>
      </w:pPr>
      <w:r>
        <w:t xml:space="preserve">Voorbeeld: de test kiest een verzekeringsdekking en controleert daarna of die dekking in de winkelwagen staat. Komt de waargenomen uitkomst niet overeen met de verwachting, dan faalt de test en wordt materiaal voor onderzoek opgeslagen.</w:t>
      </w:r>
    </w:p>
    <w:p>
      <w:pPr>
        <w:pStyle w:val="Heading2"/>
        <w:keepNext/>
      </w:pPr>
      <w:r>
        <w:t xml:space="preserve">De kern in één overzicht</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Onderdeel</w:t>
            </w:r>
          </w:p>
        </w:tc>
        <w:tc>
          <w:tcPr>
            <w:tcW w:w="6654" w:type="dxa"/>
            <w:shd w:fill="163A59"/>
            <w:vAlign w:val="center"/>
          </w:tcPr>
          <w:p>
            <w:pPr>
              <w:pStyle w:val="TableText"/>
            </w:pPr>
            <w:r>
              <w:rPr>
                <w:b/>
                <w:color w:val="FFFFFF"/>
              </w:rPr>
              <w:t xml:space="preserve">Functie</w:t>
            </w:r>
          </w:p>
        </w:tc>
      </w:tr>
      <w:tr>
        <w:trPr>
          <w:cantSplit/>
        </w:trPr>
        <w:tc>
          <w:tcPr>
            <w:tcW w:w="2700" w:type="dxa"/>
            <w:shd w:fill="EFF4F8"/>
            <w:vAlign w:val="center"/>
          </w:tcPr>
          <w:p>
            <w:pPr>
              <w:pStyle w:val="TableText"/>
            </w:pPr>
            <w:r>
              <w:rPr/>
              <w:t xml:space="preserve">Testcode</w:t>
            </w:r>
          </w:p>
        </w:tc>
        <w:tc>
          <w:tcPr>
            <w:tcW w:w="6654" w:type="dxa"/>
            <w:shd w:fill="EFF4F8"/>
            <w:vAlign w:val="center"/>
          </w:tcPr>
          <w:p>
            <w:pPr>
              <w:pStyle w:val="TableText"/>
            </w:pPr>
            <w:r>
              <w:rPr/>
              <w:t xml:space="preserve">Beschrijft de handelingen en controles.</w:t>
            </w:r>
          </w:p>
        </w:tc>
      </w:tr>
      <w:tr>
        <w:trPr>
          <w:cantSplit/>
        </w:trPr>
        <w:tc>
          <w:tcPr>
            <w:tcW w:w="2700" w:type="dxa"/>
            <w:shd w:fill="FFFFFF"/>
            <w:vAlign w:val="center"/>
          </w:tcPr>
          <w:p>
            <w:pPr>
              <w:pStyle w:val="TableText"/>
            </w:pPr>
            <w:r>
              <w:rPr/>
              <w:t xml:space="preserve">Testgegevens</w:t>
            </w:r>
          </w:p>
        </w:tc>
        <w:tc>
          <w:tcPr>
            <w:tcW w:w="6654" w:type="dxa"/>
            <w:shd w:fill="FFFFFF"/>
            <w:vAlign w:val="center"/>
          </w:tcPr>
          <w:p>
            <w:pPr>
              <w:pStyle w:val="TableText"/>
            </w:pPr>
            <w:r>
              <w:rPr/>
              <w:t xml:space="preserve">Beschrijven invoer, scenario’s en verwachte uitkomsten.</w:t>
            </w:r>
          </w:p>
        </w:tc>
      </w:tr>
      <w:tr>
        <w:trPr>
          <w:cantSplit/>
        </w:trPr>
        <w:tc>
          <w:tcPr>
            <w:tcW w:w="2700" w:type="dxa"/>
            <w:shd w:fill="EFF4F8"/>
            <w:vAlign w:val="center"/>
          </w:tcPr>
          <w:p>
            <w:pPr>
              <w:pStyle w:val="TableText"/>
            </w:pPr>
            <w:r>
              <w:rPr/>
              <w:t xml:space="preserve">Docker</w:t>
            </w:r>
          </w:p>
        </w:tc>
        <w:tc>
          <w:tcPr>
            <w:tcW w:w="6654" w:type="dxa"/>
            <w:shd w:fill="EFF4F8"/>
            <w:vAlign w:val="center"/>
          </w:tcPr>
          <w:p>
            <w:pPr>
              <w:pStyle w:val="TableText"/>
            </w:pPr>
            <w:r>
              <w:rPr/>
              <w:t xml:space="preserve">Levert de afgesproken omgeving waarin de tests draaien.</w:t>
            </w:r>
          </w:p>
        </w:tc>
      </w:tr>
      <w:tr>
        <w:trPr>
          <w:cantSplit/>
        </w:trPr>
        <w:tc>
          <w:tcPr>
            <w:tcW w:w="2700" w:type="dxa"/>
            <w:shd w:fill="FFFFFF"/>
            <w:vAlign w:val="center"/>
          </w:tcPr>
          <w:p>
            <w:pPr>
              <w:pStyle w:val="TableText"/>
            </w:pPr>
            <w:r>
              <w:rPr/>
              <w:t xml:space="preserve">Rapportage</w:t>
            </w:r>
          </w:p>
        </w:tc>
        <w:tc>
          <w:tcPr>
            <w:tcW w:w="6654" w:type="dxa"/>
            <w:shd w:fill="FFFFFF"/>
            <w:vAlign w:val="center"/>
          </w:tcPr>
          <w:p>
            <w:pPr>
              <w:pStyle w:val="TableText"/>
            </w:pPr>
            <w:r>
              <w:rPr/>
              <w:t xml:space="preserve">Bewaart resultaten en helpt fouten onderzoeken.</w:t>
            </w:r>
          </w:p>
        </w:tc>
      </w:tr>
    </w:tbl>
    <w:p>
      <w:pPr>
        <w:pStyle w:val="TableText"/>
      </w:pPr>
      <w:r>
        <w:t xml:space="preserve"/>
      </w:r>
    </w:p>
    <w:p>
      <w:r>
        <w:br w:type="page"/>
      </w:r>
    </w:p>
    <w:p>
      <w:pPr>
        <w:pStyle w:val="Heading1"/>
      </w:pPr>
      <w:r>
        <w:t xml:space="preserve">2. Hoe het project tot stand kwam</w:t>
      </w:r>
    </w:p>
    <w:p>
      <w:pPr>
        <w:pStyle w:val="Normal"/>
      </w:pPr>
      <w:r>
        <w:t xml:space="preserve">De Git-geschiedenis laat een stapsgewijze uitbreiding zien. Git bewaart wijzigingen aan bestanden. Een commit is een opgeslagen wijziging; een merge voegt het werk uit een ontwikkeltak samen met de hoofdtak. De tabel geeft de belangrijkste bouwstappen weer, geen volledige lijst van alle commits.</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250"/>
        <w:gridCol w:w="2400"/>
        <w:gridCol w:w="4704"/>
      </w:tblGrid>
      <w:tr>
        <w:trPr>
          <w:cantSplit/>
          <w:tblHeader/>
        </w:trPr>
        <w:tc>
          <w:tcPr>
            <w:tcW w:w="2250" w:type="dxa"/>
            <w:shd w:fill="163A59"/>
            <w:vAlign w:val="center"/>
          </w:tcPr>
          <w:p>
            <w:pPr>
              <w:pStyle w:val="TableText"/>
            </w:pPr>
            <w:r>
              <w:rPr>
                <w:b/>
                <w:color w:val="FFFFFF"/>
              </w:rPr>
              <w:t xml:space="preserve">Periode</w:t>
            </w:r>
          </w:p>
        </w:tc>
        <w:tc>
          <w:tcPr>
            <w:tcW w:w="2400" w:type="dxa"/>
            <w:shd w:fill="163A59"/>
            <w:vAlign w:val="center"/>
          </w:tcPr>
          <w:p>
            <w:pPr>
              <w:pStyle w:val="TableText"/>
            </w:pPr>
            <w:r>
              <w:rPr>
                <w:b/>
                <w:color w:val="FFFFFF"/>
              </w:rPr>
              <w:t xml:space="preserve">Uitbreiding</w:t>
            </w:r>
          </w:p>
        </w:tc>
        <w:tc>
          <w:tcPr>
            <w:tcW w:w="4704" w:type="dxa"/>
            <w:shd w:fill="163A59"/>
            <w:vAlign w:val="center"/>
          </w:tcPr>
          <w:p>
            <w:pPr>
              <w:pStyle w:val="TableText"/>
            </w:pPr>
            <w:r>
              <w:rPr>
                <w:b/>
                <w:color w:val="FFFFFF"/>
              </w:rPr>
              <w:t xml:space="preserve">Betekenis voor het project</w:t>
            </w:r>
          </w:p>
        </w:tc>
      </w:tr>
      <w:tr>
        <w:trPr>
          <w:cantSplit/>
        </w:trPr>
        <w:tc>
          <w:tcPr>
            <w:tcW w:w="2250" w:type="dxa"/>
            <w:shd w:fill="EFF4F8"/>
            <w:vAlign w:val="center"/>
          </w:tcPr>
          <w:p>
            <w:pPr>
              <w:pStyle w:val="TableText"/>
            </w:pPr>
            <w:r>
              <w:rPr/>
              <w:t xml:space="preserve">16–17 september</w:t>
            </w:r>
          </w:p>
        </w:tc>
        <w:tc>
          <w:tcPr>
            <w:tcW w:w="2400" w:type="dxa"/>
            <w:shd w:fill="EFF4F8"/>
            <w:vAlign w:val="center"/>
          </w:tcPr>
          <w:p>
            <w:pPr>
              <w:pStyle w:val="TableText"/>
            </w:pPr>
            <w:r>
              <w:rPr/>
              <w:t xml:space="preserve">Basisproject en Lancyr-tests</w:t>
            </w:r>
          </w:p>
        </w:tc>
        <w:tc>
          <w:tcPr>
            <w:tcW w:w="4704" w:type="dxa"/>
            <w:shd w:fill="EFF4F8"/>
            <w:vAlign w:val="center"/>
          </w:tcPr>
          <w:p>
            <w:pPr>
              <w:pStyle w:val="TableText"/>
            </w:pPr>
            <w:r>
              <w:rPr/>
              <w:t xml:space="preserve">Browserhandelingen, controles en Docker-workflow ingericht. De dekkingskeuze werd gerichter gemaakt, zodat de test niet afhankelijk is van de volgorde van knoppen.</w:t>
            </w:r>
          </w:p>
        </w:tc>
      </w:tr>
      <w:tr>
        <w:trPr>
          <w:cantSplit/>
        </w:trPr>
        <w:tc>
          <w:tcPr>
            <w:tcW w:w="2250" w:type="dxa"/>
            <w:shd w:fill="FFFFFF"/>
            <w:vAlign w:val="center"/>
          </w:tcPr>
          <w:p>
            <w:pPr>
              <w:pStyle w:val="TableText"/>
            </w:pPr>
            <w:r>
              <w:rPr/>
              <w:t xml:space="preserve">28 september</w:t>
            </w:r>
          </w:p>
        </w:tc>
        <w:tc>
          <w:tcPr>
            <w:tcW w:w="2400" w:type="dxa"/>
            <w:shd w:fill="FFFFFF"/>
            <w:vAlign w:val="center"/>
          </w:tcPr>
          <w:p>
            <w:pPr>
              <w:pStyle w:val="TableText"/>
            </w:pPr>
            <w:r>
              <w:rPr/>
              <w:t xml:space="preserve">Versiebeheer, merge van PR #1</w:t>
            </w:r>
          </w:p>
        </w:tc>
        <w:tc>
          <w:tcPr>
            <w:tcW w:w="4704" w:type="dxa"/>
            <w:shd w:fill="FFFFFF"/>
            <w:vAlign w:val="center"/>
          </w:tcPr>
          <w:p>
            <w:pPr>
              <w:pStyle w:val="TableText"/>
            </w:pPr>
            <w:r>
              <w:rPr/>
              <w:t xml:space="preserve">Node.js, npm en dependencies vastgelegd en met Docker afgestemd.</w:t>
            </w:r>
          </w:p>
        </w:tc>
      </w:tr>
      <w:tr>
        <w:trPr>
          <w:cantSplit/>
        </w:trPr>
        <w:tc>
          <w:tcPr>
            <w:tcW w:w="2250" w:type="dxa"/>
            <w:shd w:fill="EFF4F8"/>
            <w:vAlign w:val="center"/>
          </w:tcPr>
          <w:p>
            <w:pPr>
              <w:pStyle w:val="TableText"/>
            </w:pPr>
            <w:r>
              <w:rPr/>
              <w:t xml:space="preserve">29 september</w:t>
            </w:r>
          </w:p>
        </w:tc>
        <w:tc>
          <w:tcPr>
            <w:tcW w:w="2400" w:type="dxa"/>
            <w:shd w:fill="EFF4F8"/>
            <w:vAlign w:val="center"/>
          </w:tcPr>
          <w:p>
            <w:pPr>
              <w:pStyle w:val="TableText"/>
            </w:pPr>
            <w:r>
              <w:rPr/>
              <w:t xml:space="preserve">Headed viewer en WebKit, PR #2 en #3</w:t>
            </w:r>
          </w:p>
        </w:tc>
        <w:tc>
          <w:tcPr>
            <w:tcW w:w="4704" w:type="dxa"/>
            <w:shd w:fill="EFF4F8"/>
            <w:vAlign w:val="center"/>
          </w:tcPr>
          <w:p>
            <w:pPr>
              <w:pStyle w:val="TableText"/>
            </w:pPr>
            <w:r>
              <w:rPr/>
              <w:t xml:space="preserve">Live meekijken toegevoegd en browserdekking uitgebreid.</w:t>
            </w:r>
          </w:p>
        </w:tc>
      </w:tr>
      <w:tr>
        <w:trPr>
          <w:cantSplit/>
        </w:trPr>
        <w:tc>
          <w:tcPr>
            <w:tcW w:w="2250" w:type="dxa"/>
            <w:shd w:fill="FFFFFF"/>
            <w:vAlign w:val="center"/>
          </w:tcPr>
          <w:p>
            <w:pPr>
              <w:pStyle w:val="TableText"/>
            </w:pPr>
            <w:r>
              <w:rPr/>
              <w:t xml:space="preserve">30 september</w:t>
            </w:r>
          </w:p>
        </w:tc>
        <w:tc>
          <w:tcPr>
            <w:tcW w:w="2400" w:type="dxa"/>
            <w:shd w:fill="FFFFFF"/>
            <w:vAlign w:val="center"/>
          </w:tcPr>
          <w:p>
            <w:pPr>
              <w:pStyle w:val="TableText"/>
            </w:pPr>
            <w:r>
              <w:rPr/>
              <w:t xml:space="preserve">Visuele referentietest, later PR #4</w:t>
            </w:r>
          </w:p>
        </w:tc>
        <w:tc>
          <w:tcPr>
            <w:tcW w:w="4704" w:type="dxa"/>
            <w:shd w:fill="FFFFFF"/>
            <w:vAlign w:val="center"/>
          </w:tcPr>
          <w:p>
            <w:pPr>
              <w:pStyle w:val="TableText"/>
            </w:pPr>
            <w:r>
              <w:rPr/>
              <w:t xml:space="preserve">Screenshotvergelijking en een bewuste visuele foutdemo toegevoegd.</w:t>
            </w:r>
          </w:p>
        </w:tc>
      </w:tr>
      <w:tr>
        <w:trPr>
          <w:cantSplit/>
        </w:trPr>
        <w:tc>
          <w:tcPr>
            <w:tcW w:w="2250" w:type="dxa"/>
            <w:shd w:fill="EFF4F8"/>
            <w:vAlign w:val="center"/>
          </w:tcPr>
          <w:p>
            <w:pPr>
              <w:pStyle w:val="TableText"/>
            </w:pPr>
            <w:r>
              <w:rPr/>
              <w:t xml:space="preserve">30 september–2 oktober</w:t>
            </w:r>
          </w:p>
        </w:tc>
        <w:tc>
          <w:tcPr>
            <w:tcW w:w="2400" w:type="dxa"/>
            <w:shd w:fill="EFF4F8"/>
            <w:vAlign w:val="center"/>
          </w:tcPr>
          <w:p>
            <w:pPr>
              <w:pStyle w:val="TableText"/>
            </w:pPr>
            <w:r>
              <w:rPr/>
              <w:t xml:space="preserve">SQLite-testdata, PR #5</w:t>
            </w:r>
          </w:p>
        </w:tc>
        <w:tc>
          <w:tcPr>
            <w:tcW w:w="4704" w:type="dxa"/>
            <w:shd w:fill="EFF4F8"/>
            <w:vAlign w:val="center"/>
          </w:tcPr>
          <w:p>
            <w:pPr>
              <w:pStyle w:val="TableText"/>
            </w:pPr>
            <w:r>
              <w:rPr/>
              <w:t xml:space="preserve">Invoer buiten de testcode opgeslagen en meerdere gebruikersscenario’s toegevoegd.</w:t>
            </w:r>
          </w:p>
        </w:tc>
      </w:tr>
      <w:tr>
        <w:trPr>
          <w:cantSplit/>
        </w:trPr>
        <w:tc>
          <w:tcPr>
            <w:tcW w:w="2250" w:type="dxa"/>
            <w:shd w:fill="FFFFFF"/>
            <w:vAlign w:val="center"/>
          </w:tcPr>
          <w:p>
            <w:pPr>
              <w:pStyle w:val="TableText"/>
            </w:pPr>
            <w:r>
              <w:rPr/>
              <w:t xml:space="preserve">5 oktober</w:t>
            </w:r>
          </w:p>
        </w:tc>
        <w:tc>
          <w:tcPr>
            <w:tcW w:w="2400" w:type="dxa"/>
            <w:shd w:fill="FFFFFF"/>
            <w:vAlign w:val="center"/>
          </w:tcPr>
          <w:p>
            <w:pPr>
              <w:pStyle w:val="TableText"/>
            </w:pPr>
            <w:r>
              <w:rPr/>
              <w:t xml:space="preserve">Centrale rapportpagina, PR #6</w:t>
            </w:r>
          </w:p>
        </w:tc>
        <w:tc>
          <w:tcPr>
            <w:tcW w:w="4704" w:type="dxa"/>
            <w:shd w:fill="FFFFFF"/>
            <w:vAlign w:val="center"/>
          </w:tcPr>
          <w:p>
            <w:pPr>
              <w:pStyle w:val="TableText"/>
            </w:pPr>
            <w:r>
              <w:rPr/>
              <w:t xml:space="preserve">Opgeslagen resultaten samengebracht in een overzicht met filters en foutdetails.</w:t>
            </w:r>
          </w:p>
        </w:tc>
      </w:tr>
      <w:tr>
        <w:trPr>
          <w:cantSplit/>
        </w:trPr>
        <w:tc>
          <w:tcPr>
            <w:tcW w:w="2250" w:type="dxa"/>
            <w:shd w:fill="EFF4F8"/>
            <w:vAlign w:val="center"/>
          </w:tcPr>
          <w:p>
            <w:pPr>
              <w:pStyle w:val="TableText"/>
            </w:pPr>
            <w:r>
              <w:rPr/>
              <w:t xml:space="preserve">5–6 oktober</w:t>
            </w:r>
          </w:p>
        </w:tc>
        <w:tc>
          <w:tcPr>
            <w:tcW w:w="2400" w:type="dxa"/>
            <w:shd w:fill="EFF4F8"/>
            <w:vAlign w:val="center"/>
          </w:tcPr>
          <w:p>
            <w:pPr>
              <w:pStyle w:val="TableText"/>
            </w:pPr>
            <w:r>
              <w:rPr/>
              <w:t xml:space="preserve">Schade-regressiesuite en rapportuitbreidingen</w:t>
            </w:r>
          </w:p>
        </w:tc>
        <w:tc>
          <w:tcPr>
            <w:tcW w:w="4704" w:type="dxa"/>
            <w:shd w:fill="EFF4F8"/>
            <w:vAlign w:val="center"/>
          </w:tcPr>
          <w:p>
            <w:pPr>
              <w:pStyle w:val="TableText"/>
            </w:pPr>
            <w:r>
              <w:rPr/>
              <w:t xml:space="preserve">Moz-meldingen vertaald naar controles; testgroepen en browserfilter toegevoegd.</w:t>
            </w:r>
          </w:p>
        </w:tc>
      </w:tr>
      <w:tr>
        <w:trPr>
          <w:cantSplit/>
        </w:trPr>
        <w:tc>
          <w:tcPr>
            <w:tcW w:w="2250" w:type="dxa"/>
            <w:shd w:fill="FFFFFF"/>
            <w:vAlign w:val="center"/>
          </w:tcPr>
          <w:p>
            <w:pPr>
              <w:pStyle w:val="TableText"/>
            </w:pPr>
            <w:r>
              <w:rPr/>
              <w:t xml:space="preserve">6–7 oktober</w:t>
            </w:r>
          </w:p>
        </w:tc>
        <w:tc>
          <w:tcPr>
            <w:tcW w:w="2400" w:type="dxa"/>
            <w:shd w:fill="FFFFFF"/>
            <w:vAlign w:val="center"/>
          </w:tcPr>
          <w:p>
            <w:pPr>
              <w:pStyle w:val="TableText"/>
            </w:pPr>
            <w:r>
              <w:rPr/>
              <w:t xml:space="preserve">Startmenu en live meekijken in het menu</w:t>
            </w:r>
          </w:p>
        </w:tc>
        <w:tc>
          <w:tcPr>
            <w:tcW w:w="4704" w:type="dxa"/>
            <w:shd w:fill="FFFFFF"/>
            <w:vAlign w:val="center"/>
          </w:tcPr>
          <w:p>
            <w:pPr>
              <w:pStyle w:val="TableText"/>
            </w:pPr>
            <w:r>
              <w:rPr/>
              <w:t xml:space="preserve">Uitvoering toegankelijker gemaakt via VS Code en het terminalmenu.</w:t>
            </w:r>
          </w:p>
        </w:tc>
      </w:tr>
    </w:tbl>
    <w:p>
      <w:pPr>
        <w:pStyle w:val="TableText"/>
      </w:pPr>
      <w:r>
        <w:t xml:space="preserve"/>
      </w:r>
    </w:p>
    <w:p>
      <w:pPr>
        <w:pStyle w:val="Normal"/>
      </w:pPr>
      <w:r>
        <w:t xml:space="preserve">Deze volgorde laat zien hoe de proef groeide van browserautomatisering naar een complete lokale werkwijze. De meerwaarde zit in de combinatie: een test kan met vaste tooling worden gestart, gebruikt herkenbare gegevens en levert terug te vinden resultaten op.</w:t>
      </w:r>
    </w:p>
    <w:p>
      <w:r>
        <w:br w:type="page"/>
      </w:r>
    </w:p>
    <w:p>
      <w:pPr>
        <w:pStyle w:val="Heading1"/>
      </w:pPr>
      <w:r>
        <w:t xml:space="preserve">3. Technische opbouw en vaste versies</w:t>
      </w:r>
    </w:p>
    <w:p>
      <w:pPr>
        <w:pStyle w:val="Normal"/>
      </w:pPr>
      <w:r>
        <w:t xml:space="preserve">De tests zijn geschreven in TypeScript. Dat is een programmeertaal die helpt om fouten in de structuur van de code vroeg te ontdekken. Node.js voert de JavaScript-/TypeScript-tools uit. npm installeert de pakketten die daarvoor nodig zijn. Playwright is de tool die daadwerkelijk de browsers bestuurt en de tests uitvoert.</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250"/>
        <w:gridCol w:w="2400"/>
        <w:gridCol w:w="4704"/>
      </w:tblGrid>
      <w:tr>
        <w:trPr>
          <w:cantSplit/>
          <w:tblHeader/>
        </w:trPr>
        <w:tc>
          <w:tcPr>
            <w:tcW w:w="2250" w:type="dxa"/>
            <w:shd w:fill="163A59"/>
            <w:vAlign w:val="center"/>
          </w:tcPr>
          <w:p>
            <w:pPr>
              <w:pStyle w:val="TableText"/>
            </w:pPr>
            <w:r>
              <w:rPr>
                <w:b/>
                <w:color w:val="FFFFFF"/>
              </w:rPr>
              <w:t xml:space="preserve">Tool of bestand</w:t>
            </w:r>
          </w:p>
        </w:tc>
        <w:tc>
          <w:tcPr>
            <w:tcW w:w="2400" w:type="dxa"/>
            <w:shd w:fill="163A59"/>
            <w:vAlign w:val="center"/>
          </w:tcPr>
          <w:p>
            <w:pPr>
              <w:pStyle w:val="TableText"/>
            </w:pPr>
            <w:r>
              <w:rPr>
                <w:b/>
                <w:color w:val="FFFFFF"/>
              </w:rPr>
              <w:t xml:space="preserve">Vastgelegd in het project</w:t>
            </w:r>
          </w:p>
        </w:tc>
        <w:tc>
          <w:tcPr>
            <w:tcW w:w="4704" w:type="dxa"/>
            <w:shd w:fill="163A59"/>
            <w:vAlign w:val="center"/>
          </w:tcPr>
          <w:p>
            <w:pPr>
              <w:pStyle w:val="TableText"/>
            </w:pPr>
            <w:r>
              <w:rPr>
                <w:b/>
                <w:color w:val="FFFFFF"/>
              </w:rPr>
              <w:t xml:space="preserve">Waarom?</w:t>
            </w:r>
          </w:p>
        </w:tc>
      </w:tr>
      <w:tr>
        <w:trPr>
          <w:cantSplit/>
        </w:trPr>
        <w:tc>
          <w:tcPr>
            <w:tcW w:w="2250" w:type="dxa"/>
            <w:shd w:fill="EFF4F8"/>
            <w:vAlign w:val="center"/>
          </w:tcPr>
          <w:p>
            <w:pPr>
              <w:pStyle w:val="TableText"/>
            </w:pPr>
            <w:r>
              <w:rPr/>
              <w:t xml:space="preserve">Node.js</w:t>
            </w:r>
          </w:p>
        </w:tc>
        <w:tc>
          <w:tcPr>
            <w:tcW w:w="2400" w:type="dxa"/>
            <w:shd w:fill="EFF4F8"/>
            <w:vAlign w:val="center"/>
          </w:tcPr>
          <w:p>
            <w:pPr>
              <w:pStyle w:val="TableText"/>
            </w:pPr>
            <w:r>
              <w:rPr/>
              <w:t xml:space="preserve">24.21.0, uit de LTS-reeks</w:t>
            </w:r>
          </w:p>
        </w:tc>
        <w:tc>
          <w:tcPr>
            <w:tcW w:w="4704" w:type="dxa"/>
            <w:shd w:fill="EFF4F8"/>
            <w:vAlign w:val="center"/>
          </w:tcPr>
          <w:p>
            <w:pPr>
              <w:pStyle w:val="TableText"/>
            </w:pPr>
            <w:r>
              <w:rPr/>
              <w:t xml:space="preserve">Langdurig ondersteunde basis. De runtime bevat de SQLite-functionaliteit die deze proef gebruikt.</w:t>
            </w:r>
          </w:p>
        </w:tc>
      </w:tr>
      <w:tr>
        <w:trPr>
          <w:cantSplit/>
        </w:trPr>
        <w:tc>
          <w:tcPr>
            <w:tcW w:w="2250" w:type="dxa"/>
            <w:shd w:fill="FFFFFF"/>
            <w:vAlign w:val="center"/>
          </w:tcPr>
          <w:p>
            <w:pPr>
              <w:pStyle w:val="TableText"/>
            </w:pPr>
            <w:r>
              <w:rPr/>
              <w:t xml:space="preserve">npm</w:t>
            </w:r>
          </w:p>
        </w:tc>
        <w:tc>
          <w:tcPr>
            <w:tcW w:w="2400" w:type="dxa"/>
            <w:shd w:fill="FFFFFF"/>
            <w:vAlign w:val="center"/>
          </w:tcPr>
          <w:p>
            <w:pPr>
              <w:pStyle w:val="TableText"/>
            </w:pPr>
            <w:r>
              <w:rPr/>
              <w:t xml:space="preserve">11.19.0</w:t>
            </w:r>
          </w:p>
        </w:tc>
        <w:tc>
          <w:tcPr>
            <w:tcW w:w="4704" w:type="dxa"/>
            <w:shd w:fill="FFFFFF"/>
            <w:vAlign w:val="center"/>
          </w:tcPr>
          <w:p>
            <w:pPr>
              <w:pStyle w:val="TableText"/>
            </w:pPr>
            <w:r>
              <w:rPr/>
              <w:t xml:space="preserve">Afgestemd op Node.js; de Docker-build controleert de afgesproken versie.</w:t>
            </w:r>
          </w:p>
        </w:tc>
      </w:tr>
      <w:tr>
        <w:trPr>
          <w:cantSplit/>
        </w:trPr>
        <w:tc>
          <w:tcPr>
            <w:tcW w:w="2250" w:type="dxa"/>
            <w:shd w:fill="EFF4F8"/>
            <w:vAlign w:val="center"/>
          </w:tcPr>
          <w:p>
            <w:pPr>
              <w:pStyle w:val="TableText"/>
            </w:pPr>
            <w:r>
              <w:rPr/>
              <w:t xml:space="preserve">Playwright</w:t>
            </w:r>
          </w:p>
        </w:tc>
        <w:tc>
          <w:tcPr>
            <w:tcW w:w="2400" w:type="dxa"/>
            <w:shd w:fill="EFF4F8"/>
            <w:vAlign w:val="center"/>
          </w:tcPr>
          <w:p>
            <w:pPr>
              <w:pStyle w:val="TableText"/>
            </w:pPr>
            <w:r>
              <w:rPr/>
              <w:t xml:space="preserve">1.63.0</w:t>
            </w:r>
          </w:p>
        </w:tc>
        <w:tc>
          <w:tcPr>
            <w:tcW w:w="4704" w:type="dxa"/>
            <w:shd w:fill="EFF4F8"/>
            <w:vAlign w:val="center"/>
          </w:tcPr>
          <w:p>
            <w:pPr>
              <w:pStyle w:val="TableText"/>
            </w:pPr>
            <w:r>
              <w:rPr/>
              <w:t xml:space="preserve">Gelijk aan de versie van de Playwright-browserimage. Bibliotheek en browserbestanden horen bij elkaar.</w:t>
            </w:r>
          </w:p>
        </w:tc>
      </w:tr>
      <w:tr>
        <w:trPr>
          <w:cantSplit/>
        </w:trPr>
        <w:tc>
          <w:tcPr>
            <w:tcW w:w="2250" w:type="dxa"/>
            <w:shd w:fill="FFFFFF"/>
            <w:vAlign w:val="center"/>
          </w:tcPr>
          <w:p>
            <w:pPr>
              <w:pStyle w:val="TableText"/>
            </w:pPr>
            <w:r>
              <w:rPr/>
              <w:t xml:space="preserve">TypeScript</w:t>
            </w:r>
          </w:p>
        </w:tc>
        <w:tc>
          <w:tcPr>
            <w:tcW w:w="2400" w:type="dxa"/>
            <w:shd w:fill="FFFFFF"/>
            <w:vAlign w:val="center"/>
          </w:tcPr>
          <w:p>
            <w:pPr>
              <w:pStyle w:val="TableText"/>
            </w:pPr>
            <w:r>
              <w:rPr/>
              <w:t xml:space="preserve">7.0.2</w:t>
            </w:r>
          </w:p>
        </w:tc>
        <w:tc>
          <w:tcPr>
            <w:tcW w:w="4704" w:type="dxa"/>
            <w:shd w:fill="FFFFFF"/>
            <w:vAlign w:val="center"/>
          </w:tcPr>
          <w:p>
            <w:pPr>
              <w:pStyle w:val="TableText"/>
            </w:pPr>
            <w:r>
              <w:rPr/>
              <w:t xml:space="preserve">Vaste compiler voor typecontrole.</w:t>
            </w:r>
          </w:p>
        </w:tc>
      </w:tr>
      <w:tr>
        <w:trPr>
          <w:cantSplit/>
        </w:trPr>
        <w:tc>
          <w:tcPr>
            <w:tcW w:w="2250" w:type="dxa"/>
            <w:shd w:fill="EFF4F8"/>
            <w:vAlign w:val="center"/>
          </w:tcPr>
          <w:p>
            <w:pPr>
              <w:pStyle w:val="TableText"/>
            </w:pPr>
            <w:r>
              <w:rPr/>
              <w:t xml:space="preserve">Node-typebeschrijvingen</w:t>
            </w:r>
          </w:p>
        </w:tc>
        <w:tc>
          <w:tcPr>
            <w:tcW w:w="2400" w:type="dxa"/>
            <w:shd w:fill="EFF4F8"/>
            <w:vAlign w:val="center"/>
          </w:tcPr>
          <w:p>
            <w:pPr>
              <w:pStyle w:val="TableText"/>
            </w:pPr>
            <w:r>
              <w:rPr/>
              <w:t xml:space="preserve">@types/node 24.19.0</w:t>
            </w:r>
          </w:p>
        </w:tc>
        <w:tc>
          <w:tcPr>
            <w:tcW w:w="4704" w:type="dxa"/>
            <w:shd w:fill="EFF4F8"/>
            <w:vAlign w:val="center"/>
          </w:tcPr>
          <w:p>
            <w:pPr>
              <w:pStyle w:val="TableText"/>
            </w:pPr>
            <w:r>
              <w:rPr/>
              <w:t xml:space="preserve">Ondersteunen de controle van code die Node.js-functies gebruikt.</w:t>
            </w:r>
          </w:p>
        </w:tc>
      </w:tr>
      <w:tr>
        <w:trPr>
          <w:cantSplit/>
        </w:trPr>
        <w:tc>
          <w:tcPr>
            <w:tcW w:w="2250" w:type="dxa"/>
            <w:shd w:fill="FFFFFF"/>
            <w:vAlign w:val="center"/>
          </w:tcPr>
          <w:p>
            <w:pPr>
              <w:pStyle w:val="TableText"/>
            </w:pPr>
            <w:r>
              <w:rPr/>
              <w:t xml:space="preserve">package-lock.json</w:t>
            </w:r>
          </w:p>
        </w:tc>
        <w:tc>
          <w:tcPr>
            <w:tcW w:w="2400" w:type="dxa"/>
            <w:shd w:fill="FFFFFF"/>
            <w:vAlign w:val="center"/>
          </w:tcPr>
          <w:p>
            <w:pPr>
              <w:pStyle w:val="TableText"/>
            </w:pPr>
            <w:r>
              <w:rPr/>
              <w:t xml:space="preserve">Exacte dependencyset</w:t>
            </w:r>
          </w:p>
        </w:tc>
        <w:tc>
          <w:tcPr>
            <w:tcW w:w="4704" w:type="dxa"/>
            <w:shd w:fill="FFFFFF"/>
            <w:vAlign w:val="center"/>
          </w:tcPr>
          <w:p>
            <w:pPr>
              <w:pStyle w:val="TableText"/>
            </w:pPr>
            <w:r>
              <w:rPr/>
              <w:t xml:space="preserve">Legt ook pakketten vast die andere pakketten nodig hebben.</w:t>
            </w:r>
          </w:p>
        </w:tc>
      </w:tr>
      <w:tr>
        <w:trPr>
          <w:cantSplit/>
        </w:trPr>
        <w:tc>
          <w:tcPr>
            <w:tcW w:w="2250" w:type="dxa"/>
            <w:shd w:fill="EFF4F8"/>
            <w:vAlign w:val="center"/>
          </w:tcPr>
          <w:p>
            <w:pPr>
              <w:pStyle w:val="TableText"/>
            </w:pPr>
            <w:r>
              <w:rPr/>
              <w:t xml:space="preserve">Docker-basisimages</w:t>
            </w:r>
          </w:p>
        </w:tc>
        <w:tc>
          <w:tcPr>
            <w:tcW w:w="2400" w:type="dxa"/>
            <w:shd w:fill="EFF4F8"/>
            <w:vAlign w:val="center"/>
          </w:tcPr>
          <w:p>
            <w:pPr>
              <w:pStyle w:val="TableText"/>
            </w:pPr>
            <w:r>
              <w:rPr/>
              <w:t xml:space="preserve">Node 24.21.0 en Playwright v1.63.0-noble, met digests</w:t>
            </w:r>
          </w:p>
        </w:tc>
        <w:tc>
          <w:tcPr>
            <w:tcW w:w="4704" w:type="dxa"/>
            <w:shd w:fill="EFF4F8"/>
            <w:vAlign w:val="center"/>
          </w:tcPr>
          <w:p>
            <w:pPr>
              <w:pStyle w:val="TableText"/>
            </w:pPr>
            <w:r>
              <w:rPr/>
              <w:t xml:space="preserve">Een digest identificeert de exacte image-inhoud, ook als een naam/tag wordt bijgewerkt.</w:t>
            </w:r>
          </w:p>
        </w:tc>
      </w:tr>
    </w:tbl>
    <w:p>
      <w:pPr>
        <w:pStyle w:val="TableText"/>
      </w:pPr>
      <w:r>
        <w:t xml:space="preserve"/>
      </w:r>
    </w:p>
    <w:p>
      <w:pPr>
        <w:pStyle w:val="Normal"/>
      </w:pPr>
      <w:r>
        <w:t xml:space="preserve">LTS betekent ‘Long Term Support’, oftewel langdurige ondersteuning. Deze term geldt hier voor Node.js. npm, TypeScript en Playwright worden in dit document als vastgelegde projectversies aangeduid. Het zijn geen afzonderlijk aangetoonde LTS-versies.</w:t>
      </w:r>
    </w:p>
    <w:p>
      <w:pPr>
        <w:pStyle w:val="Normal"/>
      </w:pPr>
      <w:r>
        <w:t xml:space="preserve">De keuze draait om een consistente combinatie, niet om automatisch altijd de nieuwste versie te gebruiken. De vastgelegde versies kunnen mee als uitgangspunt voor Novulo. Bij de overstap moeten ondersteuning en updates opnieuw worden beoordeeld. Versies vastzetten vervangt onderhoud niet.</w:t>
      </w:r>
    </w:p>
    <w:p>
      <w:pPr>
        <w:pStyle w:val="Heading2"/>
        <w:keepNext/>
      </w:pPr>
      <w:r>
        <w:t xml:space="preserve">Waarvoor is npm nodig?</w:t>
      </w:r>
    </w:p>
    <w:p>
      <w:pPr>
        <w:pStyle w:val="Normal"/>
      </w:pPr>
      <w:r>
        <w:t xml:space="preserve">Tijdens het bouwen installeert ‘npm ci’ de dependencies volgens het lockbestand. Een commando zoals ‘npm run test:lancyr’ start een afgesproken Bash-script. Bash voert de opeenvolgende opdrachten uit, zoals het bouwen en starten van Docker. In de container start ‘npx playwright test’ de geïnstalleerde Playwright-tool; npx wordt met npm meegeleverd.</w:t>
      </w:r>
    </w:p>
    <w:p>
      <w:pPr>
        <w:pStyle w:val="Normal"/>
      </w:pPr>
      <w:r>
        <w:t xml:space="preserve">Collega’s die het VS Code-keuzemenu gebruiken, hebben lokaal de projectbestanden, Bash en Docker nodig. Lokale Node.js en npm zijn voor die route niet vereist: deze tools zitten in de container. Wie lokaal npm-commando’s of typecontrole wil gebruiken, heeft de afgesproken Node.js- en npm-versies wel nodig.</w:t>
      </w:r>
    </w:p>
    <w:p>
      <w:r>
        <w:br w:type="page"/>
      </w:r>
    </w:p>
    <w:p>
      <w:pPr>
        <w:pStyle w:val="Heading1"/>
      </w:pPr>
      <w:r>
        <w:t xml:space="preserve">4. Docker: tijdelijke uitvoering, blijvende resultaten</w:t>
      </w:r>
    </w:p>
    <w:p>
      <w:pPr>
        <w:pStyle w:val="Normal"/>
      </w:pPr>
      <w:r>
        <w:t xml:space="preserve">Een Docker-image is het voorbereide pakket met de testomgeving. Een container is een actieve uitvoering van dat pakket. Vergelijk het met een recept en een bereide maaltijd: dezelfde image kan meerdere tijdelijke containers opleveren.</w:t>
      </w:r>
    </w:p>
    <w:p>
      <w:pPr>
        <w:pStyle w:val="Normal"/>
      </w:pPr>
      <w:r>
        <w:t xml:space="preserve">De officiële Playwright-image levert browsers en de Linux-bibliotheken die ze nodig hebben. De project-Dockerfile voegt de afgesproken Node.js-runtime toe, controleert Node.js en npm, installeert de projectdependencies en kopieert de tests en scripts. De projectcode zelf wordt dus meegenomen in de gebouwde image.</w:t>
      </w:r>
    </w:p>
    <w:p>
      <w:pPr>
        <w:pStyle w:val="Heading2"/>
        <w:keepNext/>
      </w:pPr>
      <w:r>
        <w:t xml:space="preserve">De uitvoering van een functionele run</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Stap</w:t>
            </w:r>
          </w:p>
        </w:tc>
        <w:tc>
          <w:tcPr>
            <w:tcW w:w="6654" w:type="dxa"/>
            <w:shd w:fill="163A59"/>
            <w:vAlign w:val="center"/>
          </w:tcPr>
          <w:p>
            <w:pPr>
              <w:pStyle w:val="TableText"/>
            </w:pPr>
            <w:r>
              <w:rPr>
                <w:b/>
                <w:color w:val="FFFFFF"/>
              </w:rPr>
              <w:t xml:space="preserve">Wat gebeurt er?</w:t>
            </w:r>
          </w:p>
        </w:tc>
      </w:tr>
      <w:tr>
        <w:trPr>
          <w:cantSplit/>
        </w:trPr>
        <w:tc>
          <w:tcPr>
            <w:tcW w:w="2700" w:type="dxa"/>
            <w:shd w:fill="EFF4F8"/>
            <w:vAlign w:val="center"/>
          </w:tcPr>
          <w:p>
            <w:pPr>
              <w:pStyle w:val="TableText"/>
            </w:pPr>
            <w:r>
              <w:rPr/>
              <w:t xml:space="preserve">1. Keuze</w:t>
            </w:r>
          </w:p>
        </w:tc>
        <w:tc>
          <w:tcPr>
            <w:tcW w:w="6654" w:type="dxa"/>
            <w:shd w:fill="EFF4F8"/>
            <w:vAlign w:val="center"/>
          </w:tcPr>
          <w:p>
            <w:pPr>
              <w:pStyle w:val="TableText"/>
            </w:pPr>
            <w:r>
              <w:rPr/>
              <w:t xml:space="preserve">De gebruiker kiest suite, browser, uitvoermodus en eventueel scenario.</w:t>
            </w:r>
          </w:p>
        </w:tc>
      </w:tr>
      <w:tr>
        <w:trPr>
          <w:cantSplit/>
        </w:trPr>
        <w:tc>
          <w:tcPr>
            <w:tcW w:w="2700" w:type="dxa"/>
            <w:shd w:fill="FFFFFF"/>
            <w:vAlign w:val="center"/>
          </w:tcPr>
          <w:p>
            <w:pPr>
              <w:pStyle w:val="TableText"/>
            </w:pPr>
            <w:r>
              <w:rPr/>
              <w:t xml:space="preserve">2. Image bouwen</w:t>
            </w:r>
          </w:p>
        </w:tc>
        <w:tc>
          <w:tcPr>
            <w:tcW w:w="6654" w:type="dxa"/>
            <w:shd w:fill="FFFFFF"/>
            <w:vAlign w:val="center"/>
          </w:tcPr>
          <w:p>
            <w:pPr>
              <w:pStyle w:val="TableText"/>
            </w:pPr>
            <w:r>
              <w:rPr/>
              <w:t xml:space="preserve">De runner bouwt de actuele testomgeving. Docker kan ongewijzigde buildlagen uit de cache hergebruiken.</w:t>
            </w:r>
          </w:p>
        </w:tc>
      </w:tr>
      <w:tr>
        <w:trPr>
          <w:cantSplit/>
        </w:trPr>
        <w:tc>
          <w:tcPr>
            <w:tcW w:w="2700" w:type="dxa"/>
            <w:shd w:fill="EFF4F8"/>
            <w:vAlign w:val="center"/>
          </w:tcPr>
          <w:p>
            <w:pPr>
              <w:pStyle w:val="TableText"/>
            </w:pPr>
            <w:r>
              <w:rPr/>
              <w:t xml:space="preserve">3. Data voorbereiden</w:t>
            </w:r>
          </w:p>
        </w:tc>
        <w:tc>
          <w:tcPr>
            <w:tcW w:w="6654" w:type="dxa"/>
            <w:shd w:fill="EFF4F8"/>
            <w:vAlign w:val="center"/>
          </w:tcPr>
          <w:p>
            <w:pPr>
              <w:pStyle w:val="TableText"/>
            </w:pPr>
            <w:r>
              <w:rPr/>
              <w:t xml:space="preserve">Een tijdelijke container initialiseert SQLite en past nieuwe migraties toe. Een andere container valideert de gegevens.</w:t>
            </w:r>
          </w:p>
        </w:tc>
      </w:tr>
      <w:tr>
        <w:trPr>
          <w:cantSplit/>
        </w:trPr>
        <w:tc>
          <w:tcPr>
            <w:tcW w:w="2700" w:type="dxa"/>
            <w:shd w:fill="FFFFFF"/>
            <w:vAlign w:val="center"/>
          </w:tcPr>
          <w:p>
            <w:pPr>
              <w:pStyle w:val="TableText"/>
            </w:pPr>
            <w:r>
              <w:rPr/>
              <w:t xml:space="preserve">4. Testcontainer starten</w:t>
            </w:r>
          </w:p>
        </w:tc>
        <w:tc>
          <w:tcPr>
            <w:tcW w:w="6654" w:type="dxa"/>
            <w:shd w:fill="FFFFFF"/>
            <w:vAlign w:val="center"/>
          </w:tcPr>
          <w:p>
            <w:pPr>
              <w:pStyle w:val="TableText"/>
            </w:pPr>
            <w:r>
              <w:rPr/>
              <w:t xml:space="preserve">Een unieke runmap wordt gemaakt. De container krijgt toegang tot testdata en een gekoppelde resultatenmap.</w:t>
            </w:r>
          </w:p>
        </w:tc>
      </w:tr>
      <w:tr>
        <w:trPr>
          <w:cantSplit/>
        </w:trPr>
        <w:tc>
          <w:tcPr>
            <w:tcW w:w="2700" w:type="dxa"/>
            <w:shd w:fill="EFF4F8"/>
            <w:vAlign w:val="center"/>
          </w:tcPr>
          <w:p>
            <w:pPr>
              <w:pStyle w:val="TableText"/>
            </w:pPr>
            <w:r>
              <w:rPr/>
              <w:t xml:space="preserve">5. Tests en rapportage</w:t>
            </w:r>
          </w:p>
        </w:tc>
        <w:tc>
          <w:tcPr>
            <w:tcW w:w="6654" w:type="dxa"/>
            <w:shd w:fill="EFF4F8"/>
            <w:vAlign w:val="center"/>
          </w:tcPr>
          <w:p>
            <w:pPr>
              <w:pStyle w:val="TableText"/>
            </w:pPr>
            <w:r>
              <w:rPr/>
              <w:t xml:space="preserve">Playwright draait de tests. Het wrapper-script maakt vervolgens de samenvatting, ook na een gewone testfout.</w:t>
            </w:r>
          </w:p>
        </w:tc>
      </w:tr>
      <w:tr>
        <w:trPr>
          <w:cantSplit/>
        </w:trPr>
        <w:tc>
          <w:tcPr>
            <w:tcW w:w="2700" w:type="dxa"/>
            <w:shd w:fill="FFFFFF"/>
            <w:vAlign w:val="center"/>
          </w:tcPr>
          <w:p>
            <w:pPr>
              <w:pStyle w:val="TableText"/>
            </w:pPr>
            <w:r>
              <w:rPr/>
              <w:t xml:space="preserve">6. Opruimen</w:t>
            </w:r>
          </w:p>
        </w:tc>
        <w:tc>
          <w:tcPr>
            <w:tcW w:w="6654" w:type="dxa"/>
            <w:shd w:fill="FFFFFF"/>
            <w:vAlign w:val="center"/>
          </w:tcPr>
          <w:p>
            <w:pPr>
              <w:pStyle w:val="TableText"/>
            </w:pPr>
            <w:r>
              <w:rPr/>
              <w:t xml:space="preserve">Door ‘--rm’ verdwijnt de container na afloop. De image en lokaal opgeslagen resultaten blijven bestaan.</w:t>
            </w:r>
          </w:p>
        </w:tc>
      </w:tr>
    </w:tbl>
    <w:p>
      <w:pPr>
        <w:pStyle w:val="TableText"/>
      </w:pPr>
      <w:r>
        <w:t xml:space="preserve"/>
      </w:r>
    </w:p>
    <w:p>
      <w:pPr>
        <w:pStyle w:val="Normal"/>
      </w:pPr>
      <w:r>
        <w:t xml:space="preserve">De lokale runmap is via een bind mount gekoppeld aan een map in de container. Een bind mount betekent dat beide locaties naar dezelfde bestanden verwijzen. Daardoor worden rapporten direct op de eigen computer bewaard, onder ‘test-runs/’.</w:t>
      </w:r>
    </w:p>
    <w:p>
      <w:pPr>
        <w:pStyle w:val="Normal"/>
      </w:pPr>
      <w:r>
        <w:t xml:space="preserve">De testdata wordt voor de testuitvoering alleen-lezen gekoppeld. Browserworkers veranderen dus niet de lokale scenariodatabase. De initialisatiecontainer mag die database wel bijwerken wanneer een nieuwe migratie nodig is.</w:t>
      </w:r>
    </w:p>
    <w:p>
      <w:pPr>
        <w:pStyle w:val="Normal"/>
      </w:pPr>
      <w:r>
        <w:t xml:space="preserve">Een foutstatus blijft behouden: een mislukte test wordt niet groen doordat de samenvatting wel is gemaakt. Als alleen rapportverwerking mislukt, geeft de runner eveneens een foutstatus terug. Bij een mislukte Docker-start of abrupte onderbreking is volledige rapportage niet gegarandeerd.</w:t>
      </w:r>
    </w:p>
    <w:p>
      <w:pPr>
        <w:pStyle w:val="Normal"/>
      </w:pPr>
      <w:r>
        <w:t xml:space="preserve">De rapportviewer draait in een eigen container zolang de rapportserver openstaat. Deze container leest de resultaten alleen en start geen tests. Dit is anders dan de tijdelijke container die één testuitvoering afhandelt.</w:t>
      </w:r>
    </w:p>
    <w:p>
      <w:r>
        <w:br w:type="page"/>
      </w:r>
    </w:p>
    <w:p>
      <w:pPr>
        <w:pStyle w:val="Heading1"/>
      </w:pPr>
      <w:r>
        <w:t xml:space="preserve">5. Tests starten en live meekijken</w:t>
      </w:r>
    </w:p>
    <w:p>
      <w:pPr>
        <w:pStyle w:val="Normal"/>
      </w:pPr>
      <w:r>
        <w:t xml:space="preserve">In VS Code opent ‘Terminal → Run Task → Lancyr: tests starten’ het terminalmenu. Buiten VS Code kan hetzelfde menu worden gestart met ‘bash scripts/testmenu.sh’. Het menu biedt autoverzekering, Schade melden, beide functionele suites, visuele tests en rapportage.</w:t>
      </w:r>
    </w:p>
    <w:p>
      <w:pPr>
        <w:pStyle w:val="Normal"/>
      </w:pPr>
      <w:r>
        <w:t xml:space="preserve">Bij autoverzekering kiest de gebruiker één database-scenario per run. Niet alle gebruikersscenario’s worden automatisch tegelijk uitgevoerd. De optie voor beide functionele suites start twee afzonderlijke runs en rapporten. De tweede suite draait ook als de eerste gewone testfouten vindt.</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250"/>
        <w:gridCol w:w="2400"/>
        <w:gridCol w:w="4704"/>
      </w:tblGrid>
      <w:tr>
        <w:trPr>
          <w:cantSplit/>
          <w:tblHeader/>
        </w:trPr>
        <w:tc>
          <w:tcPr>
            <w:tcW w:w="2250" w:type="dxa"/>
            <w:shd w:fill="163A59"/>
            <w:vAlign w:val="center"/>
          </w:tcPr>
          <w:p>
            <w:pPr>
              <w:pStyle w:val="TableText"/>
            </w:pPr>
            <w:r>
              <w:rPr>
                <w:b/>
                <w:color w:val="FFFFFF"/>
              </w:rPr>
              <w:t xml:space="preserve">Modus</w:t>
            </w:r>
          </w:p>
        </w:tc>
        <w:tc>
          <w:tcPr>
            <w:tcW w:w="2400" w:type="dxa"/>
            <w:shd w:fill="163A59"/>
            <w:vAlign w:val="center"/>
          </w:tcPr>
          <w:p>
            <w:pPr>
              <w:pStyle w:val="TableText"/>
            </w:pPr>
            <w:r>
              <w:rPr>
                <w:b/>
                <w:color w:val="FFFFFF"/>
              </w:rPr>
              <w:t xml:space="preserve">Wat ziet de gebruiker?</w:t>
            </w:r>
          </w:p>
        </w:tc>
        <w:tc>
          <w:tcPr>
            <w:tcW w:w="4704" w:type="dxa"/>
            <w:shd w:fill="163A59"/>
            <w:vAlign w:val="center"/>
          </w:tcPr>
          <w:p>
            <w:pPr>
              <w:pStyle w:val="TableText"/>
            </w:pPr>
            <w:r>
              <w:rPr>
                <w:b/>
                <w:color w:val="FFFFFF"/>
              </w:rPr>
              <w:t xml:space="preserve">Workers</w:t>
            </w:r>
          </w:p>
        </w:tc>
      </w:tr>
      <w:tr>
        <w:trPr>
          <w:cantSplit/>
        </w:trPr>
        <w:tc>
          <w:tcPr>
            <w:tcW w:w="2250" w:type="dxa"/>
            <w:shd w:fill="EFF4F8"/>
            <w:vAlign w:val="center"/>
          </w:tcPr>
          <w:p>
            <w:pPr>
              <w:pStyle w:val="TableText"/>
            </w:pPr>
            <w:r>
              <w:rPr/>
              <w:t xml:space="preserve">Headless</w:t>
            </w:r>
          </w:p>
        </w:tc>
        <w:tc>
          <w:tcPr>
            <w:tcW w:w="2400" w:type="dxa"/>
            <w:shd w:fill="EFF4F8"/>
            <w:vAlign w:val="center"/>
          </w:tcPr>
          <w:p>
            <w:pPr>
              <w:pStyle w:val="TableText"/>
            </w:pPr>
            <w:r>
              <w:rPr/>
              <w:t xml:space="preserve">Geen browservenster; uitslag in terminal en rapport.</w:t>
            </w:r>
          </w:p>
        </w:tc>
        <w:tc>
          <w:tcPr>
            <w:tcW w:w="4704" w:type="dxa"/>
            <w:shd w:fill="EFF4F8"/>
            <w:vAlign w:val="center"/>
          </w:tcPr>
          <w:p>
            <w:pPr>
              <w:pStyle w:val="TableText"/>
            </w:pPr>
            <w:r>
              <w:rPr/>
              <w:t xml:space="preserve">Normaal 2</w:t>
            </w:r>
          </w:p>
        </w:tc>
      </w:tr>
      <w:tr>
        <w:trPr>
          <w:cantSplit/>
        </w:trPr>
        <w:tc>
          <w:tcPr>
            <w:tcW w:w="2250" w:type="dxa"/>
            <w:shd w:fill="FFFFFF"/>
            <w:vAlign w:val="center"/>
          </w:tcPr>
          <w:p>
            <w:pPr>
              <w:pStyle w:val="TableText"/>
            </w:pPr>
            <w:r>
              <w:rPr/>
              <w:t xml:space="preserve">Headed</w:t>
            </w:r>
          </w:p>
        </w:tc>
        <w:tc>
          <w:tcPr>
            <w:tcW w:w="2400" w:type="dxa"/>
            <w:shd w:fill="FFFFFF"/>
            <w:vAlign w:val="center"/>
          </w:tcPr>
          <w:p>
            <w:pPr>
              <w:pStyle w:val="TableText"/>
            </w:pPr>
            <w:r>
              <w:rPr/>
              <w:t xml:space="preserve">Browser met venster op een virtueel scherm binnen Docker.</w:t>
            </w:r>
          </w:p>
        </w:tc>
        <w:tc>
          <w:tcPr>
            <w:tcW w:w="4704" w:type="dxa"/>
            <w:shd w:fill="FFFFFF"/>
            <w:vAlign w:val="center"/>
          </w:tcPr>
          <w:p>
            <w:pPr>
              <w:pStyle w:val="TableText"/>
            </w:pPr>
            <w:r>
              <w:rPr/>
              <w:t xml:space="preserve">Normaal 2</w:t>
            </w:r>
          </w:p>
        </w:tc>
      </w:tr>
      <w:tr>
        <w:trPr>
          <w:cantSplit/>
        </w:trPr>
        <w:tc>
          <w:tcPr>
            <w:tcW w:w="2250" w:type="dxa"/>
            <w:shd w:fill="EFF4F8"/>
            <w:vAlign w:val="center"/>
          </w:tcPr>
          <w:p>
            <w:pPr>
              <w:pStyle w:val="TableText"/>
            </w:pPr>
            <w:r>
              <w:rPr/>
              <w:t xml:space="preserve">Visible/noVNC</w:t>
            </w:r>
          </w:p>
        </w:tc>
        <w:tc>
          <w:tcPr>
            <w:tcW w:w="2400" w:type="dxa"/>
            <w:shd w:fill="EFF4F8"/>
            <w:vAlign w:val="center"/>
          </w:tcPr>
          <w:p>
            <w:pPr>
              <w:pStyle w:val="TableText"/>
            </w:pPr>
            <w:r>
              <w:rPr/>
              <w:t xml:space="preserve">Het virtuele scherm is via een browserviewer zichtbaar.</w:t>
            </w:r>
          </w:p>
        </w:tc>
        <w:tc>
          <w:tcPr>
            <w:tcW w:w="4704" w:type="dxa"/>
            <w:shd w:fill="EFF4F8"/>
            <w:vAlign w:val="center"/>
          </w:tcPr>
          <w:p>
            <w:pPr>
              <w:pStyle w:val="TableText"/>
            </w:pPr>
            <w:r>
              <w:rPr/>
              <w:t xml:space="preserve">1</w:t>
            </w:r>
          </w:p>
        </w:tc>
      </w:tr>
      <w:tr>
        <w:trPr>
          <w:cantSplit/>
        </w:trPr>
        <w:tc>
          <w:tcPr>
            <w:tcW w:w="2250" w:type="dxa"/>
            <w:shd w:fill="FFFFFF"/>
            <w:vAlign w:val="center"/>
          </w:tcPr>
          <w:p>
            <w:pPr>
              <w:pStyle w:val="TableText"/>
            </w:pPr>
            <w:r>
              <w:rPr/>
              <w:t xml:space="preserve">Funnel-foutdemo</w:t>
            </w:r>
          </w:p>
        </w:tc>
        <w:tc>
          <w:tcPr>
            <w:tcW w:w="2400" w:type="dxa"/>
            <w:shd w:fill="FFFFFF"/>
            <w:vAlign w:val="center"/>
          </w:tcPr>
          <w:p>
            <w:pPr>
              <w:pStyle w:val="TableText"/>
            </w:pPr>
            <w:r>
              <w:rPr/>
              <w:t xml:space="preserve">Gewone klantreis met een opzettelijk onjuiste eindverwachting.</w:t>
            </w:r>
          </w:p>
        </w:tc>
        <w:tc>
          <w:tcPr>
            <w:tcW w:w="4704" w:type="dxa"/>
            <w:shd w:fill="FFFFFF"/>
            <w:vAlign w:val="center"/>
          </w:tcPr>
          <w:p>
            <w:pPr>
              <w:pStyle w:val="TableText"/>
            </w:pPr>
            <w:r>
              <w:rPr/>
              <w:t xml:space="preserve">1</w:t>
            </w:r>
          </w:p>
        </w:tc>
      </w:tr>
      <w:tr>
        <w:trPr>
          <w:cantSplit/>
        </w:trPr>
        <w:tc>
          <w:tcPr>
            <w:tcW w:w="2250" w:type="dxa"/>
            <w:shd w:fill="EFF4F8"/>
            <w:vAlign w:val="center"/>
          </w:tcPr>
          <w:p>
            <w:pPr>
              <w:pStyle w:val="TableText"/>
            </w:pPr>
            <w:r>
              <w:rPr/>
              <w:t xml:space="preserve">Visuele test of demo</w:t>
            </w:r>
          </w:p>
        </w:tc>
        <w:tc>
          <w:tcPr>
            <w:tcW w:w="2400" w:type="dxa"/>
            <w:shd w:fill="EFF4F8"/>
            <w:vAlign w:val="center"/>
          </w:tcPr>
          <w:p>
            <w:pPr>
              <w:pStyle w:val="TableText"/>
            </w:pPr>
            <w:r>
              <w:rPr/>
              <w:t xml:space="preserve">Screenshotvergelijking in Chromium.</w:t>
            </w:r>
          </w:p>
        </w:tc>
        <w:tc>
          <w:tcPr>
            <w:tcW w:w="4704" w:type="dxa"/>
            <w:shd w:fill="EFF4F8"/>
            <w:vAlign w:val="center"/>
          </w:tcPr>
          <w:p>
            <w:pPr>
              <w:pStyle w:val="TableText"/>
            </w:pPr>
            <w:r>
              <w:rPr/>
              <w:t xml:space="preserve">1</w:t>
            </w:r>
          </w:p>
        </w:tc>
      </w:tr>
    </w:tbl>
    <w:p>
      <w:pPr>
        <w:pStyle w:val="TableText"/>
      </w:pPr>
      <w:r>
        <w:t xml:space="preserve"/>
      </w:r>
    </w:p>
    <w:p>
      <w:pPr>
        <w:pStyle w:val="Normal"/>
      </w:pPr>
      <w:r>
        <w:t xml:space="preserve">Headed betekent niet automatisch dat op de eigen desktop een venster verschijnt. Docker gebruikt een virtueel scherm. De visible-modus voegt noVNC toe: een webgebaseerde viewer van dat scherm. Xvfb maakt het scherm, x11vnc deelt het en websockify maakt de verbinding met de webviewer mogelijk.</w:t>
      </w:r>
    </w:p>
    <w:p>
      <w:pPr>
        <w:pStyle w:val="Normal"/>
      </w:pPr>
      <w:r>
        <w:t xml:space="preserve">Voor live meekijken kiest de gebruiker bij autoverzekering uitvoermodus 3. Na de gereedmelding opent die ‘http://localhost:6080/vnc.html?autoconnect=true&amp;resize=scale’ in een browser of geschikte VS Code-preview. Daarna start Enter in de terminal de tests. Na afloop sluit een tweede Enter de viewer af. De viewer laat alleen meekijken toe; de gebruiker bedient de testbrowser niet zelf.</w:t>
      </w:r>
    </w:p>
    <w:p>
      <w:pPr>
        <w:pStyle w:val="Normal"/>
      </w:pPr>
      <w:r>
        <w:t xml:space="preserve">Live meekijken is bruikbaar voor uitleg, demonstratie en observatie tijdens ontwikkeling. Voor normaal foutonderzoek zijn traces vaak informatiever: die laten achteraf ook acties, pagina-inhoud en netwerkverzoeken zien. De visible-optie is in het huidige menu beschikbaar voor autoverzekering, niet voor Schade melden of de gecombineerde optie.</w:t>
      </w:r>
    </w:p>
    <w:p>
      <w:r>
        <w:br w:type="page"/>
      </w:r>
    </w:p>
    <w:p>
      <w:pPr>
        <w:pStyle w:val="Heading1"/>
      </w:pPr>
      <w:r>
        <w:t xml:space="preserve">6. Wat wordt er getest?</w:t>
      </w:r>
    </w:p>
    <w:p>
      <w:pPr>
        <w:pStyle w:val="Heading2"/>
        <w:keepNext/>
      </w:pPr>
      <w:r>
        <w:t xml:space="preserve">Autoverzekering: drie functionele tests</w:t>
      </w:r>
    </w:p>
    <w:p>
      <w:pPr>
        <w:pStyle w:val="Normal"/>
      </w:pPr>
      <w:r>
        <w:t xml:space="preserve">De eerste test controleert de ingang van de premieberekening: de herkenbare kop, het kentekenveld en de zichtbare startmogelijkheid. De tweede controleert dat een leeg kenteken de bezoeker op de autopagina houdt. De derde doorloopt de klantreis met het gekozen database-scenario.</w:t>
      </w:r>
    </w:p>
    <w:p>
      <w:pPr>
        <w:pStyle w:val="Normal"/>
      </w:pPr>
      <w:r>
        <w:t xml:space="preserve">De lange test bezoekt het menu, vult een kenteken in en controleert voertuiggegevens. Daarna vult hij adres en persoonlijke keuzes in, kiest een bestuurder en voert rijgegevens in. Vervolgens worden dekking, afgesproken aanbod en winkelwagen gecontroleerd. Bij een partner wordt een extra geboortedatum ingevuld. Bij het scenario met een inwonend kind wordt juist de verwachte blokkade gecontroleerd.</w:t>
      </w:r>
    </w:p>
    <w:p>
      <w:pPr>
        <w:pStyle w:val="Normal"/>
      </w:pPr>
      <w:r>
        <w:t xml:space="preserve">De test controleert een positieve premie, niet de exacte financiële juistheid van ieder premiebedrag. Hij controleert het afgesproken product en de extra dekkingen. De definitieve aanvraag wordt niet uitgevoerd. Drie tests in drie browserprojecten leveren normaal negen browserresultaten op.</w:t>
      </w:r>
    </w:p>
    <w:p>
      <w:pPr>
        <w:pStyle w:val="Heading2"/>
        <w:keepNext/>
      </w:pPr>
      <w:r>
        <w:t xml:space="preserve">Schade melden: 74 onafhankelijke controles</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250"/>
        <w:gridCol w:w="2400"/>
        <w:gridCol w:w="4704"/>
      </w:tblGrid>
      <w:tr>
        <w:trPr>
          <w:cantSplit/>
          <w:tblHeader/>
        </w:trPr>
        <w:tc>
          <w:tcPr>
            <w:tcW w:w="2250" w:type="dxa"/>
            <w:shd w:fill="163A59"/>
            <w:vAlign w:val="center"/>
          </w:tcPr>
          <w:p>
            <w:pPr>
              <w:pStyle w:val="TableText"/>
            </w:pPr>
            <w:r>
              <w:rPr>
                <w:b/>
                <w:color w:val="FFFFFF"/>
              </w:rPr>
              <w:t xml:space="preserve">Testgroep</w:t>
            </w:r>
          </w:p>
        </w:tc>
        <w:tc>
          <w:tcPr>
            <w:tcW w:w="2400" w:type="dxa"/>
            <w:shd w:fill="163A59"/>
            <w:vAlign w:val="center"/>
          </w:tcPr>
          <w:p>
            <w:pPr>
              <w:pStyle w:val="TableText"/>
            </w:pPr>
            <w:r>
              <w:rPr>
                <w:b/>
                <w:color w:val="FFFFFF"/>
              </w:rPr>
              <w:t xml:space="preserve">Aantal controles</w:t>
            </w:r>
          </w:p>
        </w:tc>
        <w:tc>
          <w:tcPr>
            <w:tcW w:w="4704" w:type="dxa"/>
            <w:shd w:fill="163A59"/>
            <w:vAlign w:val="center"/>
          </w:tcPr>
          <w:p>
            <w:pPr>
              <w:pStyle w:val="TableText"/>
            </w:pPr>
            <w:r>
              <w:rPr>
                <w:b/>
                <w:color w:val="FFFFFF"/>
              </w:rPr>
              <w:t xml:space="preserve">Wat wordt gecontroleerd?</w:t>
            </w:r>
          </w:p>
        </w:tc>
      </w:tr>
      <w:tr>
        <w:trPr>
          <w:cantSplit/>
        </w:trPr>
        <w:tc>
          <w:tcPr>
            <w:tcW w:w="2250" w:type="dxa"/>
            <w:shd w:fill="EFF4F8"/>
            <w:vAlign w:val="center"/>
          </w:tcPr>
          <w:p>
            <w:pPr>
              <w:pStyle w:val="TableText"/>
            </w:pPr>
            <w:r>
              <w:rPr/>
              <w:t xml:space="preserve">Bereikbaarheid</w:t>
            </w:r>
          </w:p>
        </w:tc>
        <w:tc>
          <w:tcPr>
            <w:tcW w:w="2400" w:type="dxa"/>
            <w:shd w:fill="EFF4F8"/>
            <w:vAlign w:val="center"/>
          </w:tcPr>
          <w:p>
            <w:pPr>
              <w:pStyle w:val="TableText"/>
            </w:pPr>
            <w:r>
              <w:rPr/>
              <w:t xml:space="preserve">14</w:t>
            </w:r>
          </w:p>
        </w:tc>
        <w:tc>
          <w:tcPr>
            <w:tcW w:w="4704" w:type="dxa"/>
            <w:shd w:fill="EFF4F8"/>
            <w:vAlign w:val="center"/>
          </w:tcPr>
          <w:p>
            <w:pPr>
              <w:pStyle w:val="TableText"/>
            </w:pPr>
            <w:r>
              <w:rPr/>
              <w:t xml:space="preserve">HTTP-status, bestemming en herkenbare inhoud.</w:t>
            </w:r>
          </w:p>
        </w:tc>
      </w:tr>
      <w:tr>
        <w:trPr>
          <w:cantSplit/>
        </w:trPr>
        <w:tc>
          <w:tcPr>
            <w:tcW w:w="2250" w:type="dxa"/>
            <w:shd w:fill="FFFFFF"/>
            <w:vAlign w:val="center"/>
          </w:tcPr>
          <w:p>
            <w:pPr>
              <w:pStyle w:val="TableText"/>
            </w:pPr>
            <w:r>
              <w:rPr/>
              <w:t xml:space="preserve">Pagina-inhoud</w:t>
            </w:r>
          </w:p>
        </w:tc>
        <w:tc>
          <w:tcPr>
            <w:tcW w:w="2400" w:type="dxa"/>
            <w:shd w:fill="FFFFFF"/>
            <w:vAlign w:val="center"/>
          </w:tcPr>
          <w:p>
            <w:pPr>
              <w:pStyle w:val="TableText"/>
            </w:pPr>
            <w:r>
              <w:rPr/>
              <w:t xml:space="preserve">42</w:t>
            </w:r>
          </w:p>
        </w:tc>
        <w:tc>
          <w:tcPr>
            <w:tcW w:w="4704" w:type="dxa"/>
            <w:shd w:fill="FFFFFF"/>
            <w:vAlign w:val="center"/>
          </w:tcPr>
          <w:p>
            <w:pPr>
              <w:pStyle w:val="TableText"/>
            </w:pPr>
            <w:r>
              <w:rPr/>
              <w:t xml:space="preserve">Per URL: paginatitel, één zichtbare passende H1 en één niet-lege meta-description.</w:t>
            </w:r>
          </w:p>
        </w:tc>
      </w:tr>
      <w:tr>
        <w:trPr>
          <w:cantSplit/>
        </w:trPr>
        <w:tc>
          <w:tcPr>
            <w:tcW w:w="2250" w:type="dxa"/>
            <w:shd w:fill="EFF4F8"/>
            <w:vAlign w:val="center"/>
          </w:tcPr>
          <w:p>
            <w:pPr>
              <w:pStyle w:val="TableText"/>
            </w:pPr>
            <w:r>
              <w:rPr/>
              <w:t xml:space="preserve">Navigatie</w:t>
            </w:r>
          </w:p>
        </w:tc>
        <w:tc>
          <w:tcPr>
            <w:tcW w:w="2400" w:type="dxa"/>
            <w:shd w:fill="EFF4F8"/>
            <w:vAlign w:val="center"/>
          </w:tcPr>
          <w:p>
            <w:pPr>
              <w:pStyle w:val="TableText"/>
            </w:pPr>
            <w:r>
              <w:rPr/>
              <w:t xml:space="preserve">8</w:t>
            </w:r>
          </w:p>
        </w:tc>
        <w:tc>
          <w:tcPr>
            <w:tcW w:w="4704" w:type="dxa"/>
            <w:shd w:fill="EFF4F8"/>
            <w:vAlign w:val="center"/>
          </w:tcPr>
          <w:p>
            <w:pPr>
              <w:pStyle w:val="TableText"/>
            </w:pPr>
            <w:r>
              <w:rPr/>
              <w:t xml:space="preserve">Zes schadeopties en twee externe formulierverwijzingen.</w:t>
            </w:r>
          </w:p>
        </w:tc>
      </w:tr>
      <w:tr>
        <w:trPr>
          <w:cantSplit/>
        </w:trPr>
        <w:tc>
          <w:tcPr>
            <w:tcW w:w="2250" w:type="dxa"/>
            <w:shd w:fill="FFFFFF"/>
            <w:vAlign w:val="center"/>
          </w:tcPr>
          <w:p>
            <w:pPr>
              <w:pStyle w:val="TableText"/>
            </w:pPr>
            <w:r>
              <w:rPr/>
              <w:t xml:space="preserve">FAQ</w:t>
            </w:r>
          </w:p>
        </w:tc>
        <w:tc>
          <w:tcPr>
            <w:tcW w:w="2400" w:type="dxa"/>
            <w:shd w:fill="FFFFFF"/>
            <w:vAlign w:val="center"/>
          </w:tcPr>
          <w:p>
            <w:pPr>
              <w:pStyle w:val="TableText"/>
            </w:pPr>
            <w:r>
              <w:rPr/>
              <w:t xml:space="preserve">2</w:t>
            </w:r>
          </w:p>
        </w:tc>
        <w:tc>
          <w:tcPr>
            <w:tcW w:w="4704" w:type="dxa"/>
            <w:shd w:fill="FFFFFF"/>
            <w:vAlign w:val="center"/>
          </w:tcPr>
          <w:p>
            <w:pPr>
              <w:pStyle w:val="TableText"/>
            </w:pPr>
            <w:r>
              <w:rPr/>
              <w:t xml:space="preserve">Openen/dichtklappen en doorklikken naar een volledig antwoord met terugkeer.</w:t>
            </w:r>
          </w:p>
        </w:tc>
      </w:tr>
      <w:tr>
        <w:trPr>
          <w:cantSplit/>
        </w:trPr>
        <w:tc>
          <w:tcPr>
            <w:tcW w:w="2250" w:type="dxa"/>
            <w:shd w:fill="EFF4F8"/>
            <w:vAlign w:val="center"/>
          </w:tcPr>
          <w:p>
            <w:pPr>
              <w:pStyle w:val="TableText"/>
            </w:pPr>
            <w:r>
              <w:rPr/>
              <w:t xml:space="preserve">Paginering</w:t>
            </w:r>
          </w:p>
        </w:tc>
        <w:tc>
          <w:tcPr>
            <w:tcW w:w="2400" w:type="dxa"/>
            <w:shd w:fill="EFF4F8"/>
            <w:vAlign w:val="center"/>
          </w:tcPr>
          <w:p>
            <w:pPr>
              <w:pStyle w:val="TableText"/>
            </w:pPr>
            <w:r>
              <w:rPr/>
              <w:t xml:space="preserve">1</w:t>
            </w:r>
          </w:p>
        </w:tc>
        <w:tc>
          <w:tcPr>
            <w:tcW w:w="4704" w:type="dxa"/>
            <w:shd w:fill="EFF4F8"/>
            <w:vAlign w:val="center"/>
          </w:tcPr>
          <w:p>
            <w:pPr>
              <w:pStyle w:val="TableText"/>
            </w:pPr>
            <w:r>
              <w:rPr/>
              <w:t xml:space="preserve">Pagina 1 en 2, herladen en browser-terug/vooruit.</w:t>
            </w:r>
          </w:p>
        </w:tc>
      </w:tr>
      <w:tr>
        <w:trPr>
          <w:cantSplit/>
        </w:trPr>
        <w:tc>
          <w:tcPr>
            <w:tcW w:w="2250" w:type="dxa"/>
            <w:shd w:fill="FFFFFF"/>
            <w:vAlign w:val="center"/>
          </w:tcPr>
          <w:p>
            <w:pPr>
              <w:pStyle w:val="TableText"/>
            </w:pPr>
            <w:r>
              <w:rPr/>
              <w:t xml:space="preserve">URL-varianten</w:t>
            </w:r>
          </w:p>
        </w:tc>
        <w:tc>
          <w:tcPr>
            <w:tcW w:w="2400" w:type="dxa"/>
            <w:shd w:fill="FFFFFF"/>
            <w:vAlign w:val="center"/>
          </w:tcPr>
          <w:p>
            <w:pPr>
              <w:pStyle w:val="TableText"/>
            </w:pPr>
            <w:r>
              <w:rPr/>
              <w:t xml:space="preserve">7</w:t>
            </w:r>
          </w:p>
        </w:tc>
        <w:tc>
          <w:tcPr>
            <w:tcW w:w="4704" w:type="dxa"/>
            <w:shd w:fill="FFFFFF"/>
            <w:vAlign w:val="center"/>
          </w:tcPr>
          <w:p>
            <w:pPr>
              <w:pStyle w:val="TableText"/>
            </w:pPr>
            <w:r>
              <w:rPr/>
              <w:t xml:space="preserve">Gelijke bedoelde vragenlijsten bij verschillende URL-parameters.</w:t>
            </w:r>
          </w:p>
        </w:tc>
      </w:tr>
    </w:tbl>
    <w:p>
      <w:pPr>
        <w:pStyle w:val="TableText"/>
      </w:pPr>
      <w:r>
        <w:t xml:space="preserve"/>
      </w:r>
    </w:p>
    <w:p>
      <w:pPr>
        <w:pStyle w:val="Normal"/>
      </w:pPr>
      <w:r>
        <w:t xml:space="preserve">H1 is het HTML-niveau van de belangrijkste kop. Een meta-description is een korte paginabeschrijving voor zoekmachines. Deze controles bewaken pagina-eisen en vormen geen volledige SEO-audit. Externe schadeformulieren worden niet geopend, ingevuld of verzonden; alleen de zichtbare link en bestemming worden gecontroleerd.</w:t>
      </w:r>
    </w:p>
    <w:p>
      <w:pPr>
        <w:pStyle w:val="Normal"/>
      </w:pPr>
      <w:r>
        <w:t xml:space="preserve">Elke eis heeft een eigen test. Een ontbrekende H1 verhindert daardoor niet dat navigatie apart wordt onderzocht. Alle 74 controles in drie browsers leveren 222 browserresultaten op. De suite test pagina’s en bediening, niet een volledige schadeafhandeling in de achterliggende applicatie.</w:t>
      </w:r>
    </w:p>
    <w:p>
      <w:r>
        <w:br w:type="page"/>
      </w:r>
    </w:p>
    <w:p>
      <w:pPr>
        <w:pStyle w:val="Heading1"/>
      </w:pPr>
      <w:r>
        <w:t xml:space="preserve">7. Van CSV-melding naar regressietest</w:t>
      </w:r>
    </w:p>
    <w:p>
      <w:pPr>
        <w:pStyle w:val="Normal"/>
      </w:pPr>
      <w:r>
        <w:t xml:space="preserve">Het bestand ‘moz_lancyr_crawl_issues_09302026.csv’ bevat historische bevindingen uit een websitecrawl. Een crawl bezoekt pagina’s en signaleert mogelijke problemen. Binnen ‘/schade-melden/’ zijn 27 meldingen voor 14 verschillende URL’s geselecteerd: zeven pagina’s en zeven aanvullende FAQ-URL-varianten.</w:t>
      </w:r>
    </w:p>
    <w:p>
      <w:pPr>
        <w:pStyle w:val="Normal"/>
      </w:pPr>
      <w:r>
        <w:t xml:space="preserve">De geselecteerde meldingen betreffen ontbrekende H1-koppen en descriptions. De relevante pagina’s, verwachtingen en bronverwijzingen zijn opgenomen in de testdatabase. Het CSV-bestand wordt dus niet bij iedere run rechtstreeks door Playwright gelezen. ‘testdata/schade-bronmeldingen.md’ koppelt pagina’s aan de CSV-regelnummers.</w:t>
      </w:r>
    </w:p>
    <w:p>
      <w:pPr>
        <w:pStyle w:val="Callout"/>
      </w:pPr>
      <w:r>
        <w:t xml:space="preserve">Schema: CSV-bevinding → afgesproken verwachting → database-record → browsercontrole → resultaat met bronverwijzing.</w:t>
      </w:r>
    </w:p>
    <w:p>
      <w:pPr>
        <w:pStyle w:val="Normal"/>
      </w:pPr>
      <w:r>
        <w:t xml:space="preserve">Aanvullend zijn navigatie, FAQ-bediening en paginering getest. De controle op het dichtklappen van een FAQ-antwoord is afkomstig uit aanvullende browserinspectie, niet uit de Moz-CSV.</w:t>
      </w:r>
    </w:p>
    <w:p>
      <w:pPr>
        <w:pStyle w:val="Heading2"/>
        <w:keepNext/>
      </w:pPr>
      <w:r>
        <w:t xml:space="preserve">Waarom heet dit regressietesten?</w:t>
      </w:r>
    </w:p>
    <w:p>
      <w:pPr>
        <w:pStyle w:val="Normal"/>
      </w:pPr>
      <w:r>
        <w:t xml:space="preserve">Een regressie is gedrag dat na een wijziging achteruitgaat. De suite bewaart de verwachtingen en herhaalt controles. Daardoor kan worden gezien of eerder werkend of gerepareerd gedrag blijft werken. De eerste run kan ook fouten aantonen die al bestonden. Niet iedere rode test is bewijs dat een nieuwe wijziging de oorzaak is.</w:t>
      </w:r>
    </w:p>
    <w:p>
      <w:pPr>
        <w:pStyle w:val="Normal"/>
      </w:pPr>
      <w:r>
        <w:t xml:space="preserve">Een bekende fout blijft rood totdat de website weer aan de eis voldoet. De verwachtingen worden niet aangepast om bestaande fouten groen te maken. Een ontbrekende H1 wordt bijvoorbeeld niet als gewenste situatie opgeslagen.</w:t>
      </w:r>
    </w:p>
    <w:p>
      <w:pPr>
        <w:pStyle w:val="Normal"/>
      </w:pPr>
      <w:r>
        <w:t xml:space="preserve">Een URL-variant is een andere schrijfwijze of parametercombinatie van een adres. ‘?query-11-page=2’, ‘?cst&amp;query-11-page=2’ en ‘?query-11-page=2&amp;cst’ moeten de bedoelde FAQ-pagina 2 tonen. De tests bewaken de vragenlijst en paginastand; ze verplichten geen nieuw beleid voor canonical-URL’s of zoekmachine-indexering.</w:t>
      </w:r>
    </w:p>
    <w:p>
      <w:pPr>
        <w:pStyle w:val="Heading2"/>
        <w:keepNext/>
      </w:pPr>
      <w:r>
        <w:t xml:space="preserve">Browsers en workers</w:t>
      </w:r>
    </w:p>
    <w:p>
      <w:pPr>
        <w:pStyle w:val="Normal"/>
      </w:pPr>
      <w:r>
        <w:t xml:space="preserve">Chromium, Firefox en WebKit zijn drie verschillende browserengines. WebKit biedt dekking voor de engine achter Safari; de proef is geen uitvoering van iedere echte Safari- of mobiele apparaatvariant.</w:t>
      </w:r>
    </w:p>
    <w:p>
      <w:pPr>
        <w:pStyle w:val="Normal"/>
      </w:pPr>
      <w:r>
        <w:t xml:space="preserve">Een worker is een uitvoerproces dat tests afhandelt. Met twee workers kunnen maximaal twee tests tegelijk draaien, over de gekozen browserprojecten samen. Dit betekent niet twee workers per browser. Als een worker klaar is, kan hij een volgende test uitvoeren. Visible gebruikt één worker om het verloop goed te kunnen volgen. Meer workers garanderen geen evenredige versnelling en vragen meer capaciteit en onafhankelijke testgegevens.</w:t>
      </w:r>
    </w:p>
    <w:p>
      <w:r>
        <w:br w:type="page"/>
      </w:r>
    </w:p>
    <w:p>
      <w:pPr>
        <w:pStyle w:val="Heading1"/>
      </w:pPr>
      <w:r>
        <w:t xml:space="preserve">8. Testgegevens los van browserhandelingen</w:t>
      </w:r>
    </w:p>
    <w:p>
      <w:pPr>
        <w:pStyle w:val="Normal"/>
      </w:pPr>
      <w:r>
        <w:t xml:space="preserve">De gegevens bepalen wat wordt getest en wat wordt verwacht. De testcode bepaalt hoe dat wordt uitgevoerd: pagina’s openen, velden invullen, klikken en vergelijken. Voorbeeld: de database bewaart de verwachte titel; Playwright opent de pagina en vergelijkt die met de werkelijke titel.</w:t>
      </w:r>
    </w:p>
    <w:p>
      <w:pPr>
        <w:pStyle w:val="Normal"/>
      </w:pPr>
      <w:r>
        <w:t xml:space="preserve">SQLite is nu de opslag: een lokaal databasebestand waarvoor geen aparte databaseserver nodig is. De gegevenslaag leest alleen de benodigde records en controleert verplichte velden en toegestane waarden voordat de browsers starten.</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Tabel</w:t>
            </w:r>
          </w:p>
        </w:tc>
        <w:tc>
          <w:tcPr>
            <w:tcW w:w="6654" w:type="dxa"/>
            <w:shd w:fill="163A59"/>
            <w:vAlign w:val="center"/>
          </w:tcPr>
          <w:p>
            <w:pPr>
              <w:pStyle w:val="TableText"/>
            </w:pPr>
            <w:r>
              <w:rPr>
                <w:b/>
                <w:color w:val="FFFFFF"/>
              </w:rPr>
              <w:t xml:space="preserve">Inhoud</w:t>
            </w:r>
          </w:p>
        </w:tc>
      </w:tr>
      <w:tr>
        <w:trPr>
          <w:cantSplit/>
        </w:trPr>
        <w:tc>
          <w:tcPr>
            <w:tcW w:w="2700" w:type="dxa"/>
            <w:shd w:fill="EFF4F8"/>
            <w:vAlign w:val="center"/>
          </w:tcPr>
          <w:p>
            <w:pPr>
              <w:pStyle w:val="TableText"/>
            </w:pPr>
            <w:r>
              <w:rPr/>
              <w:t xml:space="preserve">autoverzekering_scenarios</w:t>
            </w:r>
          </w:p>
        </w:tc>
        <w:tc>
          <w:tcPr>
            <w:tcW w:w="6654" w:type="dxa"/>
            <w:shd w:fill="EFF4F8"/>
            <w:vAlign w:val="center"/>
          </w:tcPr>
          <w:p>
            <w:pPr>
              <w:pStyle w:val="TableText"/>
            </w:pPr>
            <w:r>
              <w:rPr/>
              <w:t xml:space="preserve">Kenteken, voertuigverwachting, adres, bestuurder, rijgegevens, dekking, product en verwachte uitkomst.</w:t>
            </w:r>
          </w:p>
        </w:tc>
      </w:tr>
      <w:tr>
        <w:trPr>
          <w:cantSplit/>
        </w:trPr>
        <w:tc>
          <w:tcPr>
            <w:tcW w:w="2700" w:type="dxa"/>
            <w:shd w:fill="FFFFFF"/>
            <w:vAlign w:val="center"/>
          </w:tcPr>
          <w:p>
            <w:pPr>
              <w:pStyle w:val="TableText"/>
            </w:pPr>
            <w:r>
              <w:rPr/>
              <w:t xml:space="preserve">regressie_paginas</w:t>
            </w:r>
          </w:p>
        </w:tc>
        <w:tc>
          <w:tcPr>
            <w:tcW w:w="6654" w:type="dxa"/>
            <w:shd w:fill="FFFFFF"/>
            <w:vAlign w:val="center"/>
          </w:tcPr>
          <w:p>
            <w:pPr>
              <w:pStyle w:val="TableText"/>
            </w:pPr>
            <w:r>
              <w:rPr/>
              <w:t xml:space="preserve">Pagina-ID, onderdeel, pad, verwachte titel, H1, status en bronmelding.</w:t>
            </w:r>
          </w:p>
        </w:tc>
      </w:tr>
      <w:tr>
        <w:trPr>
          <w:cantSplit/>
        </w:trPr>
        <w:tc>
          <w:tcPr>
            <w:tcW w:w="2700" w:type="dxa"/>
            <w:shd w:fill="EFF4F8"/>
            <w:vAlign w:val="center"/>
          </w:tcPr>
          <w:p>
            <w:pPr>
              <w:pStyle w:val="TableText"/>
            </w:pPr>
            <w:r>
              <w:rPr/>
              <w:t xml:space="preserve">regressie_scenarios</w:t>
            </w:r>
          </w:p>
        </w:tc>
        <w:tc>
          <w:tcPr>
            <w:tcW w:w="6654" w:type="dxa"/>
            <w:shd w:fill="EFF4F8"/>
            <w:vAlign w:val="center"/>
          </w:tcPr>
          <w:p>
            <w:pPr>
              <w:pStyle w:val="TableText"/>
            </w:pPr>
            <w:r>
              <w:rPr/>
              <w:t xml:space="preserve">Scenariotype, begin-/doelpagina en instellingen voor navigatie of FAQ-controles.</w:t>
            </w:r>
          </w:p>
        </w:tc>
      </w:tr>
    </w:tbl>
    <w:p>
      <w:pPr>
        <w:pStyle w:val="TableText"/>
      </w:pPr>
      <w:r>
        <w:t xml:space="preserve"/>
      </w:r>
    </w:p>
    <w:p>
      <w:pPr>
        <w:pStyle w:val="Normal"/>
      </w:pPr>
      <w:r>
        <w:t xml:space="preserve">Er is een standaardscenario en er zijn vijf benoemde gebruikersscenario’s. Het zijn testscenario’s, geen accountsysteem voor de testsuite. Anna gebruikt onder meer nul schadevrije jaren en WA; Bram gebruikt de partnerroute en WA+; Daan verwacht een blokkade voor een inwonend kind. Celine en Emma controleren andere dekkingen en extra keuzes.</w:t>
      </w:r>
    </w:p>
    <w:p>
      <w:pPr>
        <w:pStyle w:val="Normal"/>
      </w:pPr>
      <w:r>
        <w:t xml:space="preserve">Bij Anna is eerder een probleem met nul schadevrije jaren beschreven. Dat is een historische bevinding: een normale run verwacht dat het proces verdergaat en faalt als het probleem nog optreedt. Bij Daan kan een blokkade juist een geslaagde test opleveren, omdat die expliciet de verwachte uitkomst is.</w:t>
      </w:r>
    </w:p>
    <w:p>
      <w:pPr>
        <w:pStyle w:val="Normal"/>
      </w:pPr>
      <w:r>
        <w:t xml:space="preserve">Elke gegevensafhankelijke test bewaart de daadwerkelijk gebruikte gegevens als JSON-bijlage bij het resultaat. JSON is een leesbaar formaat met veldnamen en waarden. Daardoor blijven oude resultaten begrijpelijk als de database later verandert.</w:t>
      </w:r>
    </w:p>
    <w:p>
      <w:pPr>
        <w:pStyle w:val="Normal"/>
      </w:pPr>
      <w:r>
        <w:t xml:space="preserve">Migraties zijn eenmalige database-updates. Een nieuwe database krijgt startgegevens en de beschikbare migraties. Een bestaande database behoudt handmatige aanpassingen; latere runs passen niet telkens alle startwaarden opnieuw toe. Nieuwe gedeelde wijzigingen horen in een nieuwe migratie.</w:t>
      </w:r>
    </w:p>
    <w:p>
      <w:pPr>
        <w:pStyle w:val="Normal"/>
      </w:pPr>
      <w:r>
        <w:t xml:space="preserve">De database bevat geen uitvoerbare browsercode. Nieuwe pagina-records kunnen bestaande generieke paginacontroles opleveren. Een nieuw soort procesgedrag vereist nog steeds passende testcode. De huidige database reserveert bovendien geen unieke records voor parallelle transactietests.</w:t>
      </w:r>
    </w:p>
    <w:p>
      <w:r>
        <w:br w:type="page"/>
      </w:r>
    </w:p>
    <w:p>
      <w:pPr>
        <w:pStyle w:val="Heading1"/>
      </w:pPr>
      <w:r>
        <w:t xml:space="preserve">9. Visuele referentietests</w:t>
      </w:r>
    </w:p>
    <w:p>
      <w:pPr>
        <w:pStyle w:val="Normal"/>
      </w:pPr>
      <w:r>
        <w:t xml:space="preserve">Een functionele test controleert gedrag. Een visuele test vergelijkt hoe een pagina eruitziet. Een formulier kan technisch bruikbaar blijven terwijl een veld verkeerd staat; een screenshotvergelijking kan zo’n verandering zichtbaar maken.</w:t>
      </w:r>
    </w:p>
    <w:p>
      <w:pPr>
        <w:pStyle w:val="Normal"/>
      </w:pPr>
      <w:r>
        <w:t xml:space="preserve">De visuele proef gebruikt de startpagina voor autoverzekering, alleen in Chromium. De schermgrootte is 1440 × 700 pixels. Taal, kleurthema en beweging worden vastgelegd. De test sluit de cookiemelding, wacht op lettertypen en zichtbare afbeeldingen en verbergt de tekstcursor tijdens het vastleggen.</w:t>
      </w:r>
    </w:p>
    <w:p>
      <w:pPr>
        <w:pStyle w:val="Normal"/>
      </w:pPr>
      <w:r>
        <w:t xml:space="preserve">De normale vergelijking verandert de referentie niet. Alleen de expliciete ‘reference’-modus maakt of vernieuwt de referentiescreenshot. Een mens moet beoordelen of dat beeld correct is voordat het als nieuwe norm wordt geaccepteerd. Een geslaagde referentieopname bewijst op zichzelf geen juiste pagina.</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Beeld</w:t>
            </w:r>
          </w:p>
        </w:tc>
        <w:tc>
          <w:tcPr>
            <w:tcW w:w="6654" w:type="dxa"/>
            <w:shd w:fill="163A59"/>
            <w:vAlign w:val="center"/>
          </w:tcPr>
          <w:p>
            <w:pPr>
              <w:pStyle w:val="TableText"/>
            </w:pPr>
            <w:r>
              <w:rPr>
                <w:b/>
                <w:color w:val="FFFFFF"/>
              </w:rPr>
              <w:t xml:space="preserve">Betekenis</w:t>
            </w:r>
          </w:p>
        </w:tc>
      </w:tr>
      <w:tr>
        <w:trPr>
          <w:cantSplit/>
        </w:trPr>
        <w:tc>
          <w:tcPr>
            <w:tcW w:w="2700" w:type="dxa"/>
            <w:shd w:fill="EFF4F8"/>
            <w:vAlign w:val="center"/>
          </w:tcPr>
          <w:p>
            <w:pPr>
              <w:pStyle w:val="TableText"/>
            </w:pPr>
            <w:r>
              <w:rPr/>
              <w:t xml:space="preserve">Referentie</w:t>
            </w:r>
          </w:p>
        </w:tc>
        <w:tc>
          <w:tcPr>
            <w:tcW w:w="6654" w:type="dxa"/>
            <w:shd w:fill="EFF4F8"/>
            <w:vAlign w:val="center"/>
          </w:tcPr>
          <w:p>
            <w:pPr>
              <w:pStyle w:val="TableText"/>
            </w:pPr>
            <w:r>
              <w:rPr/>
              <w:t xml:space="preserve">Het vooraf beoordeelde beeld waarmee wordt vergeleken.</w:t>
            </w:r>
          </w:p>
        </w:tc>
      </w:tr>
      <w:tr>
        <w:trPr>
          <w:cantSplit/>
        </w:trPr>
        <w:tc>
          <w:tcPr>
            <w:tcW w:w="2700" w:type="dxa"/>
            <w:shd w:fill="FFFFFF"/>
            <w:vAlign w:val="center"/>
          </w:tcPr>
          <w:p>
            <w:pPr>
              <w:pStyle w:val="TableText"/>
            </w:pPr>
            <w:r>
              <w:rPr/>
              <w:t xml:space="preserve">Actueel</w:t>
            </w:r>
          </w:p>
        </w:tc>
        <w:tc>
          <w:tcPr>
            <w:tcW w:w="6654" w:type="dxa"/>
            <w:shd w:fill="FFFFFF"/>
            <w:vAlign w:val="center"/>
          </w:tcPr>
          <w:p>
            <w:pPr>
              <w:pStyle w:val="TableText"/>
            </w:pPr>
            <w:r>
              <w:rPr/>
              <w:t xml:space="preserve">De screenshot tijdens deze uitvoering.</w:t>
            </w:r>
          </w:p>
        </w:tc>
      </w:tr>
      <w:tr>
        <w:trPr>
          <w:cantSplit/>
        </w:trPr>
        <w:tc>
          <w:tcPr>
            <w:tcW w:w="2700" w:type="dxa"/>
            <w:shd w:fill="EFF4F8"/>
            <w:vAlign w:val="center"/>
          </w:tcPr>
          <w:p>
            <w:pPr>
              <w:pStyle w:val="TableText"/>
            </w:pPr>
            <w:r>
              <w:rPr/>
              <w:t xml:space="preserve">Verschil</w:t>
            </w:r>
          </w:p>
        </w:tc>
        <w:tc>
          <w:tcPr>
            <w:tcW w:w="6654" w:type="dxa"/>
            <w:shd w:fill="EFF4F8"/>
            <w:vAlign w:val="center"/>
          </w:tcPr>
          <w:p>
            <w:pPr>
              <w:pStyle w:val="TableText"/>
            </w:pPr>
            <w:r>
              <w:rPr/>
              <w:t xml:space="preserve">Door Playwright gemarkeerde pixelafwijkingen.</w:t>
            </w:r>
          </w:p>
        </w:tc>
      </w:tr>
    </w:tbl>
    <w:p>
      <w:pPr>
        <w:pStyle w:val="TableText"/>
      </w:pPr>
      <w:r>
        <w:t xml:space="preserve"/>
      </w:r>
    </w:p>
    <w:p>
      <w:pPr>
        <w:pStyle w:val="Normal"/>
      </w:pPr>
      <w:r>
        <w:t xml:space="preserve">De vergelijking en verschilbeelden zijn ingebouwde Playwright-functionaliteit. Het project voegt het eigen ‘VISUEEL-OVERZICHT.html’ toe met begrijpelijke labels en de beelden bij elkaar. De actuele screenshot wordt ook bij een geslaagde vergelijking bewaard.</w:t>
      </w:r>
    </w:p>
    <w:p>
      <w:pPr>
        <w:pStyle w:val="Normal"/>
      </w:pPr>
      <w:r>
        <w:t xml:space="preserve">In de demo verschuift het kentekenveld 60 pixels naar rechts met een lokale CSS-aanpassing. Alleen de testbrowser verandert; de website wordt niet aangepast. De demo hoort te falen en krijgt een apart label. Daarmee wordt zichtbaar hoe een afwijking in het rapport terechtkomt.</w:t>
      </w:r>
    </w:p>
    <w:p>
      <w:pPr>
        <w:pStyle w:val="Normal"/>
      </w:pPr>
      <w:r>
        <w:t xml:space="preserve">De proef staat geen afwijkende pixels toe. Dat maakt kleine wijzigingen zichtbaar, maar ook renderingverschillen kunnen een rode test veroorzaken. Een verschilbeeld toont waar het beeld afwijkt; het verklaart niet automatisch de oorzaak. Voor Novulo moeten per scherm passende referenties en toleranties worden gekozen.</w:t>
      </w:r>
    </w:p>
    <w:p>
      <w:r>
        <w:br w:type="page"/>
      </w:r>
    </w:p>
    <w:p>
      <w:pPr>
        <w:pStyle w:val="Heading1"/>
      </w:pPr>
      <w:r>
        <w:t xml:space="preserve">10. Resultaten, HTML-overzicht en foutonderzoek</w:t>
      </w:r>
    </w:p>
    <w:p>
      <w:pPr>
        <w:pStyle w:val="Normal"/>
      </w:pPr>
      <w:r>
        <w:t xml:space="preserve">Elke run krijgt een eigen map onder ‘test-runs/’, met datum, tijd, modus en een unieke toevoeging. Resultaten worden niet over eerdere runs heen geschreven. De uitvoerscripts bewaren terminaluitvoer als uitslag, een HTML-rapport, machineleesbare JSON en een korte samenvatting. Bij fouten worden screenshots en traces behouden.</w:t>
      </w:r>
    </w:p>
    <w:p>
      <w:pPr>
        <w:pStyle w:val="Normal"/>
      </w:pPr>
      <w:r>
        <w:t xml:space="preserve">Een trace is een opname voor onderzoek, met acties, pagina-inhoud, netwerkgegevens en consolemeldingen. Het is geen gewone videofilm. De huidige configuratie bewaart traces bij fouten; automatische video-opname is niet ingeschakeld.</w:t>
      </w:r>
    </w:p>
    <w:p>
      <w:pPr>
        <w:pStyle w:val="Heading2"/>
        <w:keepNext/>
      </w:pPr>
      <w:r>
        <w:t xml:space="preserve">Twee rapportlagen</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Rapport</w:t>
            </w:r>
          </w:p>
        </w:tc>
        <w:tc>
          <w:tcPr>
            <w:tcW w:w="6654" w:type="dxa"/>
            <w:shd w:fill="163A59"/>
            <w:vAlign w:val="center"/>
          </w:tcPr>
          <w:p>
            <w:pPr>
              <w:pStyle w:val="TableText"/>
            </w:pPr>
            <w:r>
              <w:rPr>
                <w:b/>
                <w:color w:val="FFFFFF"/>
              </w:rPr>
              <w:t xml:space="preserve">Doel</w:t>
            </w:r>
          </w:p>
        </w:tc>
      </w:tr>
      <w:tr>
        <w:trPr>
          <w:cantSplit/>
        </w:trPr>
        <w:tc>
          <w:tcPr>
            <w:tcW w:w="2700" w:type="dxa"/>
            <w:shd w:fill="EFF4F8"/>
            <w:vAlign w:val="center"/>
          </w:tcPr>
          <w:p>
            <w:pPr>
              <w:pStyle w:val="TableText"/>
            </w:pPr>
            <w:r>
              <w:rPr/>
              <w:t xml:space="preserve">Playwright HTML-rapport</w:t>
            </w:r>
          </w:p>
        </w:tc>
        <w:tc>
          <w:tcPr>
            <w:tcW w:w="6654" w:type="dxa"/>
            <w:shd w:fill="EFF4F8"/>
            <w:vAlign w:val="center"/>
          </w:tcPr>
          <w:p>
            <w:pPr>
              <w:pStyle w:val="TableText"/>
            </w:pPr>
            <w:r>
              <w:rPr/>
              <w:t xml:space="preserve">Details van één run: tests, browserresultaten, stappen, fouten, bijlagen en traces.</w:t>
            </w:r>
          </w:p>
        </w:tc>
      </w:tr>
      <w:tr>
        <w:trPr>
          <w:cantSplit/>
        </w:trPr>
        <w:tc>
          <w:tcPr>
            <w:tcW w:w="2700" w:type="dxa"/>
            <w:shd w:fill="FFFFFF"/>
            <w:vAlign w:val="center"/>
          </w:tcPr>
          <w:p>
            <w:pPr>
              <w:pStyle w:val="TableText"/>
            </w:pPr>
            <w:r>
              <w:rPr/>
              <w:t xml:space="preserve">Eigen centrale rapportpagina</w:t>
            </w:r>
          </w:p>
        </w:tc>
        <w:tc>
          <w:tcPr>
            <w:tcW w:w="6654" w:type="dxa"/>
            <w:shd w:fill="FFFFFF"/>
            <w:vAlign w:val="center"/>
          </w:tcPr>
          <w:p>
            <w:pPr>
              <w:pStyle w:val="TableText"/>
            </w:pPr>
            <w:r>
              <w:rPr/>
              <w:t xml:space="preserve">Overzicht van de lokaal opgeslagen runs, met filters, groepen en begrijpelijke foutuitleg.</w:t>
            </w:r>
          </w:p>
        </w:tc>
      </w:tr>
    </w:tbl>
    <w:p>
      <w:pPr>
        <w:pStyle w:val="TableText"/>
      </w:pPr>
      <w:r>
        <w:t xml:space="preserve"/>
      </w:r>
    </w:p>
    <w:p>
      <w:pPr>
        <w:pStyle w:val="Normal"/>
      </w:pPr>
      <w:r>
        <w:t xml:space="preserve">‘bash scripts/view-reports.sh’ start de eigen pagina op ‘http://localhost:8070’. Docker leest de runmappen alleen-lezen. De server verzamelt geneste resultaten uit ‘results.json’ en koppelt beschikbare bijlagen. Het overzicht heeft geen eigen database met alle testhistorie; de runbestanden zijn de bron.</w:t>
      </w:r>
    </w:p>
    <w:p>
      <w:pPr>
        <w:pStyle w:val="Normal"/>
      </w:pPr>
      <w:r>
        <w:t xml:space="preserve">De gebruiker kan filteren op onderdeel, testgroep, browser, scenario/gebruiker, status, testsoort, datum en bewuste demo’s. De pagina controleert elke tien seconden op nieuwe of gewijzigde runs. Ze toont definitieve uitslagen zodra de JSON beschikbaar is; ze streamt niet iedere testactie live.</w:t>
      </w:r>
    </w:p>
    <w:p>
      <w:pPr>
        <w:pStyle w:val="Normal"/>
      </w:pPr>
      <w:r>
        <w:t xml:space="preserve">Bij Schade melden wordt een controle één keer getoond, met browserresultaten eronder. Een fout in één geselecteerde browser maakt de controle rood. De tellingen bovenaan volgen de filters; de runstatus blijft die van de volledige run. Onvolledige of onleesbare resultaten worden niet als geslaagd weergegeven.</w:t>
      </w:r>
    </w:p>
    <w:p>
      <w:pPr>
        <w:pStyle w:val="Normal"/>
      </w:pPr>
      <w:r>
        <w:t xml:space="preserve">Een praktische onderzoeksroute is: onderdeel → run → testgroep → controle → browserresultaat → foutuitleg en screenshot → Playwright-rapport → trace. De foutuitleg beschrijft de verwachting en waarneming; ze bewijst niet automatisch de technische oorzaak.</w:t>
      </w:r>
    </w:p>
    <w:p>
      <w:pPr>
        <w:pStyle w:val="Normal"/>
      </w:pPr>
      <w:r>
        <w:t xml:space="preserve">Het extra browserfilter wordt bij het serveren aan het bestaande Playwright-rapport toegevoegd. Opgeslagen rapporten worden daarvoor niet herschreven. Nieuwe onderdelen worden via testlabels herkend. Een nieuwe runner moet dezelfde mapstructuur en rapportbestanden leveren om in het overzicht te verschijnen.</w:t>
      </w:r>
    </w:p>
    <w:p>
      <w:r>
        <w:br w:type="page"/>
      </w:r>
    </w:p>
    <w:p>
      <w:pPr>
        <w:pStyle w:val="Heading1"/>
      </w:pPr>
      <w:r>
        <w:t xml:space="preserve">11. Wat de opgeslagen resultaten aantonen</w:t>
      </w:r>
    </w:p>
    <w:p>
      <w:pPr>
        <w:pStyle w:val="Normal"/>
      </w:pPr>
      <w:r>
        <w:t xml:space="preserve">Onderstaande cijfers zijn afkomstig uit bestaande JSON-rapporten. Voor dit document zijn geen nieuwe tests tegen de live website gestart. Ze beschrijven het testmoment en zijn geen garantie voor de huidige toestand van Lancyr.</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250"/>
        <w:gridCol w:w="2400"/>
        <w:gridCol w:w="4704"/>
      </w:tblGrid>
      <w:tr>
        <w:trPr>
          <w:cantSplit/>
          <w:tblHeader/>
        </w:trPr>
        <w:tc>
          <w:tcPr>
            <w:tcW w:w="2250" w:type="dxa"/>
            <w:shd w:fill="163A59"/>
            <w:vAlign w:val="center"/>
          </w:tcPr>
          <w:p>
            <w:pPr>
              <w:pStyle w:val="TableText"/>
            </w:pPr>
            <w:r>
              <w:rPr>
                <w:b/>
                <w:color w:val="FFFFFF"/>
              </w:rPr>
              <w:t xml:space="preserve">Opgeslagen uitvoering</w:t>
            </w:r>
          </w:p>
        </w:tc>
        <w:tc>
          <w:tcPr>
            <w:tcW w:w="2400" w:type="dxa"/>
            <w:shd w:fill="163A59"/>
            <w:vAlign w:val="center"/>
          </w:tcPr>
          <w:p>
            <w:pPr>
              <w:pStyle w:val="TableText"/>
            </w:pPr>
            <w:r>
              <w:rPr>
                <w:b/>
                <w:color w:val="FFFFFF"/>
              </w:rPr>
              <w:t xml:space="preserve">Resultaat</w:t>
            </w:r>
          </w:p>
        </w:tc>
        <w:tc>
          <w:tcPr>
            <w:tcW w:w="4704" w:type="dxa"/>
            <w:shd w:fill="163A59"/>
            <w:vAlign w:val="center"/>
          </w:tcPr>
          <w:p>
            <w:pPr>
              <w:pStyle w:val="TableText"/>
            </w:pPr>
            <w:r>
              <w:rPr>
                <w:b/>
                <w:color w:val="FFFFFF"/>
              </w:rPr>
              <w:t xml:space="preserve">Betekenis</w:t>
            </w:r>
          </w:p>
        </w:tc>
      </w:tr>
      <w:tr>
        <w:trPr>
          <w:cantSplit/>
        </w:trPr>
        <w:tc>
          <w:tcPr>
            <w:tcW w:w="2250" w:type="dxa"/>
            <w:shd w:fill="EFF4F8"/>
            <w:vAlign w:val="center"/>
          </w:tcPr>
          <w:p>
            <w:pPr>
              <w:pStyle w:val="TableText"/>
            </w:pPr>
            <w:r>
              <w:rPr/>
              <w:t xml:space="preserve">30 september: visuele check</w:t>
            </w:r>
          </w:p>
        </w:tc>
        <w:tc>
          <w:tcPr>
            <w:tcW w:w="2400" w:type="dxa"/>
            <w:shd w:fill="EFF4F8"/>
            <w:vAlign w:val="center"/>
          </w:tcPr>
          <w:p>
            <w:pPr>
              <w:pStyle w:val="TableText"/>
            </w:pPr>
            <w:r>
              <w:rPr/>
              <w:t xml:space="preserve">1 geslaagd</w:t>
            </w:r>
          </w:p>
        </w:tc>
        <w:tc>
          <w:tcPr>
            <w:tcW w:w="4704" w:type="dxa"/>
            <w:shd w:fill="EFF4F8"/>
            <w:vAlign w:val="center"/>
          </w:tcPr>
          <w:p>
            <w:pPr>
              <w:pStyle w:val="TableText"/>
            </w:pPr>
            <w:r>
              <w:rPr/>
              <w:t xml:space="preserve">Het beeld kwam tijdens die run overeen met de referentie.</w:t>
            </w:r>
          </w:p>
        </w:tc>
      </w:tr>
      <w:tr>
        <w:trPr>
          <w:cantSplit/>
        </w:trPr>
        <w:tc>
          <w:tcPr>
            <w:tcW w:w="2250" w:type="dxa"/>
            <w:shd w:fill="FFFFFF"/>
            <w:vAlign w:val="center"/>
          </w:tcPr>
          <w:p>
            <w:pPr>
              <w:pStyle w:val="TableText"/>
            </w:pPr>
            <w:r>
              <w:rPr/>
              <w:t xml:space="preserve">30 september: visuele demo</w:t>
            </w:r>
          </w:p>
        </w:tc>
        <w:tc>
          <w:tcPr>
            <w:tcW w:w="2400" w:type="dxa"/>
            <w:shd w:fill="FFFFFF"/>
            <w:vAlign w:val="center"/>
          </w:tcPr>
          <w:p>
            <w:pPr>
              <w:pStyle w:val="TableText"/>
            </w:pPr>
            <w:r>
              <w:rPr/>
              <w:t xml:space="preserve">1 gefaald</w:t>
            </w:r>
          </w:p>
        </w:tc>
        <w:tc>
          <w:tcPr>
            <w:tcW w:w="4704" w:type="dxa"/>
            <w:shd w:fill="FFFFFF"/>
            <w:vAlign w:val="center"/>
          </w:tcPr>
          <w:p>
            <w:pPr>
              <w:pStyle w:val="TableText"/>
            </w:pPr>
            <w:r>
              <w:rPr/>
              <w:t xml:space="preserve">De opzettelijke verschuiving werd gedetecteerd.</w:t>
            </w:r>
          </w:p>
        </w:tc>
      </w:tr>
      <w:tr>
        <w:trPr>
          <w:cantSplit/>
        </w:trPr>
        <w:tc>
          <w:tcPr>
            <w:tcW w:w="2250" w:type="dxa"/>
            <w:shd w:fill="EFF4F8"/>
            <w:vAlign w:val="center"/>
          </w:tcPr>
          <w:p>
            <w:pPr>
              <w:pStyle w:val="TableText"/>
            </w:pPr>
            <w:r>
              <w:rPr/>
              <w:t xml:space="preserve">30 september: funnel-demo</w:t>
            </w:r>
          </w:p>
        </w:tc>
        <w:tc>
          <w:tcPr>
            <w:tcW w:w="2400" w:type="dxa"/>
            <w:shd w:fill="EFF4F8"/>
            <w:vAlign w:val="center"/>
          </w:tcPr>
          <w:p>
            <w:pPr>
              <w:pStyle w:val="TableText"/>
            </w:pPr>
            <w:r>
              <w:rPr/>
              <w:t xml:space="preserve">1 gefaald</w:t>
            </w:r>
          </w:p>
        </w:tc>
        <w:tc>
          <w:tcPr>
            <w:tcW w:w="4704" w:type="dxa"/>
            <w:shd w:fill="EFF4F8"/>
            <w:vAlign w:val="center"/>
          </w:tcPr>
          <w:p>
            <w:pPr>
              <w:pStyle w:val="TableText"/>
            </w:pPr>
            <w:r>
              <w:rPr/>
              <w:t xml:space="preserve">Een bewust onjuiste eindverwachting maakte foutonderzoek zichtbaar.</w:t>
            </w:r>
          </w:p>
        </w:tc>
      </w:tr>
      <w:tr>
        <w:trPr>
          <w:cantSplit/>
        </w:trPr>
        <w:tc>
          <w:tcPr>
            <w:tcW w:w="2250" w:type="dxa"/>
            <w:shd w:fill="FFFFFF"/>
            <w:vAlign w:val="center"/>
          </w:tcPr>
          <w:p>
            <w:pPr>
              <w:pStyle w:val="TableText"/>
            </w:pPr>
            <w:r>
              <w:rPr/>
              <w:t xml:space="preserve">5 oktober: Schade melden</w:t>
            </w:r>
          </w:p>
        </w:tc>
        <w:tc>
          <w:tcPr>
            <w:tcW w:w="2400" w:type="dxa"/>
            <w:shd w:fill="FFFFFF"/>
            <w:vAlign w:val="center"/>
          </w:tcPr>
          <w:p>
            <w:pPr>
              <w:pStyle w:val="TableText"/>
            </w:pPr>
            <w:r>
              <w:rPr/>
              <w:t xml:space="preserve">138 geslaagd, 84 gefaald; 222 resultaten</w:t>
            </w:r>
          </w:p>
        </w:tc>
        <w:tc>
          <w:tcPr>
            <w:tcW w:w="4704" w:type="dxa"/>
            <w:shd w:fill="FFFFFF"/>
            <w:vAlign w:val="center"/>
          </w:tcPr>
          <w:p>
            <w:pPr>
              <w:pStyle w:val="TableText"/>
            </w:pPr>
            <w:r>
              <w:rPr/>
              <w:t xml:space="preserve">Volledige suite in drie browsers; ongeveer acht minuten testduur met twee workers.</w:t>
            </w:r>
          </w:p>
        </w:tc>
      </w:tr>
      <w:tr>
        <w:trPr>
          <w:cantSplit/>
        </w:trPr>
        <w:tc>
          <w:tcPr>
            <w:tcW w:w="2250" w:type="dxa"/>
            <w:shd w:fill="EFF4F8"/>
            <w:vAlign w:val="center"/>
          </w:tcPr>
          <w:p>
            <w:pPr>
              <w:pStyle w:val="TableText"/>
            </w:pPr>
            <w:r>
              <w:rPr/>
              <w:t xml:space="preserve">7 oktober: visible</w:t>
            </w:r>
          </w:p>
        </w:tc>
        <w:tc>
          <w:tcPr>
            <w:tcW w:w="2400" w:type="dxa"/>
            <w:shd w:fill="EFF4F8"/>
            <w:vAlign w:val="center"/>
          </w:tcPr>
          <w:p>
            <w:pPr>
              <w:pStyle w:val="TableText"/>
            </w:pPr>
            <w:r>
              <w:rPr/>
              <w:t xml:space="preserve">3 geslaagd</w:t>
            </w:r>
          </w:p>
        </w:tc>
        <w:tc>
          <w:tcPr>
            <w:tcW w:w="4704" w:type="dxa"/>
            <w:shd w:fill="EFF4F8"/>
            <w:vAlign w:val="center"/>
          </w:tcPr>
          <w:p>
            <w:pPr>
              <w:pStyle w:val="TableText"/>
            </w:pPr>
            <w:r>
              <w:rPr/>
              <w:t xml:space="preserve">De opgeslagen run toont drie geslaagde testresultaten in de zichtbare modus.</w:t>
            </w:r>
          </w:p>
        </w:tc>
      </w:tr>
    </w:tbl>
    <w:p>
      <w:pPr>
        <w:pStyle w:val="TableText"/>
      </w:pPr>
      <w:r>
        <w:t xml:space="preserve"/>
      </w:r>
    </w:p>
    <w:p>
      <w:pPr>
        <w:pStyle w:val="Normal"/>
      </w:pPr>
      <w:r>
        <w:t xml:space="preserve">In de schade-run betroffen 81 gefaalde browserresultaten de H1- en description-controles. Drie betroffen het dichtklappen van het FAQ-antwoord. Bereikbaarheid, navigatie, paginering en URL-varianten slaagden in die run. Daarmee waren 46 controles in alle drie de browsers geslaagd en 28 controles in alle drie gefaald.</w:t>
      </w:r>
    </w:p>
    <w:p>
      <w:pPr>
        <w:pStyle w:val="Normal"/>
      </w:pPr>
      <w:r>
        <w:t xml:space="preserve">De acht minuten zijn de gemeten Playwright-testduur, exclusief bouwen en voorbereiding. De snelheid van de website en timeouts bij fouten beïnvloeden de duur. Deze meting is geen betrouwbare benchmark tussen headed en headless; daarvoor zijn meerdere vergelijkbare runs nodig.</w:t>
      </w:r>
    </w:p>
    <w:p>
      <w:pPr>
        <w:pStyle w:val="Heading2"/>
        <w:keepNext/>
      </w:pPr>
      <w:r>
        <w:t xml:space="preserve">Controle van de testvoorziening zelf</w:t>
      </w:r>
    </w:p>
    <w:p>
      <w:pPr>
        <w:pStyle w:val="Normal"/>
      </w:pPr>
      <w:r>
        <w:t xml:space="preserve">Naast browsertests bevat het project technische controles voor het lezen en valideren van testdata, databasegedrag, rapportverwerking, de rapportpagina en het browserfilter. Deze gebruiken tijdelijke gegevens en/of lokale pagina’s. Ze helpen voorkomen dat de testvoorziening zelf onjuiste uitslagen of defecte bediening oplevert.</w:t>
      </w:r>
    </w:p>
    <w:p>
      <w:pPr>
        <w:pStyle w:val="Normal"/>
      </w:pPr>
      <w:r>
        <w:t xml:space="preserve">Typecontrole met ‘npm run typecheck’ controleert de structuur van de code. Een typecontrole vervangt geen browserrun. Evenmin bewijst een volledig groene run dat alle pagina’s, apparaten of bedrijfsregels juist werken: alleen de geselecteerde verwachtingen zijn gecontroleerd.</w:t>
      </w:r>
    </w:p>
    <w:p>
      <w:r>
        <w:br w:type="page"/>
      </w:r>
    </w:p>
    <w:p>
      <w:pPr>
        <w:pStyle w:val="Heading1"/>
      </w:pPr>
      <w:r>
        <w:t xml:space="preserve">12. De basis meenemen naar Novulo</w:t>
      </w:r>
    </w:p>
    <w:p>
      <w:pPr>
        <w:pStyle w:val="Normal"/>
      </w:pPr>
      <w:r>
        <w:t xml:space="preserve">De bedoeling is de kern volledig als uitgangspunt mee te nemen. Dat betekent dat de architectuur en bruikbare onderdelen worden hergebruikt, met aanpassingen voor de echte processen en omgeving. De proef is nog geen centraal uitgerolde Novulo-testsuite.</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Basis uit de sidequest</w:t>
            </w:r>
          </w:p>
        </w:tc>
        <w:tc>
          <w:tcPr>
            <w:tcW w:w="6654" w:type="dxa"/>
            <w:shd w:fill="163A59"/>
            <w:vAlign w:val="center"/>
          </w:tcPr>
          <w:p>
            <w:pPr>
              <w:pStyle w:val="TableText"/>
            </w:pPr>
            <w:r>
              <w:rPr>
                <w:b/>
                <w:color w:val="FFFFFF"/>
              </w:rPr>
              <w:t xml:space="preserve">Gebruik in de echte suite</w:t>
            </w:r>
          </w:p>
        </w:tc>
      </w:tr>
      <w:tr>
        <w:trPr>
          <w:cantSplit/>
        </w:trPr>
        <w:tc>
          <w:tcPr>
            <w:tcW w:w="2700" w:type="dxa"/>
            <w:shd w:fill="EFF4F8"/>
            <w:vAlign w:val="center"/>
          </w:tcPr>
          <w:p>
            <w:pPr>
              <w:pStyle w:val="TableText"/>
            </w:pPr>
            <w:r>
              <w:rPr/>
              <w:t xml:space="preserve">Vaste tooling en Docker-build</w:t>
            </w:r>
          </w:p>
        </w:tc>
        <w:tc>
          <w:tcPr>
            <w:tcW w:w="6654" w:type="dxa"/>
            <w:shd w:fill="EFF4F8"/>
            <w:vAlign w:val="center"/>
          </w:tcPr>
          <w:p>
            <w:pPr>
              <w:pStyle w:val="TableText"/>
            </w:pPr>
            <w:r>
              <w:rPr/>
              <w:t xml:space="preserve">Herbruikbare uitvoeromgeving; versies bewust onderhouden.</w:t>
            </w:r>
          </w:p>
        </w:tc>
      </w:tr>
      <w:tr>
        <w:trPr>
          <w:cantSplit/>
        </w:trPr>
        <w:tc>
          <w:tcPr>
            <w:tcW w:w="2700" w:type="dxa"/>
            <w:shd w:fill="FFFFFF"/>
            <w:vAlign w:val="center"/>
          </w:tcPr>
          <w:p>
            <w:pPr>
              <w:pStyle w:val="TableText"/>
            </w:pPr>
            <w:r>
              <w:rPr/>
              <w:t xml:space="preserve">Browserprojecten en workers</w:t>
            </w:r>
          </w:p>
        </w:tc>
        <w:tc>
          <w:tcPr>
            <w:tcW w:w="6654" w:type="dxa"/>
            <w:shd w:fill="FFFFFF"/>
            <w:vAlign w:val="center"/>
          </w:tcPr>
          <w:p>
            <w:pPr>
              <w:pStyle w:val="TableText"/>
            </w:pPr>
            <w:r>
              <w:rPr/>
              <w:t xml:space="preserve">Processen in meerdere browsers uitvoeren met passende paralleliteit.</w:t>
            </w:r>
          </w:p>
        </w:tc>
      </w:tr>
      <w:tr>
        <w:trPr>
          <w:cantSplit/>
        </w:trPr>
        <w:tc>
          <w:tcPr>
            <w:tcW w:w="2700" w:type="dxa"/>
            <w:shd w:fill="EFF4F8"/>
            <w:vAlign w:val="center"/>
          </w:tcPr>
          <w:p>
            <w:pPr>
              <w:pStyle w:val="TableText"/>
            </w:pPr>
            <w:r>
              <w:rPr/>
              <w:t xml:space="preserve">Startscripts en foutstatussen</w:t>
            </w:r>
          </w:p>
        </w:tc>
        <w:tc>
          <w:tcPr>
            <w:tcW w:w="6654" w:type="dxa"/>
            <w:shd w:fill="EFF4F8"/>
            <w:vAlign w:val="center"/>
          </w:tcPr>
          <w:p>
            <w:pPr>
              <w:pStyle w:val="TableText"/>
            </w:pPr>
            <w:r>
              <w:rPr/>
              <w:t xml:space="preserve">Consistente start, voorbereiding en rapportverwerking.</w:t>
            </w:r>
          </w:p>
        </w:tc>
      </w:tr>
      <w:tr>
        <w:trPr>
          <w:cantSplit/>
        </w:trPr>
        <w:tc>
          <w:tcPr>
            <w:tcW w:w="2700" w:type="dxa"/>
            <w:shd w:fill="FFFFFF"/>
            <w:vAlign w:val="center"/>
          </w:tcPr>
          <w:p>
            <w:pPr>
              <w:pStyle w:val="TableText"/>
            </w:pPr>
            <w:r>
              <w:rPr/>
              <w:t xml:space="preserve">Gescheiden gegevenslaag</w:t>
            </w:r>
          </w:p>
        </w:tc>
        <w:tc>
          <w:tcPr>
            <w:tcW w:w="6654" w:type="dxa"/>
            <w:shd w:fill="FFFFFF"/>
            <w:vAlign w:val="center"/>
          </w:tcPr>
          <w:p>
            <w:pPr>
              <w:pStyle w:val="TableText"/>
            </w:pPr>
            <w:r>
              <w:rPr/>
              <w:t xml:space="preserve">Scenario’s uit Elasticsearch ophalen en valideren.</w:t>
            </w:r>
          </w:p>
        </w:tc>
      </w:tr>
      <w:tr>
        <w:trPr>
          <w:cantSplit/>
        </w:trPr>
        <w:tc>
          <w:tcPr>
            <w:tcW w:w="2700" w:type="dxa"/>
            <w:shd w:fill="EFF4F8"/>
            <w:vAlign w:val="center"/>
          </w:tcPr>
          <w:p>
            <w:pPr>
              <w:pStyle w:val="TableText"/>
            </w:pPr>
            <w:r>
              <w:rPr/>
              <w:t xml:space="preserve">Benoemde teststappen en labels</w:t>
            </w:r>
          </w:p>
        </w:tc>
        <w:tc>
          <w:tcPr>
            <w:tcW w:w="6654" w:type="dxa"/>
            <w:shd w:fill="EFF4F8"/>
            <w:vAlign w:val="center"/>
          </w:tcPr>
          <w:p>
            <w:pPr>
              <w:pStyle w:val="TableText"/>
            </w:pPr>
            <w:r>
              <w:rPr/>
              <w:t xml:space="preserve">Novulo-processen herkenbaar indelen en fouten terugvinden.</w:t>
            </w:r>
          </w:p>
        </w:tc>
      </w:tr>
      <w:tr>
        <w:trPr>
          <w:cantSplit/>
        </w:trPr>
        <w:tc>
          <w:tcPr>
            <w:tcW w:w="2700" w:type="dxa"/>
            <w:shd w:fill="FFFFFF"/>
            <w:vAlign w:val="center"/>
          </w:tcPr>
          <w:p>
            <w:pPr>
              <w:pStyle w:val="TableText"/>
            </w:pPr>
            <w:r>
              <w:rPr/>
              <w:t xml:space="preserve">Screenshots, traces en visuele tests</w:t>
            </w:r>
          </w:p>
        </w:tc>
        <w:tc>
          <w:tcPr>
            <w:tcW w:w="6654" w:type="dxa"/>
            <w:shd w:fill="FFFFFF"/>
            <w:vAlign w:val="center"/>
          </w:tcPr>
          <w:p>
            <w:pPr>
              <w:pStyle w:val="TableText"/>
            </w:pPr>
            <w:r>
              <w:rPr/>
              <w:t xml:space="preserve">Bewijs en onderzoeksmateriaal bij proces- en schermproblemen.</w:t>
            </w:r>
          </w:p>
        </w:tc>
      </w:tr>
      <w:tr>
        <w:trPr>
          <w:cantSplit/>
        </w:trPr>
        <w:tc>
          <w:tcPr>
            <w:tcW w:w="2700" w:type="dxa"/>
            <w:shd w:fill="EFF4F8"/>
            <w:vAlign w:val="center"/>
          </w:tcPr>
          <w:p>
            <w:pPr>
              <w:pStyle w:val="TableText"/>
            </w:pPr>
            <w:r>
              <w:rPr/>
              <w:t xml:space="preserve">Centrale HTML-rapportpagina</w:t>
            </w:r>
          </w:p>
        </w:tc>
        <w:tc>
          <w:tcPr>
            <w:tcW w:w="6654" w:type="dxa"/>
            <w:shd w:fill="EFF4F8"/>
            <w:vAlign w:val="center"/>
          </w:tcPr>
          <w:p>
            <w:pPr>
              <w:pStyle w:val="TableText"/>
            </w:pPr>
            <w:r>
              <w:rPr/>
              <w:t xml:space="preserve">Resultaten van onderdelen en processen op dezelfde manier presenteren.</w:t>
            </w:r>
          </w:p>
        </w:tc>
      </w:tr>
    </w:tbl>
    <w:p>
      <w:pPr>
        <w:pStyle w:val="TableText"/>
      </w:pPr>
      <w:r>
        <w:t xml:space="preserve"/>
      </w:r>
    </w:p>
    <w:p>
      <w:pPr>
        <w:pStyle w:val="Heading2"/>
        <w:keepNext/>
      </w:pPr>
      <w:r>
        <w:t xml:space="preserve">Welke gegevens horen bij een Novulo-proces?</w:t>
      </w:r>
    </w:p>
    <w:p>
      <w:pPr>
        <w:pStyle w:val="Normal"/>
      </w:pPr>
      <w:r>
        <w:t xml:space="preserve">Bij Lancyr gaat het om bestuurder, voertuig en dekking. Bij Novulo kan een scenario bijvoorbeeld een ordergoedkeuring beschrijven. Het bevat dan de beginsituatie, benodigde rol, invoer, verwijzingen naar testrecords en verwachte status. Browserhandelingen blijven in testcode.</w:t>
      </w:r>
    </w:p>
    <w:p>
      <w:pPr>
        <w:pStyle w:val="Normal"/>
      </w:pPr>
      <w:r>
        <w:t xml:space="preserve">Voorbeeld van een toekomstig scenario: een conceptorder staat klaar, een medewerker biedt die ter goedkeuring aan en de verwachte status wordt ‘Wacht op manager’. Dit is een illustratie; er is nog geen ordertest in dit project gebouwd.</w:t>
      </w:r>
    </w:p>
    <w:p>
      <w:pPr>
        <w:pStyle w:val="Normal"/>
      </w:pPr>
      <w:r>
        <w:t xml:space="preserve">De daadwerkelijke order staat in de Novulo-applicatie. De testsuite bewaart de scenario-informatie waarmee die order wordt klaargezet of geselecteerd en gecontroleerd. Voor herhaalbare runs zijn afspraken nodig over aanmaken, opruimen en unieke records. Twee workers mogen niet ongecontroleerd dezelfde order wijzigen.</w:t>
      </w:r>
    </w:p>
    <w:p>
      <w:pPr>
        <w:pStyle w:val="Heading2"/>
        <w:keepNext/>
      </w:pPr>
      <w:r>
        <w:t xml:space="preserve">Van SQLite naar Elasticsearch</w:t>
      </w:r>
    </w:p>
    <w:p>
      <w:pPr>
        <w:pStyle w:val="Normal"/>
      </w:pPr>
      <w:r>
        <w:t xml:space="preserve">Elasticsearch bewaart JSON-documenten in indices in plaats van lokale SQL-tabellen. De gegevenslaag moet documenten ophalen via een API, authenticatie toepassen en de inhoud vertalen naar de structuur die tests verwachten. De autoverzekeringsfunctie is al een duidelijke grens tussen opslag en testcode.</w:t>
      </w:r>
    </w:p>
    <w:p>
      <w:pPr>
        <w:pStyle w:val="Normal"/>
      </w:pPr>
      <w:r>
        <w:t xml:space="preserve">De schade-suite leest nu synchroon gegevens tijdens het verzamelen van tests. Ophalen uit Elasticsearch gebeurt via het netwerk. Een mogelijke aanpak is de dataset vóór de run ophalen, valideren en als vaste lokale snapshot beschikbaar maken. De exacte aanpak moet nog worden ontworpen; de Elasticsearch-koppeling is niet gebouwd.</w:t>
      </w:r>
    </w:p>
    <w:p>
      <w:pPr>
        <w:pStyle w:val="Heading2"/>
        <w:keepNext/>
      </w:pPr>
      <w:r>
        <w:t xml:space="preserve">Wat is nog nodig voor centrale inzet?</w:t>
      </w:r>
    </w:p>
    <w:p>
      <w:pPr>
        <w:pStyle w:val="Normal"/>
      </w:pPr>
      <w:r>
        <w:t xml:space="preserve">Novulo-specifieke tests en locators, login/rollen, configuratie van testomgevingen en de Elasticsearch-koppeling moeten worden toegevoegd. Ook veilige toegang tot credentials, beheer van procesrecords en gedeelde opslag voor rapporten zijn nodig. De huidige rapportpagina verzamelt alleen lokale runs en heeft geen accountbeheer.</w:t>
      </w:r>
    </w:p>
    <w:p>
      <w:pPr>
        <w:pStyle w:val="Normal"/>
      </w:pPr>
      <w:r>
        <w:t xml:space="preserve">Automatische uitvoering via een centrale pipeline is nog niet ingericht. De Playwright-configuratie bevat CI-opties, maar er is geen CI-workflow; de runners bepalen bovendien zelf workers en geven CI niet expliciet door. Hosting, toegang, bewaartermijnen en rapportopslag vragen daarom aanvullende inrichting.</w:t>
      </w:r>
    </w:p>
    <w:p>
      <w:pPr>
        <w:pStyle w:val="Normal"/>
      </w:pPr>
      <w:r>
        <w:t xml:space="preserve">Een werkbare overstap begint met één afgesproken Novulo-proces, passende testgegevens en een volledige run met bewijs. Daarna kan dezelfde basis worden uitgebreid. De sidequest levert daarvoor al de keten van starten, uitvoeren, controleren, bewaren en onderzoeken.</w:t>
      </w:r>
    </w:p>
    <w:p>
      <w:r>
        <w:br w:type="page"/>
      </w:r>
    </w:p>
    <w:p>
      <w:pPr>
        <w:pStyle w:val="Heading1"/>
      </w:pPr>
      <w:r>
        <w:t xml:space="preserve">Bijlage A. Begrippen en startcommando’s</w:t>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Begrip</w:t>
            </w:r>
          </w:p>
        </w:tc>
        <w:tc>
          <w:tcPr>
            <w:tcW w:w="6654" w:type="dxa"/>
            <w:shd w:fill="163A59"/>
            <w:vAlign w:val="center"/>
          </w:tcPr>
          <w:p>
            <w:pPr>
              <w:pStyle w:val="TableText"/>
            </w:pPr>
            <w:r>
              <w:rPr>
                <w:b/>
                <w:color w:val="FFFFFF"/>
              </w:rPr>
              <w:t xml:space="preserve">Betekenis in gewone taal</w:t>
            </w:r>
          </w:p>
        </w:tc>
      </w:tr>
      <w:tr>
        <w:trPr>
          <w:cantSplit/>
        </w:trPr>
        <w:tc>
          <w:tcPr>
            <w:tcW w:w="2700" w:type="dxa"/>
            <w:shd w:fill="EFF4F8"/>
            <w:vAlign w:val="center"/>
          </w:tcPr>
          <w:p>
            <w:pPr>
              <w:pStyle w:val="TableText"/>
            </w:pPr>
            <w:r>
              <w:rPr/>
              <w:t xml:space="preserve">Testsuite</w:t>
            </w:r>
          </w:p>
        </w:tc>
        <w:tc>
          <w:tcPr>
            <w:tcW w:w="6654" w:type="dxa"/>
            <w:shd w:fill="EFF4F8"/>
            <w:vAlign w:val="center"/>
          </w:tcPr>
          <w:p>
            <w:pPr>
              <w:pStyle w:val="TableText"/>
            </w:pPr>
            <w:r>
              <w:rPr/>
              <w:t xml:space="preserve">Een verzameling automatische controles.</w:t>
            </w:r>
          </w:p>
        </w:tc>
      </w:tr>
      <w:tr>
        <w:trPr>
          <w:cantSplit/>
        </w:trPr>
        <w:tc>
          <w:tcPr>
            <w:tcW w:w="2700" w:type="dxa"/>
            <w:shd w:fill="FFFFFF"/>
            <w:vAlign w:val="center"/>
          </w:tcPr>
          <w:p>
            <w:pPr>
              <w:pStyle w:val="TableText"/>
            </w:pPr>
            <w:r>
              <w:rPr/>
              <w:t xml:space="preserve">Scenario</w:t>
            </w:r>
          </w:p>
        </w:tc>
        <w:tc>
          <w:tcPr>
            <w:tcW w:w="6654" w:type="dxa"/>
            <w:shd w:fill="FFFFFF"/>
            <w:vAlign w:val="center"/>
          </w:tcPr>
          <w:p>
            <w:pPr>
              <w:pStyle w:val="TableText"/>
            </w:pPr>
            <w:r>
              <w:rPr/>
              <w:t xml:space="preserve">Beginsituatie en gegevens waarmee een test wordt uitgevoerd.</w:t>
            </w:r>
          </w:p>
        </w:tc>
      </w:tr>
      <w:tr>
        <w:trPr>
          <w:cantSplit/>
        </w:trPr>
        <w:tc>
          <w:tcPr>
            <w:tcW w:w="2700" w:type="dxa"/>
            <w:shd w:fill="EFF4F8"/>
            <w:vAlign w:val="center"/>
          </w:tcPr>
          <w:p>
            <w:pPr>
              <w:pStyle w:val="TableText"/>
            </w:pPr>
            <w:r>
              <w:rPr/>
              <w:t xml:space="preserve">Regressietest</w:t>
            </w:r>
          </w:p>
        </w:tc>
        <w:tc>
          <w:tcPr>
            <w:tcW w:w="6654" w:type="dxa"/>
            <w:shd w:fill="EFF4F8"/>
            <w:vAlign w:val="center"/>
          </w:tcPr>
          <w:p>
            <w:pPr>
              <w:pStyle w:val="TableText"/>
            </w:pPr>
            <w:r>
              <w:rPr/>
              <w:t xml:space="preserve">Herhaalde controle die achteruitgang zichtbaar kan maken.</w:t>
            </w:r>
          </w:p>
        </w:tc>
      </w:tr>
      <w:tr>
        <w:trPr>
          <w:cantSplit/>
        </w:trPr>
        <w:tc>
          <w:tcPr>
            <w:tcW w:w="2700" w:type="dxa"/>
            <w:shd w:fill="FFFFFF"/>
            <w:vAlign w:val="center"/>
          </w:tcPr>
          <w:p>
            <w:pPr>
              <w:pStyle w:val="TableText"/>
            </w:pPr>
            <w:r>
              <w:rPr/>
              <w:t xml:space="preserve">Locator</w:t>
            </w:r>
          </w:p>
        </w:tc>
        <w:tc>
          <w:tcPr>
            <w:tcW w:w="6654" w:type="dxa"/>
            <w:shd w:fill="FFFFFF"/>
            <w:vAlign w:val="center"/>
          </w:tcPr>
          <w:p>
            <w:pPr>
              <w:pStyle w:val="TableText"/>
            </w:pPr>
            <w:r>
              <w:rPr/>
              <w:t xml:space="preserve">Manier waarop de test een veld, knop of ander element vindt.</w:t>
            </w:r>
          </w:p>
        </w:tc>
      </w:tr>
      <w:tr>
        <w:trPr>
          <w:cantSplit/>
        </w:trPr>
        <w:tc>
          <w:tcPr>
            <w:tcW w:w="2700" w:type="dxa"/>
            <w:shd w:fill="EFF4F8"/>
            <w:vAlign w:val="center"/>
          </w:tcPr>
          <w:p>
            <w:pPr>
              <w:pStyle w:val="TableText"/>
            </w:pPr>
            <w:r>
              <w:rPr/>
              <w:t xml:space="preserve">Worker</w:t>
            </w:r>
          </w:p>
        </w:tc>
        <w:tc>
          <w:tcPr>
            <w:tcW w:w="6654" w:type="dxa"/>
            <w:shd w:fill="EFF4F8"/>
            <w:vAlign w:val="center"/>
          </w:tcPr>
          <w:p>
            <w:pPr>
              <w:pStyle w:val="TableText"/>
            </w:pPr>
            <w:r>
              <w:rPr/>
              <w:t xml:space="preserve">Uitvoerproces dat tests afhandelt.</w:t>
            </w:r>
          </w:p>
        </w:tc>
      </w:tr>
      <w:tr>
        <w:trPr>
          <w:cantSplit/>
        </w:trPr>
        <w:tc>
          <w:tcPr>
            <w:tcW w:w="2700" w:type="dxa"/>
            <w:shd w:fill="FFFFFF"/>
            <w:vAlign w:val="center"/>
          </w:tcPr>
          <w:p>
            <w:pPr>
              <w:pStyle w:val="TableText"/>
            </w:pPr>
            <w:r>
              <w:rPr/>
              <w:t xml:space="preserve">Image / container</w:t>
            </w:r>
          </w:p>
        </w:tc>
        <w:tc>
          <w:tcPr>
            <w:tcW w:w="6654" w:type="dxa"/>
            <w:shd w:fill="FFFFFF"/>
            <w:vAlign w:val="center"/>
          </w:tcPr>
          <w:p>
            <w:pPr>
              <w:pStyle w:val="TableText"/>
            </w:pPr>
            <w:r>
              <w:rPr/>
              <w:t xml:space="preserve">Voorbereide omgeving / actieve uitvoering daarvan.</w:t>
            </w:r>
          </w:p>
        </w:tc>
      </w:tr>
      <w:tr>
        <w:trPr>
          <w:cantSplit/>
        </w:trPr>
        <w:tc>
          <w:tcPr>
            <w:tcW w:w="2700" w:type="dxa"/>
            <w:shd w:fill="EFF4F8"/>
            <w:vAlign w:val="center"/>
          </w:tcPr>
          <w:p>
            <w:pPr>
              <w:pStyle w:val="TableText"/>
            </w:pPr>
            <w:r>
              <w:rPr/>
              <w:t xml:space="preserve">Bind mount</w:t>
            </w:r>
          </w:p>
        </w:tc>
        <w:tc>
          <w:tcPr>
            <w:tcW w:w="6654" w:type="dxa"/>
            <w:shd w:fill="EFF4F8"/>
            <w:vAlign w:val="center"/>
          </w:tcPr>
          <w:p>
            <w:pPr>
              <w:pStyle w:val="TableText"/>
            </w:pPr>
            <w:r>
              <w:rPr/>
              <w:t xml:space="preserve">Koppeling waardoor een container lokale bestanden gebruikt.</w:t>
            </w:r>
          </w:p>
        </w:tc>
      </w:tr>
      <w:tr>
        <w:trPr>
          <w:cantSplit/>
        </w:trPr>
        <w:tc>
          <w:tcPr>
            <w:tcW w:w="2700" w:type="dxa"/>
            <w:shd w:fill="FFFFFF"/>
            <w:vAlign w:val="center"/>
          </w:tcPr>
          <w:p>
            <w:pPr>
              <w:pStyle w:val="TableText"/>
            </w:pPr>
            <w:r>
              <w:rPr/>
              <w:t xml:space="preserve">Migratie</w:t>
            </w:r>
          </w:p>
        </w:tc>
        <w:tc>
          <w:tcPr>
            <w:tcW w:w="6654" w:type="dxa"/>
            <w:shd w:fill="FFFFFF"/>
            <w:vAlign w:val="center"/>
          </w:tcPr>
          <w:p>
            <w:pPr>
              <w:pStyle w:val="TableText"/>
            </w:pPr>
            <w:r>
              <w:rPr/>
              <w:t xml:space="preserve">Eenmalige wijziging van de databasestructuur of gegevens.</w:t>
            </w:r>
          </w:p>
        </w:tc>
      </w:tr>
      <w:tr>
        <w:trPr>
          <w:cantSplit/>
        </w:trPr>
        <w:tc>
          <w:tcPr>
            <w:tcW w:w="2700" w:type="dxa"/>
            <w:shd w:fill="EFF4F8"/>
            <w:vAlign w:val="center"/>
          </w:tcPr>
          <w:p>
            <w:pPr>
              <w:pStyle w:val="TableText"/>
            </w:pPr>
            <w:r>
              <w:rPr/>
              <w:t xml:space="preserve">Trace</w:t>
            </w:r>
          </w:p>
        </w:tc>
        <w:tc>
          <w:tcPr>
            <w:tcW w:w="6654" w:type="dxa"/>
            <w:shd w:fill="EFF4F8"/>
            <w:vAlign w:val="center"/>
          </w:tcPr>
          <w:p>
            <w:pPr>
              <w:pStyle w:val="TableText"/>
            </w:pPr>
            <w:r>
              <w:rPr/>
              <w:t xml:space="preserve">Onderzoeksmateriaal met acties en toestand van de browser.</w:t>
            </w:r>
          </w:p>
        </w:tc>
      </w:tr>
      <w:tr>
        <w:trPr>
          <w:cantSplit/>
        </w:trPr>
        <w:tc>
          <w:tcPr>
            <w:tcW w:w="2700" w:type="dxa"/>
            <w:shd w:fill="FFFFFF"/>
            <w:vAlign w:val="center"/>
          </w:tcPr>
          <w:p>
            <w:pPr>
              <w:pStyle w:val="TableText"/>
            </w:pPr>
            <w:r>
              <w:rPr/>
              <w:t xml:space="preserve">HTML / JSON</w:t>
            </w:r>
          </w:p>
        </w:tc>
        <w:tc>
          <w:tcPr>
            <w:tcW w:w="6654" w:type="dxa"/>
            <w:shd w:fill="FFFFFF"/>
            <w:vAlign w:val="center"/>
          </w:tcPr>
          <w:p>
            <w:pPr>
              <w:pStyle w:val="TableText"/>
            </w:pPr>
            <w:r>
              <w:rPr/>
              <w:t xml:space="preserve">Webpagina voor mensen / gestructureerde gegevens voor software.</w:t>
            </w:r>
          </w:p>
        </w:tc>
      </w:tr>
    </w:tbl>
    <w:p>
      <w:pPr>
        <w:pStyle w:val="TableText"/>
      </w:pPr>
      <w:r>
        <w:t xml:space="preserve"/>
      </w:r>
    </w:p>
    <w:tbl>
      <w:tblPr>
        <w:tblW w:w="9354" w:type="dxa"/>
        <w:tblLayout w:type="fixed"/>
        <w:tblBorders>
          <w:top w:val="single" w:sz="4" w:color="D8E2EB"/>
          <w:left w:val="single" w:sz="4" w:color="D8E2EB"/>
          <w:bottom w:val="single" w:sz="4" w:color="D8E2EB"/>
          <w:right w:val="single" w:sz="4" w:color="D8E2EB"/>
          <w:insideH w:val="single" w:sz="4" w:color="D8E2EB"/>
          <w:insideV w:val="single" w:sz="4" w:color="D8E2EB"/>
        </w:tblBorders>
        <w:tblCellMar>
          <w:top w:w="90" w:type="dxa"/>
          <w:left w:w="100" w:type="dxa"/>
          <w:bottom w:w="90" w:type="dxa"/>
          <w:right w:w="100" w:type="dxa"/>
        </w:tblCellMar>
      </w:tblPr>
      <w:tblGrid>
        <w:gridCol w:w="2700"/>
        <w:gridCol w:w="6654"/>
      </w:tblGrid>
      <w:tr>
        <w:trPr>
          <w:cantSplit/>
          <w:tblHeader/>
        </w:trPr>
        <w:tc>
          <w:tcPr>
            <w:tcW w:w="2700" w:type="dxa"/>
            <w:shd w:fill="163A59"/>
            <w:vAlign w:val="center"/>
          </w:tcPr>
          <w:p>
            <w:pPr>
              <w:pStyle w:val="TableText"/>
            </w:pPr>
            <w:r>
              <w:rPr>
                <w:b/>
                <w:color w:val="FFFFFF"/>
              </w:rPr>
              <w:t xml:space="preserve">Doel</w:t>
            </w:r>
          </w:p>
        </w:tc>
        <w:tc>
          <w:tcPr>
            <w:tcW w:w="6654" w:type="dxa"/>
            <w:shd w:fill="163A59"/>
            <w:vAlign w:val="center"/>
          </w:tcPr>
          <w:p>
            <w:pPr>
              <w:pStyle w:val="TableText"/>
            </w:pPr>
            <w:r>
              <w:rPr>
                <w:b/>
                <w:color w:val="FFFFFF"/>
              </w:rPr>
              <w:t xml:space="preserve">Commando vanuit de projectmap</w:t>
            </w:r>
          </w:p>
        </w:tc>
      </w:tr>
      <w:tr>
        <w:trPr>
          <w:cantSplit/>
        </w:trPr>
        <w:tc>
          <w:tcPr>
            <w:tcW w:w="2700" w:type="dxa"/>
            <w:shd w:fill="EFF4F8"/>
            <w:vAlign w:val="center"/>
          </w:tcPr>
          <w:p>
            <w:pPr>
              <w:pStyle w:val="TableText"/>
            </w:pPr>
            <w:r>
              <w:rPr/>
              <w:t xml:space="preserve">Keuzemenu</w:t>
            </w:r>
          </w:p>
        </w:tc>
        <w:tc>
          <w:tcPr>
            <w:tcW w:w="6654" w:type="dxa"/>
            <w:shd w:fill="EFF4F8"/>
            <w:vAlign w:val="center"/>
          </w:tcPr>
          <w:p>
            <w:pPr>
              <w:pStyle w:val="TableText"/>
            </w:pPr>
            <w:r>
              <w:rPr/>
              <w:t xml:space="preserve">bash scripts/testmenu.sh</w:t>
            </w:r>
          </w:p>
        </w:tc>
      </w:tr>
      <w:tr>
        <w:trPr>
          <w:cantSplit/>
        </w:trPr>
        <w:tc>
          <w:tcPr>
            <w:tcW w:w="2700" w:type="dxa"/>
            <w:shd w:fill="FFFFFF"/>
            <w:vAlign w:val="center"/>
          </w:tcPr>
          <w:p>
            <w:pPr>
              <w:pStyle w:val="TableText"/>
            </w:pPr>
            <w:r>
              <w:rPr/>
              <w:t xml:space="preserve">Autoverzekering standaard</w:t>
            </w:r>
          </w:p>
        </w:tc>
        <w:tc>
          <w:tcPr>
            <w:tcW w:w="6654" w:type="dxa"/>
            <w:shd w:fill="FFFFFF"/>
            <w:vAlign w:val="center"/>
          </w:tcPr>
          <w:p>
            <w:pPr>
              <w:pStyle w:val="TableText"/>
            </w:pPr>
            <w:r>
              <w:rPr/>
              <w:t xml:space="preserve">npm run test:lancyr</w:t>
            </w:r>
          </w:p>
        </w:tc>
      </w:tr>
      <w:tr>
        <w:trPr>
          <w:cantSplit/>
        </w:trPr>
        <w:tc>
          <w:tcPr>
            <w:tcW w:w="2700" w:type="dxa"/>
            <w:shd w:fill="EFF4F8"/>
            <w:vAlign w:val="center"/>
          </w:tcPr>
          <w:p>
            <w:pPr>
              <w:pStyle w:val="TableText"/>
            </w:pPr>
            <w:r>
              <w:rPr/>
              <w:t xml:space="preserve">Live autoverzekering, Chromium</w:t>
            </w:r>
          </w:p>
        </w:tc>
        <w:tc>
          <w:tcPr>
            <w:tcW w:w="6654" w:type="dxa"/>
            <w:shd w:fill="EFF4F8"/>
            <w:vAlign w:val="center"/>
          </w:tcPr>
          <w:p>
            <w:pPr>
              <w:pStyle w:val="TableText"/>
            </w:pPr>
            <w:r>
              <w:rPr/>
              <w:t xml:space="preserve">bash scripts/run-lancyr-browsers.sh visible standaard chromium</w:t>
            </w:r>
          </w:p>
        </w:tc>
      </w:tr>
      <w:tr>
        <w:trPr>
          <w:cantSplit/>
        </w:trPr>
        <w:tc>
          <w:tcPr>
            <w:tcW w:w="2700" w:type="dxa"/>
            <w:shd w:fill="FFFFFF"/>
            <w:vAlign w:val="center"/>
          </w:tcPr>
          <w:p>
            <w:pPr>
              <w:pStyle w:val="TableText"/>
            </w:pPr>
            <w:r>
              <w:rPr/>
              <w:t xml:space="preserve">Schade melden, alle browsers</w:t>
            </w:r>
          </w:p>
        </w:tc>
        <w:tc>
          <w:tcPr>
            <w:tcW w:w="6654" w:type="dxa"/>
            <w:shd w:fill="FFFFFF"/>
            <w:vAlign w:val="center"/>
          </w:tcPr>
          <w:p>
            <w:pPr>
              <w:pStyle w:val="TableText"/>
            </w:pPr>
            <w:r>
              <w:rPr/>
              <w:t xml:space="preserve">bash scripts/run-schade-regressie.sh</w:t>
            </w:r>
          </w:p>
        </w:tc>
      </w:tr>
      <w:tr>
        <w:trPr>
          <w:cantSplit/>
        </w:trPr>
        <w:tc>
          <w:tcPr>
            <w:tcW w:w="2700" w:type="dxa"/>
            <w:shd w:fill="EFF4F8"/>
            <w:vAlign w:val="center"/>
          </w:tcPr>
          <w:p>
            <w:pPr>
              <w:pStyle w:val="TableText"/>
            </w:pPr>
            <w:r>
              <w:rPr/>
              <w:t xml:space="preserve">Visuele vergelijking</w:t>
            </w:r>
          </w:p>
        </w:tc>
        <w:tc>
          <w:tcPr>
            <w:tcW w:w="6654" w:type="dxa"/>
            <w:shd w:fill="EFF4F8"/>
            <w:vAlign w:val="center"/>
          </w:tcPr>
          <w:p>
            <w:pPr>
              <w:pStyle w:val="TableText"/>
            </w:pPr>
            <w:r>
              <w:rPr/>
              <w:t xml:space="preserve">bash scripts/run-lancyr-visual.sh check</w:t>
            </w:r>
          </w:p>
        </w:tc>
      </w:tr>
      <w:tr>
        <w:trPr>
          <w:cantSplit/>
        </w:trPr>
        <w:tc>
          <w:tcPr>
            <w:tcW w:w="2700" w:type="dxa"/>
            <w:shd w:fill="FFFFFF"/>
            <w:vAlign w:val="center"/>
          </w:tcPr>
          <w:p>
            <w:pPr>
              <w:pStyle w:val="TableText"/>
            </w:pPr>
            <w:r>
              <w:rPr/>
              <w:t xml:space="preserve">Bewuste visuele afwijking</w:t>
            </w:r>
          </w:p>
        </w:tc>
        <w:tc>
          <w:tcPr>
            <w:tcW w:w="6654" w:type="dxa"/>
            <w:shd w:fill="FFFFFF"/>
            <w:vAlign w:val="center"/>
          </w:tcPr>
          <w:p>
            <w:pPr>
              <w:pStyle w:val="TableText"/>
            </w:pPr>
            <w:r>
              <w:rPr/>
              <w:t xml:space="preserve">bash scripts/run-lancyr-visual.sh demo</w:t>
            </w:r>
          </w:p>
        </w:tc>
      </w:tr>
      <w:tr>
        <w:trPr>
          <w:cantSplit/>
        </w:trPr>
        <w:tc>
          <w:tcPr>
            <w:tcW w:w="2700" w:type="dxa"/>
            <w:shd w:fill="EFF4F8"/>
            <w:vAlign w:val="center"/>
          </w:tcPr>
          <w:p>
            <w:pPr>
              <w:pStyle w:val="TableText"/>
            </w:pPr>
            <w:r>
              <w:rPr/>
              <w:t xml:space="preserve">Centrale rapportpagina</w:t>
            </w:r>
          </w:p>
        </w:tc>
        <w:tc>
          <w:tcPr>
            <w:tcW w:w="6654" w:type="dxa"/>
            <w:shd w:fill="EFF4F8"/>
            <w:vAlign w:val="center"/>
          </w:tcPr>
          <w:p>
            <w:pPr>
              <w:pStyle w:val="TableText"/>
            </w:pPr>
            <w:r>
              <w:rPr/>
              <w:t xml:space="preserve">bash scripts/view-reports.sh</w:t>
            </w:r>
          </w:p>
        </w:tc>
      </w:tr>
    </w:tbl>
    <w:p>
      <w:pPr>
        <w:pStyle w:val="TableText"/>
      </w:pPr>
      <w:r>
        <w:t xml:space="preserve"/>
      </w:r>
    </w:p>
    <w:p>
      <w:pPr>
        <w:pStyle w:val="Normal"/>
      </w:pPr>
      <w:r>
        <w:t xml:space="preserve">De npm-route vereist lokale Node.js en npm. De Bash-/Docker-route gebruikt deze tools in de container. Voor de visible-modus is een interactieve terminal nodig. Rapportage blijft beschikbaar zolang de rapportserver draait.</w:t>
      </w:r>
    </w:p>
    <w:p>
      <w:r>
        <w:br w:type="page"/>
      </w:r>
    </w:p>
    <w:p>
      <w:pPr>
        <w:pStyle w:val="Heading1"/>
      </w:pPr>
      <w:r>
        <w:t xml:space="preserve">Bijlage B. Onderbouwing en bronnen</w:t>
      </w:r>
    </w:p>
    <w:p>
      <w:pPr>
        <w:pStyle w:val="Normal"/>
      </w:pPr>
      <w:r>
        <w:t xml:space="preserve">Projectcontrole: huidige code op commit 2ed6d83 (‘head in bash menu’), Git-geschiedenis en opgeslagen JSON-rapporten; gecontroleerd voor dit document op 12 oktober 2026. Versienummers beschrijven de projectconfiguratie, niet automatisch de geïnstalleerde tools op iedere computer.</w:t>
      </w:r>
    </w:p>
    <w:p>
      <w:pPr>
        <w:pStyle w:val="Normal"/>
      </w:pPr>
      <w:r>
        <w:t xml:space="preserve">Belangrijkste projectbronnen: README.md, DOCUMENTATIE-PRESENTATIE.md, README-lancyr-test.md, README-visual-test.md, README-testdata.md, README-schade-regressie.md en README-reportpage.md. Waar algemene oudere documentatie afwijkt van de huidige code, volgt dit document de code en specifieke handleidingen.</w:t>
      </w:r>
    </w:p>
    <w:p>
      <w:pPr>
        <w:pStyle w:val="Normal"/>
      </w:pPr>
      <w:r>
        <w:t xml:space="preserve">Technische onderbouwing: package.json, package-lock.json, Dockerfile, docker/Dockerfile.viewer, playwright.config.ts, scripts/testmenu.sh, de uitvoerscripts, test/autoverzerkeringsfunnel/, test/schade-melden/, testdata/ en scripts/report-page/. Schadebron: het Moz-CSV-bestand en testdata/schade-bronmeldingen.md. Meetgegevens: results.json in de genoemde runmappen onder test-runs/.</w:t>
      </w:r>
    </w:p>
    <w:p>
      <w:pPr>
        <w:pStyle w:val="Normal"/>
      </w:pPr>
      <w:r>
        <w:t xml:space="preserve">Officiële externe bronnen voor begrippen en werking, geraadpleegd op 12 oktober 2026:</w:t>
      </w:r>
    </w:p>
    <w:p>
      <w:pPr>
        <w:pStyle w:val="Normal"/>
      </w:pPr>
      <w:r>
        <w:t xml:space="preserve">• Node.js — LTS-status: </w:t>
      </w:r>
      <w:hyperlink r:id="rIdLink1">
        <w:r>
          <w:rPr>
            <w:rStyle w:val="Hyperlink"/>
          </w:rPr>
          <w:t>https://nodejs.org/en/download</w:t>
        </w:r>
      </w:hyperlink>
      <w:r>
        <w:t xml:space="preserve"/>
      </w:r>
    </w:p>
    <w:p>
      <w:pPr>
        <w:pStyle w:val="Normal"/>
      </w:pPr>
      <w:r>
        <w:t xml:space="preserve">• npm — installeren met npm ci: </w:t>
      </w:r>
      <w:hyperlink r:id="rIdLink2">
        <w:r>
          <w:rPr>
            <w:rStyle w:val="Hyperlink"/>
          </w:rPr>
          <w:t>https://docs.npmjs.com/cli/v11/commands/npm-ci/</w:t>
        </w:r>
      </w:hyperlink>
      <w:r>
        <w:t xml:space="preserve"/>
      </w:r>
    </w:p>
    <w:p>
      <w:pPr>
        <w:pStyle w:val="Normal"/>
      </w:pPr>
      <w:r>
        <w:t xml:space="preserve">• Playwright — Docker en browseromgeving: </w:t>
      </w:r>
      <w:hyperlink r:id="rIdLink3">
        <w:r>
          <w:rPr>
            <w:rStyle w:val="Hyperlink"/>
          </w:rPr>
          <w:t>https://playwright.dev/docs/docker</w:t>
        </w:r>
      </w:hyperlink>
      <w:r>
        <w:t xml:space="preserve"/>
      </w:r>
    </w:p>
    <w:p>
      <w:pPr>
        <w:pStyle w:val="Normal"/>
      </w:pPr>
      <w:r>
        <w:t xml:space="preserve">• Playwright — visuele vergelijking: </w:t>
      </w:r>
      <w:hyperlink r:id="rIdLink4">
        <w:r>
          <w:rPr>
            <w:rStyle w:val="Hyperlink"/>
          </w:rPr>
          <w:t>https://playwright.dev/docs/test-snapshots</w:t>
        </w:r>
      </w:hyperlink>
      <w:r>
        <w:t xml:space="preserve"/>
      </w:r>
    </w:p>
    <w:p>
      <w:pPr>
        <w:pStyle w:val="Normal"/>
      </w:pPr>
      <w:r>
        <w:t xml:space="preserve">• Playwright — Trace Viewer: </w:t>
      </w:r>
      <w:hyperlink r:id="rIdLink5">
        <w:r>
          <w:rPr>
            <w:rStyle w:val="Hyperlink"/>
          </w:rPr>
          <w:t>https://playwright.dev/docs/trace-viewer</w:t>
        </w:r>
      </w:hyperlink>
      <w:r>
        <w:t xml:space="preserve"/>
      </w:r>
    </w:p>
    <w:p>
      <w:pPr>
        <w:pStyle w:val="Normal"/>
      </w:pPr>
      <w:r>
        <w:t xml:space="preserve">• Elastic — documenten en indices: </w:t>
      </w:r>
      <w:hyperlink r:id="rIdLink6">
        <w:r>
          <w:rPr>
            <w:rStyle w:val="Hyperlink"/>
          </w:rPr>
          <w:t>https://www.elastic.co/docs/manage-data/data-store/index-basics</w:t>
        </w:r>
      </w:hyperlink>
      <w:r>
        <w:t xml:space="preserve"/>
      </w:r>
    </w:p>
    <w:p>
      <w:pPr>
        <w:pStyle w:val="Normal"/>
      </w:pPr>
      <w:r>
        <w:t xml:space="preserve">De ontwikkelgeschiedenis ondersteunt wanneer onderdelen zijn toegevoegd. De beschrijving van de toekomstige suite is gebaseerd op de beoogde richting van dit project en is geen bewijs van al gerealiseerde Novulo-functionaliteit.</w:t>
      </w:r>
    </w:p>
    <w:sectPr>
      <w:headerReference w:type="default" r:id="rIdHeader"/>
      <w:footerReference w:type="default" r:id="rIdFooter"/>
      <w:pgSz w:w="11906" w:h="16838"/>
      <w:pgMar w:top="1134" w:right="1276" w:bottom="1134" w:left="1276" w:header="567" w:footer="567"/>
      <w:titlePg/>
    </w:sectPr>
  </w:body>
</w:document>
</file>

<file path=word/footer1.xml><?xml version="1.0" encoding="utf-8"?>
<w:ftr xmlns:w="http://schemas.openxmlformats.org/wordprocessingml/2006/main">
  <w:p>
    <w:pPr>
      <w:jc w:val="right"/>
    </w:pPr>
    <w:r>
      <w:t xml:space="preserve">Projectdocumentatie · </w:t>
    </w:r>
    <w:fldSimple w:instr="PAGE"/>
  </w:p>
</w:ftr>
</file>

<file path=word/header1.xml><?xml version="1.0" encoding="utf-8"?>
<w:hdr xmlns:w="http://schemas.openxmlformats.org/wordprocessingml/2006/main">
  <w:p>
    <w:pPr>
      <w:pStyle w:val="Meta"/>
    </w:pPr>
    <w:r>
      <w:t xml:space="preserve">SIDEQUEST  |  BASIS VOOR DE NOVULO-TESTSUITE</w:t>
    </w:r>
  </w:p>
</w:hdr>
</file>

<file path=word/styles.xml><?xml version="1.0" encoding="utf-8"?>
<w:styles xmlns:w="http://schemas.openxmlformats.org/wordprocessingml/2006/main">
  <w:docDefaults>
    <w:rPrDefault>
      <w:rPr>
        <w:rFonts w:ascii="Calibri" w:hAnsi="Calibri"/>
        <w:sz w:val="21"/>
        <w:color w:val="263747"/>
      </w:rPr>
    </w:rPrDefault>
    <w:pPrDefault>
      <w:pPr>
        <w:spacing w:after="120" w:line="270" w:lineRule="auto"/>
        <w:widowControl/>
      </w:pPr>
    </w:pPrDefault>
  </w:docDefaults>
  <w:style w:type="paragraph" w:styleId="Normal">
    <w:name w:val="Normal"/>
    <w:pPr>
      <w:spacing w:before="0" w:after="100"/>
    </w:pPr>
    <w:rPr>
      <w:sz w:val="21"/>
      <w:color w:val="263747"/>
    </w:rPr>
  </w:style>
  <w:style w:type="paragraph" w:styleId="Title">
    <w:name w:val="Title"/>
    <w:basedOn w:val="Normal"/>
    <w:pPr>
      <w:spacing w:before="0" w:after="100"/>
    </w:pPr>
    <w:rPr>
      <w:sz w:val="48"/>
      <w:color w:val="163A59"/>
      <w:b/>
    </w:rPr>
  </w:style>
  <w:style w:type="paragraph" w:styleId="Subtitle">
    <w:name w:val="Subtitle"/>
    <w:basedOn w:val="Normal"/>
    <w:pPr>
      <w:spacing w:before="0" w:after="100"/>
    </w:pPr>
    <w:rPr>
      <w:sz w:val="25"/>
      <w:color w:val="46748F"/>
    </w:rPr>
  </w:style>
  <w:style w:type="paragraph" w:styleId="Meta">
    <w:name w:val="Meta"/>
    <w:basedOn w:val="Normal"/>
    <w:pPr>
      <w:spacing w:before="0" w:after="100"/>
    </w:pPr>
    <w:rPr>
      <w:sz w:val="18"/>
      <w:color w:val="647786"/>
    </w:rPr>
  </w:style>
  <w:style w:type="paragraph" w:styleId="Lead">
    <w:name w:val="Lead"/>
    <w:basedOn w:val="Normal"/>
    <w:pPr>
      <w:spacing w:before="0" w:after="100"/>
    </w:pPr>
    <w:rPr>
      <w:sz w:val="25"/>
      <w:color w:val="263747"/>
    </w:rPr>
  </w:style>
  <w:style w:type="paragraph" w:styleId="Contents">
    <w:name w:val="Contents"/>
    <w:basedOn w:val="Normal"/>
    <w:pPr>
      <w:spacing w:before="0" w:after="100"/>
    </w:pPr>
    <w:rPr>
      <w:sz w:val="21"/>
      <w:color w:val="163A59"/>
    </w:rPr>
  </w:style>
  <w:style w:type="paragraph" w:styleId="TableText">
    <w:name w:val="TableText"/>
    <w:basedOn w:val="Normal"/>
    <w:pPr>
      <w:spacing w:before="0" w:after="100"/>
    </w:pPr>
    <w:rPr>
      <w:sz w:val="19"/>
      <w:color w:val="263747"/>
    </w:rPr>
  </w:style>
  <w:style w:type="paragraph" w:styleId="Callout">
    <w:name w:val="Callout"/>
    <w:basedOn w:val="Normal"/>
    <w:pPr>
      <w:shd w:fill="EAF2F7"/>
      <w:spacing w:before="0" w:after="100"/>
    </w:pPr>
    <w:rPr>
      <w:sz w:val="21"/>
      <w:color w:val="163A59"/>
      <w:b/>
    </w:rPr>
  </w:style>
  <w:style w:type="paragraph" w:styleId="Heading1">
    <w:name w:val="Heading1"/>
    <w:basedOn w:val="Normal"/>
    <w:pPr>
      <w:outlineLvl w:val="0"/>
      <w:keepNext/>
      <w:spacing w:before="160" w:after="180"/>
    </w:pPr>
    <w:rPr>
      <w:sz w:val="32"/>
      <w:color w:val="163A59"/>
      <w:b/>
    </w:rPr>
  </w:style>
  <w:style w:type="paragraph" w:styleId="Heading2">
    <w:name w:val="Heading2"/>
    <w:basedOn w:val="Normal"/>
    <w:pPr>
      <w:outlineLvl w:val="1"/>
      <w:keepNext/>
      <w:spacing w:before="160" w:after="180"/>
    </w:pPr>
    <w:rPr>
      <w:sz w:val="24"/>
      <w:color w:val="287687"/>
      <w:b/>
    </w:rPr>
  </w:style>
  <w:style w:type="character" w:styleId="Hyperlink">
    <w:name w:val="Hyperlink"/>
    <w:rPr>
      <w:color w:val="287687"/>
      <w:u w:val="single"/>
    </w:r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nodejs.org/en/download" TargetMode="External"/><Relationship Id="rIdLink2" Type="http://schemas.openxmlformats.org/officeDocument/2006/relationships/hyperlink" Target="https://docs.npmjs.com/cli/v11/commands/npm-ci/" TargetMode="External"/><Relationship Id="rIdLink3" Type="http://schemas.openxmlformats.org/officeDocument/2006/relationships/hyperlink" Target="https://playwright.dev/docs/docker" TargetMode="External"/><Relationship Id="rIdLink4" Type="http://schemas.openxmlformats.org/officeDocument/2006/relationships/hyperlink" Target="https://playwright.dev/docs/test-snapshots" TargetMode="External"/><Relationship Id="rIdLink5" Type="http://schemas.openxmlformats.org/officeDocument/2006/relationships/hyperlink" Target="https://playwright.dev/docs/trace-viewer" TargetMode="External"/><Relationship Id="rIdLink6" Type="http://schemas.openxmlformats.org/officeDocument/2006/relationships/hyperlink" Target="https://www.elastic.co/docs/manage-data/data-store/index-basics" TargetMode="External"/></Relationships>
</file>

<file path=docProps/core.xml><?xml version="1.0" encoding="utf-8"?>
<cp:coreProperties xmlns:cp="http://schemas.openxmlformats.org/package/2006/metadata/core-properties" xmlns:dc="http://purl.org/dc/elements/1.1/">
  <dc:title>Sidequest: basis voor de Novulo-testsuite</dc:title>
  <dc:subject>Projectopbouw, werking en hergebruik</dc:subject>
  <dc:description>Toegankelijke projectdocumentatie op basis van code en opgeslagen resultaten.</dc:description>
  <dc:language>nl-NL</dc:language>
</cp:coreProperties>
</file>